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80"/>
        <w:jc w:val="center"/>
      </w:pPr>
      <w:r>
        <w:rPr>
          <w:rFonts w:ascii="Arial" w:cs="Arial" w:eastAsia="Arial" w:hAnsi="Arial"/>
          <w:b/>
          <w:bCs/>
          <w:color w:val="0D1B2A"/>
          <w:sz w:val="64"/>
          <w:szCs w:val="64"/>
        </w:rPr>
        <w:t xml:space="preserve">DATABASE PER SERVICE</w:t>
      </w:r>
    </w:p>
    <w:p>
      <w:pPr>
        <w:spacing w:after="180"/>
        <w:jc w:val="center"/>
      </w:pPr>
      <w:r>
        <w:rPr>
          <w:rFonts w:ascii="Arial" w:cs="Arial" w:eastAsia="Arial" w:hAnsi="Arial"/>
          <w:color w:val="1A3A5C"/>
          <w:sz w:val="28"/>
          <w:szCs w:val="28"/>
        </w:rPr>
        <w:t xml:space="preserve">The Foundational Data Ownership Pattern in Microservices</w:t>
      </w:r>
    </w:p>
    <w:p>
      <w:pPr>
        <w:spacing w:after="120"/>
        <w:jc w:val="center"/>
      </w:pPr>
      <w:r>
        <w:rPr>
          <w:rFonts w:ascii="Arial" w:cs="Arial" w:eastAsia="Arial" w:hAnsi="Arial"/>
          <w:b/>
          <w:bCs/>
          <w:color w:val="0D1B2A"/>
          <w:sz w:val="40"/>
          <w:szCs w:val="40"/>
        </w:rPr>
        <w:t xml:space="preserve">Module 3: Challenges &amp; Solutions</w:t>
      </w:r>
    </w:p>
    <w:p>
      <w:pPr>
        <w:spacing w:after="360"/>
        <w:jc w:val="center"/>
      </w:pPr>
      <w:r>
        <w:rPr>
          <w:rFonts w:ascii="Arial" w:cs="Arial" w:eastAsia="Arial" w:hAnsi="Arial"/>
          <w:color w:val="666666"/>
          <w:sz w:val="28"/>
          <w:szCs w:val="28"/>
        </w:rPr>
        <w:t xml:space="preserve">Complete In-Depth Study Guide</w:t>
      </w:r>
    </w:p>
    <w:p>
      <w:pPr>
        <w:pBdr>
          <w:bottom w:val="single" w:color="1A3A5C" w:sz="12"/>
        </w:pBdr>
        <w:spacing w:after="280"/>
      </w:pPr>
    </w:p>
    <w:p>
      <w:pPr>
        <w:spacing w:after="70"/>
        <w:jc w:val="center"/>
      </w:pPr>
      <w:r>
        <w:rPr>
          <w:rFonts w:ascii="Arial" w:cs="Arial" w:eastAsia="Arial" w:hAnsi="Arial"/>
          <w:b/>
          <w:bCs/>
          <w:color w:val="0D1B2A"/>
          <w:sz w:val="22"/>
          <w:szCs w:val="22"/>
        </w:rPr>
        <w:t xml:space="preserve">1. </w:t>
      </w:r>
      <w:r>
        <w:rPr>
          <w:rFonts w:ascii="Arial" w:cs="Arial" w:eastAsia="Arial" w:hAnsi="Arial"/>
          <w:color w:val="555555"/>
          <w:sz w:val="22"/>
          <w:szCs w:val="22"/>
        </w:rPr>
        <w:t xml:space="preserve">Introduction — The Cost of Data Isolation</w:t>
      </w:r>
    </w:p>
    <w:p>
      <w:pPr>
        <w:spacing w:after="70"/>
        <w:jc w:val="center"/>
      </w:pPr>
      <w:r>
        <w:rPr>
          <w:rFonts w:ascii="Arial" w:cs="Arial" w:eastAsia="Arial" w:hAnsi="Arial"/>
          <w:b/>
          <w:bCs/>
          <w:color w:val="1565C0"/>
          <w:sz w:val="22"/>
          <w:szCs w:val="22"/>
        </w:rPr>
        <w:t xml:space="preserve">C1. </w:t>
      </w:r>
      <w:r>
        <w:rPr>
          <w:rFonts w:ascii="Arial" w:cs="Arial" w:eastAsia="Arial" w:hAnsi="Arial"/>
          <w:color w:val="555555"/>
          <w:sz w:val="22"/>
          <w:szCs w:val="22"/>
        </w:rPr>
        <w:t xml:space="preserve">Cross-Service Queries</w:t>
      </w:r>
    </w:p>
    <w:p>
      <w:pPr>
        <w:spacing w:after="70"/>
        <w:jc w:val="center"/>
      </w:pPr>
      <w:r>
        <w:rPr>
          <w:rFonts w:ascii="Arial" w:cs="Arial" w:eastAsia="Arial" w:hAnsi="Arial"/>
          <w:b/>
          <w:bCs/>
          <w:color w:val="B71C1C"/>
          <w:sz w:val="22"/>
          <w:szCs w:val="22"/>
        </w:rPr>
        <w:t xml:space="preserve">C2. </w:t>
      </w:r>
      <w:r>
        <w:rPr>
          <w:rFonts w:ascii="Arial" w:cs="Arial" w:eastAsia="Arial" w:hAnsi="Arial"/>
          <w:color w:val="555555"/>
          <w:sz w:val="22"/>
          <w:szCs w:val="22"/>
        </w:rPr>
        <w:t xml:space="preserve">Cross-Service Transactions</w:t>
      </w:r>
    </w:p>
    <w:p>
      <w:pPr>
        <w:spacing w:after="70"/>
        <w:jc w:val="center"/>
      </w:pPr>
      <w:r>
        <w:rPr>
          <w:rFonts w:ascii="Arial" w:cs="Arial" w:eastAsia="Arial" w:hAnsi="Arial"/>
          <w:b/>
          <w:bCs/>
          <w:color w:val="2E7D32"/>
          <w:sz w:val="22"/>
          <w:szCs w:val="22"/>
        </w:rPr>
        <w:t xml:space="preserve">C3. </w:t>
      </w:r>
      <w:r>
        <w:rPr>
          <w:rFonts w:ascii="Arial" w:cs="Arial" w:eastAsia="Arial" w:hAnsi="Arial"/>
          <w:color w:val="555555"/>
          <w:sz w:val="22"/>
          <w:szCs w:val="22"/>
        </w:rPr>
        <w:t xml:space="preserve">Data Duplication</w:t>
      </w:r>
    </w:p>
    <w:p>
      <w:pPr>
        <w:spacing w:after="70"/>
        <w:jc w:val="center"/>
      </w:pPr>
      <w:r>
        <w:rPr>
          <w:rFonts w:ascii="Arial" w:cs="Arial" w:eastAsia="Arial" w:hAnsi="Arial"/>
          <w:b/>
          <w:bCs/>
          <w:color w:val="E65100"/>
          <w:sz w:val="22"/>
          <w:szCs w:val="22"/>
        </w:rPr>
        <w:t xml:space="preserve">C4. </w:t>
      </w:r>
      <w:r>
        <w:rPr>
          <w:rFonts w:ascii="Arial" w:cs="Arial" w:eastAsia="Arial" w:hAnsi="Arial"/>
          <w:color w:val="555555"/>
          <w:sz w:val="22"/>
          <w:szCs w:val="22"/>
        </w:rPr>
        <w:t xml:space="preserve">Referential Integrity Across Service Boundaries</w:t>
      </w:r>
    </w:p>
    <w:p>
      <w:pPr>
        <w:spacing w:after="70"/>
        <w:jc w:val="center"/>
      </w:pPr>
      <w:r>
        <w:rPr>
          <w:rFonts w:ascii="Arial" w:cs="Arial" w:eastAsia="Arial" w:hAnsi="Arial"/>
          <w:b/>
          <w:bCs/>
          <w:color w:val="4A148C"/>
          <w:sz w:val="22"/>
          <w:szCs w:val="22"/>
        </w:rPr>
        <w:t xml:space="preserve">C5. </w:t>
      </w:r>
      <w:r>
        <w:rPr>
          <w:rFonts w:ascii="Arial" w:cs="Arial" w:eastAsia="Arial" w:hAnsi="Arial"/>
          <w:color w:val="555555"/>
          <w:sz w:val="22"/>
          <w:szCs w:val="22"/>
        </w:rPr>
        <w:t xml:space="preserve">Cross-Service Reporting</w:t>
      </w:r>
    </w:p>
    <w:p>
      <w:pPr>
        <w:spacing w:after="70"/>
        <w:jc w:val="center"/>
      </w:pPr>
      <w:r>
        <w:rPr>
          <w:rFonts w:ascii="Arial" w:cs="Arial" w:eastAsia="Arial" w:hAnsi="Arial"/>
          <w:b/>
          <w:bCs/>
          <w:color w:val="0D1B2A"/>
          <w:sz w:val="22"/>
          <w:szCs w:val="22"/>
        </w:rPr>
        <w:t xml:space="preserve">2. </w:t>
      </w:r>
      <w:r>
        <w:rPr>
          <w:rFonts w:ascii="Arial" w:cs="Arial" w:eastAsia="Arial" w:hAnsi="Arial"/>
          <w:color w:val="555555"/>
          <w:sz w:val="22"/>
          <w:szCs w:val="22"/>
        </w:rPr>
        <w:t xml:space="preserve">Choosing the Right Solution — Decision Guide</w:t>
      </w:r>
    </w:p>
    <w:p>
      <w:pPr>
        <w:spacing w:after="70"/>
        <w:jc w:val="center"/>
      </w:pPr>
      <w:r>
        <w:rPr>
          <w:rFonts w:ascii="Arial" w:cs="Arial" w:eastAsia="Arial" w:hAnsi="Arial"/>
          <w:b/>
          <w:bCs/>
          <w:color w:val="0D1B2A"/>
          <w:sz w:val="22"/>
          <w:szCs w:val="22"/>
        </w:rPr>
        <w:t xml:space="preserve">3. </w:t>
      </w:r>
      <w:r>
        <w:rPr>
          <w:rFonts w:ascii="Arial" w:cs="Arial" w:eastAsia="Arial" w:hAnsi="Arial"/>
          <w:color w:val="555555"/>
          <w:sz w:val="22"/>
          <w:szCs w:val="22"/>
        </w:rPr>
        <w:t xml:space="preserve">Study Review &amp; Practice Questions</w:t>
      </w:r>
    </w:p>
    <w:p>
      <w:pPr>
        <w:spacing w:after="70"/>
        <w:jc w:val="center"/>
      </w:pPr>
      <w:r>
        <w:rPr>
          <w:rFonts w:ascii="Arial" w:cs="Arial" w:eastAsia="Arial" w:hAnsi="Arial"/>
          <w:b/>
          <w:bCs/>
          <w:color w:val="0D1B2A"/>
          <w:sz w:val="22"/>
          <w:szCs w:val="22"/>
        </w:rPr>
        <w:t xml:space="preserve">4. </w:t>
      </w:r>
      <w:r>
        <w:rPr>
          <w:rFonts w:ascii="Arial" w:cs="Arial" w:eastAsia="Arial" w:hAnsi="Arial"/>
          <w:color w:val="555555"/>
          <w:sz w:val="22"/>
          <w:szCs w:val="22"/>
        </w:rPr>
        <w:t xml:space="preserve">Glossary</w:t>
      </w:r>
    </w:p>
    <w:p>
      <w:r>
        <w:br w:type="page"/>
      </w:r>
    </w:p>
    <w:p>
      <w:pPr>
        <w:pStyle w:val="Heading1"/>
        <w:spacing w:after="120" w:before="360"/>
      </w:pPr>
      <w:r>
        <w:rPr>
          <w:rFonts w:ascii="Arial" w:cs="Arial" w:eastAsia="Arial" w:hAnsi="Arial"/>
          <w:b/>
          <w:bCs/>
          <w:color w:val="0D1B2A"/>
          <w:sz w:val="40"/>
          <w:szCs w:val="40"/>
        </w:rPr>
        <w:t xml:space="preserve">Table of Contents</w:t>
      </w:r>
    </w:p>
    <w:sdt>
      <w:sdtPr>
        <w:alias w:val="TOC"/>
      </w:sdtPr>
      <w:sdtContent>
        <w:p>
          <w:r>
            <w:fldChar w:fldCharType="begin" w:dirty="true"/>
            <w:instrText xml:space="preserve">TOC \h \o "1-4"</w:instrText>
            <w:fldChar w:fldCharType="separate"/>
          </w:r>
        </w:p>
        <w:p>
          <w:r>
            <w:fldChar w:fldCharType="end"/>
          </w:r>
        </w:p>
      </w:sdtContent>
    </w:sdt>
    <w:p>
      <w:r>
        <w:br w:type="page"/>
      </w:r>
    </w:p>
    <w:p>
      <w:pPr>
        <w:pStyle w:val="Heading1"/>
        <w:spacing w:after="120" w:before="360"/>
      </w:pPr>
      <w:r>
        <w:rPr>
          <w:rFonts w:ascii="Arial" w:cs="Arial" w:eastAsia="Arial" w:hAnsi="Arial"/>
          <w:b/>
          <w:bCs/>
          <w:color w:val="0D1B2A"/>
          <w:sz w:val="40"/>
          <w:szCs w:val="40"/>
        </w:rPr>
        <w:t xml:space="preserve">1. Introduction — The Cost of Data Isolation</w:t>
      </w:r>
    </w:p>
    <w:p>
      <w:pPr>
        <w:pBdr>
          <w:bottom w:val="single" w:color="1A3A5C" w:sz="8" w:space="1"/>
        </w:pBdr>
        <w:spacing w:after="160"/>
      </w:pPr>
    </w:p>
    <w:p>
      <w:pPr>
        <w:spacing w:after="160"/>
      </w:pPr>
      <w:r>
        <w:rPr>
          <w:rFonts w:ascii="Arial" w:cs="Arial" w:eastAsia="Arial" w:hAnsi="Arial"/>
          <w:b w:val="false"/>
          <w:bCs w:val="false"/>
          <w:color w:val="333333"/>
          <w:sz w:val="22"/>
          <w:szCs w:val="22"/>
        </w:rPr>
        <w:t xml:space="preserve">The database-per-service pattern delivers genuine independence — but independence has a price. When services cannot share a database, every capability that the shared database previously provided 'for free' must be explicitly re-engineered at the application layer. The SQL JOIN, the ACID transaction, the foreign key constraint, the analytics query — all must be replaced with deliberate architectural solutions.</w:t>
      </w:r>
    </w:p>
    <w:p>
      <w:pPr>
        <w:spacing w:after="160"/>
      </w:pPr>
      <w:r>
        <w:rPr>
          <w:rFonts w:ascii="Arial" w:cs="Arial" w:eastAsia="Arial" w:hAnsi="Arial"/>
          <w:b w:val="false"/>
          <w:bCs w:val="false"/>
          <w:color w:val="333333"/>
          <w:sz w:val="22"/>
          <w:szCs w:val="22"/>
        </w:rPr>
        <w:t xml:space="preserve">This module examines the five primary challenges that emerge from data isolation and the proven solutions for each. The goal is not to suggest the pattern is problematic — the independence benefits far outweigh the challenges — but to equip engineers with the precise tools to address each one.</w:t>
      </w:r>
    </w:p>
    <w:tbl>
      <w:tblPr>
        <w:tblW w:type="dxa" w:w="10360"/>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3000"/>
        <w:gridCol w:w="2960"/>
      </w:tblGrid>
      <w:tr>
        <w:trPr>
          <w:tblHeader/>
        </w:trPr>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Challenge</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Why It Arises</w:t>
            </w:r>
          </w:p>
        </w:tc>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Primary Solutions</w:t>
            </w:r>
          </w:p>
        </w:tc>
        <w:tc>
          <w:tcPr>
            <w:tcW w:type="dxa" w:w="2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Core Trade-off</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Cross-service queries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SQL JOIN across databases</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API Composition; CQRS read models</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Latency vs staleness</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Cross-service transactions</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ACID across services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Saga pattern; Outbox pattern</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Eventual consistency vs strong consistency</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duplication</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Services need local copies of others' data</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Event-driven sync; denormalized replicas</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Storage + sync complexity vs query performance</w:t>
            </w:r>
          </w:p>
        </w:tc>
      </w:tr>
      <w:tr>
        <w:trPr>
          <w:tblHeader w:val="false"/>
        </w:trPr>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Referential integrity</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FK constraints across DB boundaries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Event-driven compensation; periodic checks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Brief orphan window vs decoupled deployment</w:t>
            </w:r>
          </w:p>
        </w:tc>
      </w:tr>
      <w:tr>
        <w:trPr>
          <w:tblHeader w:val="false"/>
        </w:trPr>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Reporting / analytics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Cannot query across all service databases</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lake / warehouse via CDC or events</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Analytics delay; pipeline complexity vs query flexibility</w:t>
            </w:r>
          </w:p>
        </w:tc>
      </w:tr>
    </w:tbl>
    <w:p>
      <w:pPr>
        <w:spacing w:after="0" w:before="80"/>
      </w:pPr>
      <w:r>
        <w:t xml:space="preserve"/>
      </w:r>
    </w:p>
    <w:p>
      <w:r>
        <w:br w:type="page"/>
      </w:r>
    </w:p>
    <w:p>
      <w:r>
        <w:br w:type="page"/>
      </w:r>
    </w:p>
    <w:p>
      <w:pPr>
        <w:pStyle w:val="Heading1"/>
        <w:shd w:fill="1565C0" w:val="clear"/>
        <w:spacing w:after="60" w:before="300"/>
        <w:ind w:left="240" w:right="240"/>
      </w:pPr>
      <w:r>
        <w:rPr>
          <w:rFonts w:ascii="Arial" w:cs="Arial" w:eastAsia="Arial" w:hAnsi="Arial"/>
          <w:b w:val="false"/>
          <w:bCs w:val="false"/>
          <w:color w:val="FFFFFF"/>
          <w:sz w:val="32"/>
          <w:szCs w:val="32"/>
        </w:rPr>
        <w:t xml:space="preserve">Challenge 1: </w:t>
      </w:r>
      <w:r>
        <w:rPr>
          <w:rFonts w:ascii="Arial" w:cs="Arial" w:eastAsia="Arial" w:hAnsi="Arial"/>
          <w:b/>
          <w:bCs/>
          <w:color w:val="FFFFFF"/>
          <w:sz w:val="44"/>
          <w:szCs w:val="44"/>
        </w:rPr>
        <w:t xml:space="preserve">Cross-Service Queries</w:t>
      </w:r>
    </w:p>
    <w:p>
      <w:pPr>
        <w:shd w:fill="E3F2FD" w:val="clear"/>
        <w:spacing w:after="200"/>
        <w:ind w:left="240" w:right="240"/>
      </w:pPr>
      <w:r>
        <w:rPr>
          <w:rFonts w:ascii="Arial" w:cs="Arial" w:eastAsia="Arial" w:hAnsi="Arial"/>
          <w:color w:val="1565C0"/>
          <w:sz w:val="24"/>
          <w:szCs w:val="24"/>
        </w:rPr>
        <w:t xml:space="preserve">Cannot JOIN across databases — data assembly must move to the application layer</w:t>
      </w:r>
    </w:p>
    <w:p>
      <w:pPr>
        <w:pBdr>
          <w:bottom w:val="single" w:color="1565C0" w:sz="8" w:space="1"/>
        </w:pBdr>
        <w:spacing w:after="160"/>
      </w:pPr>
    </w:p>
    <w:p>
      <w:pPr>
        <w:pStyle w:val="Heading2"/>
        <w:spacing w:after="100" w:before="280"/>
      </w:pPr>
      <w:r>
        <w:rPr>
          <w:rFonts w:ascii="Arial" w:cs="Arial" w:eastAsia="Arial" w:hAnsi="Arial"/>
          <w:b/>
          <w:bCs/>
          <w:color w:val="1565C0"/>
          <w:sz w:val="28"/>
          <w:szCs w:val="28"/>
        </w:rPr>
        <w:t xml:space="preserve">The Problem</w:t>
      </w:r>
    </w:p>
    <w:p>
      <w:pPr>
        <w:spacing w:after="160"/>
      </w:pPr>
      <w:r>
        <w:rPr>
          <w:rFonts w:ascii="Arial" w:cs="Arial" w:eastAsia="Arial" w:hAnsi="Arial"/>
          <w:b w:val="false"/>
          <w:bCs w:val="false"/>
          <w:color w:val="333333"/>
          <w:sz w:val="22"/>
          <w:szCs w:val="22"/>
        </w:rPr>
        <w:t xml:space="preserve">In a monolith with a shared database, fetching a list of orders with their payment status and customer name is a single SQL query with two JOINs. In microservices, orders live in orders_db, payments in payments_db, users in users_db. No single query can span these. Data assembly must happen at the application layer.</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Monolith: one query, instant result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SELECT o.id, o.total, p.status AS payment_status, u.name AS customer_name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FROM orders o</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JOIN payments p ON p.order_id = o.id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JOIN users u ON u.id = o.user_id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WHERE o.created_at &gt; NOW() - INTERVAL '7 days';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Microservices: this query is impossible.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orders, payments, users are in separate databases.</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Solution: assemble data at the application layer.</w:t>
      </w:r>
    </w:p>
    <w:p>
      <w:pPr>
        <w:pStyle w:val="Heading2"/>
        <w:spacing w:after="100" w:before="280"/>
      </w:pPr>
      <w:r>
        <w:rPr>
          <w:rFonts w:ascii="Arial" w:cs="Arial" w:eastAsia="Arial" w:hAnsi="Arial"/>
          <w:b/>
          <w:bCs/>
          <w:color w:val="1565C0"/>
          <w:sz w:val="28"/>
          <w:szCs w:val="28"/>
        </w:rPr>
        <w:t xml:space="preserve">Solution A: API Composition</w:t>
      </w:r>
    </w:p>
    <w:p>
      <w:pPr>
        <w:spacing w:after="160"/>
      </w:pPr>
      <w:r>
        <w:rPr>
          <w:rFonts w:ascii="Arial" w:cs="Arial" w:eastAsia="Arial" w:hAnsi="Arial"/>
          <w:b w:val="false"/>
          <w:bCs w:val="false"/>
          <w:color w:val="333333"/>
          <w:sz w:val="22"/>
          <w:szCs w:val="22"/>
        </w:rPr>
        <w:t xml:space="preserve">API Composition is the most straightforward solution: the calling service makes API calls to each relevant service, receives their responses, and assembles the composite result in application code. It is the direct replacement for a SQL JOIN — but with network calls instead of local DB operations.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API Composition — assembles data from multiple services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async function getOrderSummaries(userId, days)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Fetch orders from Order 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const orders = await orderService.getOrders({ userId, days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if (orders.length === 0) return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Batch fetch payment statuses (avoid N+1)</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const orderIds = orders.map(o =&gt; o.id);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const payments = await paymentService.getPaymentsByOrderIds(orderIds);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const paymentMap = new Map(payments.map(p =&gt; [p.orderId, 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Run payment fetch + user fetch in parallel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const [paymentResults, user] = await Promise.all([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paymentService.getPaymentsByOrderIds(orderIds),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userService.getUser(userId)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 Assemble in application code (replaces the SQL JOIN)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return orders.map(order =&gt;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orderId:       order.id,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total:         order.total,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paymentStatus: paymentMap.get(order.id)?.status ?? 'UNKNOWN',</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customerName:  user.name,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API Composition Property</w:t>
            </w:r>
          </w:p>
        </w:tc>
        <w:tc>
          <w:tcPr>
            <w:tcW w:type="dxa" w:w="6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Detail</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Real-time accuracy</w:t>
            </w:r>
          </w:p>
        </w:tc>
        <w:tc>
          <w:tcPr>
            <w:tcW w:type="dxa" w:w="6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Returns live data from each service — no staleness</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Latency</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 network round trips instead of 1 DB query. Use parallel calls and batch endpoints.</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Availability coupling</w:t>
            </w:r>
          </w:p>
        </w:tc>
        <w:tc>
          <w:tcPr>
            <w:tcW w:type="dxa" w:w="6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If any service is down, composition fails. Use fallback values and graceful degradation.</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N+1 risk</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Never call getPaymentByOrderId in a loop. Always use batch endpoint getPaymentsByOrderIds.</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Best for</w:t>
            </w:r>
          </w:p>
        </w:tc>
        <w:tc>
          <w:tcPr>
            <w:tcW w:type="dxa" w:w="6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Real-time requirements; 2-5 services; when strong consistency matters</w:t>
            </w:r>
          </w:p>
        </w:tc>
      </w:tr>
    </w:tbl>
    <w:p>
      <w:pPr>
        <w:spacing w:after="0" w:before="80"/>
      </w:pPr>
      <w:r>
        <w:t xml:space="preserve"/>
      </w:r>
    </w:p>
    <w:p>
      <w:pPr>
        <w:pStyle w:val="Heading2"/>
        <w:spacing w:after="100" w:before="280"/>
      </w:pPr>
      <w:r>
        <w:rPr>
          <w:rFonts w:ascii="Arial" w:cs="Arial" w:eastAsia="Arial" w:hAnsi="Arial"/>
          <w:b/>
          <w:bCs/>
          <w:color w:val="1565C0"/>
          <w:sz w:val="28"/>
          <w:szCs w:val="28"/>
        </w:rPr>
        <w:t xml:space="preserve">Solution B: CQRS — Denormalized Read Models</w:t>
      </w:r>
    </w:p>
    <w:p>
      <w:pPr>
        <w:spacing w:after="160"/>
      </w:pPr>
      <w:r>
        <w:rPr>
          <w:rFonts w:ascii="Arial" w:cs="Arial" w:eastAsia="Arial" w:hAnsi="Arial"/>
          <w:b w:val="false"/>
          <w:bCs w:val="false"/>
          <w:color w:val="333333"/>
          <w:sz w:val="22"/>
          <w:szCs w:val="22"/>
        </w:rPr>
        <w:t xml:space="preserve">CQRS separates writes (commands) from reads (queries). For cross-service queries, the key technique is a denormalized read model: a local database table pre-composed from events published by multiple services. Instead of joining at query time, the join happens at write time — when events arrive, the read model is updated.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CQRS Read Model — pre-computed denormalized view</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 Service maintains 'order_summaries' updated from events</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CREATE TABLE order_summaries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order_id        UUID PRIMARY KEY,</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user_id         UUID NOT NULL,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customer_name   VARCHAR(255),   -- denormalized from User 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total           DECIMAL(10,2),</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payment_status  VARCHAR(50),    -- denormalized from Payment Service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created_at      TIMESTAMP</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 handlers keep the read model current: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on('ORDER_CREATED', async (event) =&gt;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await db.query(`INSERT INTO order_summaries (order_id, user_id, total,</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created_at, payment_status) VALUES ($1,$2,$3,$4,'PENDING')`,</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[event.orderId, event.userId, event.total, event.createdAt]);</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on('PAYMENT_PROCESSED', async (event) =&gt;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await db.query(`UPDATE order_summaries SET payment_status=$1 WHERE order_id=$2`,</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[event.status, event.orderId]);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on('USER_PROFILE_UPDATED', async (event) =&gt; {</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await db.query(`UPDATE order_summaries SET customer_name=$1 WHERE user_id=$2`,</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[event.name, event.userId]);</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w:t>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w:r>
    </w:p>
    <w:p>
      <w:pPr>
        <w:pBdr>
          <w:left w:val="single" w:color="1565C0" w:sz="14"/>
        </w:pBdr>
        <w:shd w:fill="F5F5F5" w:val="clear"/>
        <w:spacing w:after="36"/>
        <w:ind w:left="360"/>
      </w:pPr>
      <w:r>
        <w:rPr>
          <w:rFonts w:ascii="Courier New" w:cs="Courier New" w:eastAsia="Courier New" w:hAnsi="Courier New"/>
          <w:color w:val="1A1A1A"/>
          <w:sz w:val="18"/>
          <w:szCs w:val="18"/>
        </w:rPr>
        <w:t xml:space="preserve">// Query: now a single fast DB query — no JOINs, no API calls</w:t>
      </w:r>
    </w:p>
    <w:p>
      <w:pPr>
        <w:pBdr>
          <w:left w:val="single" w:color="1565C0" w:sz="14"/>
        </w:pBdr>
        <w:shd w:fill="F5F5F5" w:val="clear"/>
        <w:spacing w:after="160"/>
        <w:ind w:left="360"/>
      </w:pPr>
      <w:r>
        <w:rPr>
          <w:rFonts w:ascii="Courier New" w:cs="Courier New" w:eastAsia="Courier New" w:hAnsi="Courier New"/>
          <w:color w:val="1A1A1A"/>
          <w:sz w:val="18"/>
          <w:szCs w:val="18"/>
        </w:rPr>
        <w:t xml:space="preserve">// SELECT * FROM order_summaries WHERE user_id=? AND created_at&gt;?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CQRS Read Model Property</w:t>
            </w:r>
          </w:p>
        </w:tc>
        <w:tc>
          <w:tcPr>
            <w:tcW w:type="dxa" w:w="6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Detail</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Query performance</w:t>
            </w:r>
          </w:p>
        </w:tc>
        <w:tc>
          <w:tcPr>
            <w:tcW w:type="dxa" w:w="6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Single DB query, no network calls — extremely fast</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Consistency</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Eventual — read model may lag writes by milliseconds to seconds</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Complexity</w:t>
            </w:r>
          </w:p>
        </w:tc>
        <w:tc>
          <w:tcPr>
            <w:tcW w:type="dxa" w:w="6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Higher upfront cost — event handlers, projection management</w:t>
            </w:r>
          </w:p>
        </w:tc>
      </w:tr>
      <w:tr>
        <w:trPr>
          <w:tblHeader w:val="false"/>
        </w:trPr>
        <w:tc>
          <w:tcPr>
            <w:tcW w:type="dxa" w:w="26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Storage</w:t>
            </w:r>
          </w:p>
        </w:tc>
        <w:tc>
          <w:tcPr>
            <w:tcW w:type="dxa" w:w="6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Denormalization means storing data in multiple places</w:t>
            </w:r>
          </w:p>
        </w:tc>
      </w:tr>
      <w:tr>
        <w:trPr>
          <w:tblHeader w:val="false"/>
        </w:trPr>
        <w:tc>
          <w:tcPr>
            <w:tcW w:type="dxa" w:w="26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Best for</w:t>
            </w:r>
          </w:p>
        </w:tc>
        <w:tc>
          <w:tcPr>
            <w:tcW w:type="dxa" w:w="6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read throughput; complex queries; acceptable eventual consistency</w:t>
            </w:r>
          </w:p>
        </w:tc>
      </w:tr>
    </w:tbl>
    <w:p>
      <w:pPr>
        <w:spacing w:after="0" w:before="80"/>
      </w:pPr>
      <w:r>
        <w:t xml:space="preserve"/>
      </w:r>
    </w:p>
    <w:p>
      <w:pPr>
        <w:pBdr>
          <w:top w:val="single" w:color="2E7D32" w:sz="2"/>
          <w:bottom w:val="single" w:color="2E7D32" w:sz="2"/>
          <w:left w:val="single" w:color="2E7D32" w:sz="20"/>
          <w:right w:val="single" w:color="2E7D32" w:sz="2"/>
        </w:pBdr>
        <w:shd w:fill="E8F5E9" w:val="clear"/>
        <w:spacing w:after="160"/>
        <w:ind w:left="360" w:right="360"/>
      </w:pPr>
      <w:r>
        <w:rPr>
          <w:rFonts w:ascii="Arial" w:cs="Arial" w:eastAsia="Arial" w:hAnsi="Arial"/>
          <w:b/>
          <w:bCs/>
          <w:color w:val="2E7D32"/>
          <w:sz w:val="22"/>
          <w:szCs w:val="22"/>
        </w:rPr>
        <w:t xml:space="preserve">SOLUTION  </w:t>
      </w:r>
      <w:r>
        <w:rPr>
          <w:rFonts w:ascii="Arial" w:cs="Arial" w:eastAsia="Arial" w:hAnsi="Arial"/>
          <w:color w:val="333333"/>
          <w:sz w:val="22"/>
          <w:szCs w:val="22"/>
        </w:rPr>
        <w:t xml:space="preserve">Cross-service query choice: use API Composition for real-time accuracy and simpler systems. Use CQRS read models when query performance is critical, or when the query needs data from many services and API call latency is unacceptable. Many systems use both for different query patterns.</w:t>
      </w:r>
    </w:p>
    <w:p>
      <w:r>
        <w:br w:type="page"/>
      </w:r>
    </w:p>
    <w:p>
      <w:r>
        <w:br w:type="page"/>
      </w:r>
    </w:p>
    <w:p>
      <w:pPr>
        <w:pStyle w:val="Heading1"/>
        <w:shd w:fill="B71C1C" w:val="clear"/>
        <w:spacing w:after="60" w:before="300"/>
        <w:ind w:left="240" w:right="240"/>
      </w:pPr>
      <w:r>
        <w:rPr>
          <w:rFonts w:ascii="Arial" w:cs="Arial" w:eastAsia="Arial" w:hAnsi="Arial"/>
          <w:b w:val="false"/>
          <w:bCs w:val="false"/>
          <w:color w:val="FFFFFF"/>
          <w:sz w:val="32"/>
          <w:szCs w:val="32"/>
        </w:rPr>
        <w:t xml:space="preserve">Challenge 2: </w:t>
      </w:r>
      <w:r>
        <w:rPr>
          <w:rFonts w:ascii="Arial" w:cs="Arial" w:eastAsia="Arial" w:hAnsi="Arial"/>
          <w:b/>
          <w:bCs/>
          <w:color w:val="FFFFFF"/>
          <w:sz w:val="44"/>
          <w:szCs w:val="44"/>
        </w:rPr>
        <w:t xml:space="preserve">Cross-Service Transactions</w:t>
      </w:r>
    </w:p>
    <w:p>
      <w:pPr>
        <w:shd w:fill="FFEBEE" w:val="clear"/>
        <w:spacing w:after="200"/>
        <w:ind w:left="240" w:right="240"/>
      </w:pPr>
      <w:r>
        <w:rPr>
          <w:rFonts w:ascii="Arial" w:cs="Arial" w:eastAsia="Arial" w:hAnsi="Arial"/>
          <w:color w:val="B71C1C"/>
          <w:sz w:val="24"/>
          <w:szCs w:val="24"/>
        </w:rPr>
        <w:t xml:space="preserve">No ACID across services — consistency through coordination patterns</w:t>
      </w:r>
    </w:p>
    <w:p>
      <w:pPr>
        <w:pBdr>
          <w:bottom w:val="single" w:color="B71C1C" w:sz="8" w:space="1"/>
        </w:pBdr>
        <w:spacing w:after="160"/>
      </w:pPr>
    </w:p>
    <w:p>
      <w:pPr>
        <w:pStyle w:val="Heading2"/>
        <w:spacing w:after="100" w:before="280"/>
      </w:pPr>
      <w:r>
        <w:rPr>
          <w:rFonts w:ascii="Arial" w:cs="Arial" w:eastAsia="Arial" w:hAnsi="Arial"/>
          <w:b/>
          <w:bCs/>
          <w:color w:val="B71C1C"/>
          <w:sz w:val="28"/>
          <w:szCs w:val="28"/>
        </w:rPr>
        <w:t xml:space="preserve">The Problem</w:t>
      </w:r>
    </w:p>
    <w:p>
      <w:pPr>
        <w:spacing w:after="160"/>
      </w:pPr>
      <w:r>
        <w:rPr>
          <w:rFonts w:ascii="Arial" w:cs="Arial" w:eastAsia="Arial" w:hAnsi="Arial"/>
          <w:b w:val="false"/>
          <w:bCs w:val="false"/>
          <w:color w:val="333333"/>
          <w:sz w:val="22"/>
          <w:szCs w:val="22"/>
        </w:rPr>
        <w:t xml:space="preserve">ACID transactions guarantee atomicity: all operations succeed or all are rolled back. With database-per-service, no transaction spans multiple services. If placing an order requires creating an order AND reserving inventory AND charging payment — and payment fails after the first two steps — the system is inconsistent. There is no automatic rollback.</w:t>
      </w:r>
    </w:p>
    <w:p>
      <w:pPr>
        <w:pStyle w:val="Heading2"/>
        <w:spacing w:after="100" w:before="280"/>
      </w:pPr>
      <w:r>
        <w:rPr>
          <w:rFonts w:ascii="Arial" w:cs="Arial" w:eastAsia="Arial" w:hAnsi="Arial"/>
          <w:b/>
          <w:bCs/>
          <w:color w:val="B71C1C"/>
          <w:sz w:val="28"/>
          <w:szCs w:val="28"/>
        </w:rPr>
        <w:t xml:space="preserve">Solution A: Saga Pattern</w:t>
      </w:r>
    </w:p>
    <w:p>
      <w:pPr>
        <w:spacing w:after="160"/>
      </w:pPr>
      <w:r>
        <w:rPr>
          <w:rFonts w:ascii="Arial" w:cs="Arial" w:eastAsia="Arial" w:hAnsi="Arial"/>
          <w:b w:val="false"/>
          <w:bCs w:val="false"/>
          <w:color w:val="333333"/>
          <w:sz w:val="22"/>
          <w:szCs w:val="22"/>
        </w:rPr>
        <w:t xml:space="preserve">The Saga pattern implements distributed atomicity through a sequence of local transactions, each with a compensating transaction that undoes its effect if a later step fails. There is no distributed lock — only local commits followed by explicit compensations when needed.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Saga pattern — sequence of local transactions with compensations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class PlaceOrderSaga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async execute(input)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const compensations =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try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const order = await orderService.createOrder(input);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compensations.push(() =&gt; orderService.cancelOrder(order.id));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const reservation = await inventoryService.reserve(input.items);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compensations.push(() =&gt; inventoryService.release(reservation.id));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const payment = await paymentService.charge(input.payment); // PIVOT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compensations.push(() =&gt; paymentService.refund(payment.id));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return { orderId: order.id, status: 'CONFIRMED'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catch (err)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for (const compensate of compensations.reverse())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await compensate(); // Temporal/Axon/custom handles retry of compensations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throw err;</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B71C1C"/>
          <w:sz w:val="28"/>
          <w:szCs w:val="28"/>
        </w:rPr>
        <w:t xml:space="preserve">Solution B: Transactional Outbox Pattern</w:t>
      </w:r>
    </w:p>
    <w:p>
      <w:pPr>
        <w:spacing w:after="160"/>
      </w:pPr>
      <w:r>
        <w:rPr>
          <w:rFonts w:ascii="Arial" w:cs="Arial" w:eastAsia="Arial" w:hAnsi="Arial"/>
          <w:b w:val="false"/>
          <w:bCs w:val="false"/>
          <w:color w:val="333333"/>
          <w:sz w:val="22"/>
          <w:szCs w:val="22"/>
        </w:rPr>
        <w:t xml:space="preserve">The Transactional Outbox solves the dual-write problem: how to atomically commit a local DB change AND reliably publish an event. Without it, a crash between commit and publish leaves the saga permanently stuck.</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Transactional Outbox: domain change + event in ONE transaction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BEGIN TRANSACTION;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INSERT INTO orders (id, user_id, total, status)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VALUES ('ord-123', 'usr-456', 199.99, 'PENDING');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 Event written to outbox table IN SAME TRANSACTION</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INSERT INTO outbox_events (event_type, payload, status)</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VALUES ('ORDER_CREATED','{ "orderId":"ord-123" }','PENDING');</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COMMIT;</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If service crashes: BOTH order AND outbox entry are committed.</w:t>
      </w:r>
    </w:p>
    <w:p>
      <w:pPr>
        <w:pBdr>
          <w:left w:val="single" w:color="B71C1C" w:sz="14"/>
        </w:pBdr>
        <w:shd w:fill="F5F5F5" w:val="clear"/>
        <w:spacing w:after="36"/>
        <w:ind w:left="360"/>
      </w:pPr>
      <w:r>
        <w:rPr>
          <w:rFonts w:ascii="Courier New" w:cs="Courier New" w:eastAsia="Courier New" w:hAnsi="Courier New"/>
          <w:color w:val="1A1A1A"/>
          <w:sz w:val="18"/>
          <w:szCs w:val="18"/>
        </w:rPr>
        <w:t xml:space="preserve">-- Outbox publisher delivers event to Kafka at-least-once.</w:t>
      </w:r>
    </w:p>
    <w:p>
      <w:pPr>
        <w:pBdr>
          <w:left w:val="single" w:color="B71C1C" w:sz="14"/>
        </w:pBdr>
        <w:shd w:fill="F5F5F5" w:val="clear"/>
        <w:spacing w:after="160"/>
        <w:ind w:left="360"/>
      </w:pPr>
      <w:r>
        <w:rPr>
          <w:rFonts w:ascii="Courier New" w:cs="Courier New" w:eastAsia="Courier New" w:hAnsi="Courier New"/>
          <w:color w:val="1A1A1A"/>
          <w:sz w:val="18"/>
          <w:szCs w:val="18"/>
        </w:rPr>
        <w:t xml:space="preserve">-- Consumer handles duplicates via idempotency key check.</w:t>
      </w: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2800"/>
        <w:gridCol w:w="31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Pattern</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When to Use</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Key Property</w:t>
            </w:r>
          </w:p>
        </w:tc>
        <w:tc>
          <w:tcPr>
            <w:tcW w:type="dxa" w:w="31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Limitation</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Saga (Orchestration)</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Multi-step business workflows with clear rollback semantics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Each step is locally ACID; eventual consistency overall</w:t>
            </w:r>
          </w:p>
        </w:tc>
        <w:tc>
          <w:tcPr>
            <w:tcW w:type="dxa" w:w="3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Visible intermediate states; compensation complexity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Saga (Choreography)</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Simple 2-4 step workflows; event-driven teams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central coordinator; loose coupling</w:t>
            </w:r>
          </w:p>
        </w:tc>
        <w:tc>
          <w:tcPr>
            <w:tcW w:type="dxa" w:w="31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Hard to trace; cyclic dependency risk</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Transactional Outbox</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Any saga step that must reliably publish an event</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At-least-once delivery guaranteed even on crash</w:t>
            </w:r>
          </w:p>
        </w:tc>
        <w:tc>
          <w:tcPr>
            <w:tcW w:type="dxa" w:w="31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Duplicate events must be handled (idempotent consumers)</w:t>
            </w:r>
          </w:p>
        </w:tc>
      </w:tr>
    </w:tbl>
    <w:p>
      <w:pPr>
        <w:spacing w:after="0" w:before="80"/>
      </w:pPr>
      <w:r>
        <w:t xml:space="preserve"/>
      </w:r>
    </w:p>
    <w:p>
      <w:pPr>
        <w:pBdr>
          <w:top w:val="single" w:color="2E7D32" w:sz="2"/>
          <w:bottom w:val="single" w:color="2E7D32" w:sz="2"/>
          <w:left w:val="single" w:color="2E7D32" w:sz="20"/>
          <w:right w:val="single" w:color="2E7D32" w:sz="2"/>
        </w:pBdr>
        <w:shd w:fill="E8F5E9" w:val="clear"/>
        <w:spacing w:after="160"/>
        <w:ind w:left="360" w:right="360"/>
      </w:pPr>
      <w:r>
        <w:rPr>
          <w:rFonts w:ascii="Arial" w:cs="Arial" w:eastAsia="Arial" w:hAnsi="Arial"/>
          <w:b/>
          <w:bCs/>
          <w:color w:val="2E7D32"/>
          <w:sz w:val="22"/>
          <w:szCs w:val="22"/>
        </w:rPr>
        <w:t xml:space="preserve">SOLUTION  </w:t>
      </w:r>
      <w:r>
        <w:rPr>
          <w:rFonts w:ascii="Arial" w:cs="Arial" w:eastAsia="Arial" w:hAnsi="Arial"/>
          <w:color w:val="333333"/>
          <w:sz w:val="22"/>
          <w:szCs w:val="22"/>
        </w:rPr>
        <w:t xml:space="preserve">Cross-service transaction consistency: use Saga for multi-service workflows requiring coordination. Use Outbox within each Saga step to guarantee reliable event publication. These patterns are complementary — most production sagas use both.</w:t>
      </w:r>
    </w:p>
    <w:p>
      <w:r>
        <w:br w:type="page"/>
      </w:r>
    </w:p>
    <w:p>
      <w:r>
        <w:br w:type="page"/>
      </w:r>
    </w:p>
    <w:p>
      <w:pPr>
        <w:pStyle w:val="Heading1"/>
        <w:shd w:fill="2E7D32" w:val="clear"/>
        <w:spacing w:after="60" w:before="300"/>
        <w:ind w:left="240" w:right="240"/>
      </w:pPr>
      <w:r>
        <w:rPr>
          <w:rFonts w:ascii="Arial" w:cs="Arial" w:eastAsia="Arial" w:hAnsi="Arial"/>
          <w:b w:val="false"/>
          <w:bCs w:val="false"/>
          <w:color w:val="FFFFFF"/>
          <w:sz w:val="32"/>
          <w:szCs w:val="32"/>
        </w:rPr>
        <w:t xml:space="preserve">Challenge 3: </w:t>
      </w:r>
      <w:r>
        <w:rPr>
          <w:rFonts w:ascii="Arial" w:cs="Arial" w:eastAsia="Arial" w:hAnsi="Arial"/>
          <w:b/>
          <w:bCs/>
          <w:color w:val="FFFFFF"/>
          <w:sz w:val="44"/>
          <w:szCs w:val="44"/>
        </w:rPr>
        <w:t xml:space="preserve">Data Duplication</w:t>
      </w:r>
    </w:p>
    <w:p>
      <w:pPr>
        <w:shd w:fill="E8F5E9" w:val="clear"/>
        <w:spacing w:after="200"/>
        <w:ind w:left="240" w:right="240"/>
      </w:pPr>
      <w:r>
        <w:rPr>
          <w:rFonts w:ascii="Arial" w:cs="Arial" w:eastAsia="Arial" w:hAnsi="Arial"/>
          <w:color w:val="2E7D32"/>
          <w:sz w:val="24"/>
          <w:szCs w:val="24"/>
        </w:rPr>
        <w:t xml:space="preserve">Services need local copies of other services' data — deliberate denormalization</w:t>
      </w:r>
    </w:p>
    <w:p>
      <w:pPr>
        <w:pBdr>
          <w:bottom w:val="single" w:color="2E7D32" w:sz="8" w:space="1"/>
        </w:pBdr>
        <w:spacing w:after="160"/>
      </w:pPr>
    </w:p>
    <w:p>
      <w:pPr>
        <w:pStyle w:val="Heading2"/>
        <w:spacing w:after="100" w:before="280"/>
      </w:pPr>
      <w:r>
        <w:rPr>
          <w:rFonts w:ascii="Arial" w:cs="Arial" w:eastAsia="Arial" w:hAnsi="Arial"/>
          <w:b/>
          <w:bCs/>
          <w:color w:val="2E7D32"/>
          <w:sz w:val="28"/>
          <w:szCs w:val="28"/>
        </w:rPr>
        <w:t xml:space="preserve">The Problem</w:t>
      </w:r>
    </w:p>
    <w:p>
      <w:pPr>
        <w:spacing w:after="160"/>
      </w:pPr>
      <w:r>
        <w:rPr>
          <w:rFonts w:ascii="Arial" w:cs="Arial" w:eastAsia="Arial" w:hAnsi="Arial"/>
          <w:b w:val="false"/>
          <w:bCs w:val="false"/>
          <w:color w:val="333333"/>
          <w:sz w:val="22"/>
          <w:szCs w:val="22"/>
        </w:rPr>
        <w:t xml:space="preserve">When Service A frequently needs data owned by Service B, it faces a choice: make an API call every time (network latency, availability coupling) or keep a local copy (staleness, sync complexity). Deliberate data duplication — intentional denormalization to enable independent operation — is often the right answer.</w:t>
      </w:r>
    </w:p>
    <w:p>
      <w:pPr>
        <w:spacing w:after="160"/>
      </w:pPr>
      <w:r>
        <w:rPr>
          <w:rFonts w:ascii="Arial" w:cs="Arial" w:eastAsia="Arial" w:hAnsi="Arial"/>
          <w:b w:val="false"/>
          <w:bCs w:val="false"/>
          <w:color w:val="333333"/>
          <w:sz w:val="22"/>
          <w:szCs w:val="22"/>
        </w:rPr>
        <w:t xml:space="preserve">This is not accidental duplication (a bug) but a design decision. The Order Service keeping the customer's shipping address is correct: it allows order fulfillment even when User Service is down, and captures the address at order placement time — which may be historically accurate even if the user updates it later.</w:t>
      </w:r>
    </w:p>
    <w:p>
      <w:pPr>
        <w:pStyle w:val="Heading2"/>
        <w:spacing w:after="100" w:before="280"/>
      </w:pPr>
      <w:r>
        <w:rPr>
          <w:rFonts w:ascii="Arial" w:cs="Arial" w:eastAsia="Arial" w:hAnsi="Arial"/>
          <w:b/>
          <w:bCs/>
          <w:color w:val="2E7D32"/>
          <w:sz w:val="28"/>
          <w:szCs w:val="28"/>
        </w:rPr>
        <w:t xml:space="preserve">Solution: Event-Driven Sync — Subscribe to Events, Maintain Local Copy</w:t>
      </w:r>
    </w:p>
    <w:p>
      <w:pPr>
        <w:spacing w:after="160"/>
      </w:pPr>
      <w:r>
        <w:rPr>
          <w:rFonts w:ascii="Arial" w:cs="Arial" w:eastAsia="Arial" w:hAnsi="Arial"/>
          <w:b w:val="false"/>
          <w:bCs w:val="false"/>
          <w:color w:val="333333"/>
          <w:sz w:val="22"/>
          <w:szCs w:val="22"/>
        </w:rPr>
        <w:t xml:space="preserve">The owning service publishes domain events when its data changes. Other services subscribe and update their local copies. The subscribing service maintains a read-optimised, denormalized representation — not a full copy — of exactly the fields it needs.</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Order Service subscribing to User profile events</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Local table: only fields Order Service actually needs</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CREATE TABLE local_user_profiles (</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user_id         UUID PRIMARY KEY,</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name            VARCHAR(255),</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default_address JSONB,</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email           VARCHAR(255),</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last_synced_at  TIMESTAMP</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 NOT a full copy of users_db.users</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 Only what Order Service uses for its operations</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Idempotent event handler:</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async function handleUserProfileUpdated(event) {</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await db.query(</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`INSERT INTO local_user_profiles (user_id, name, default_address, email, last_synced_at)</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VALUES ($1, $2, $3, $4, $5)</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ON CONFLICT (user_id) DO UPDATE</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SET name=EXCLUDED.name, default_address=EXCLUDED.default_address,</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email=EXCLUDED.email, last_synced_at=EXCLUDED.last_synced_at`,</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[event.userId, event.name, event.address, event.email, new Date()]</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Order Service queries its LOCAL table — no network call:</w:t>
      </w:r>
    </w:p>
    <w:p>
      <w:pPr>
        <w:pBdr>
          <w:left w:val="single" w:color="2E7D32" w:sz="14"/>
        </w:pBdr>
        <w:shd w:fill="F5F5F5" w:val="clear"/>
        <w:spacing w:after="36"/>
        <w:ind w:left="360"/>
      </w:pPr>
      <w:r>
        <w:rPr>
          <w:rFonts w:ascii="Courier New" w:cs="Courier New" w:eastAsia="Courier New" w:hAnsi="Courier New"/>
          <w:color w:val="1A1A1A"/>
          <w:sz w:val="18"/>
          <w:szCs w:val="18"/>
        </w:rPr>
        <w:t xml:space="preserve">// SELECT name, default_address FROM local_user_profiles WHERE user_id = ?</w:t>
      </w:r>
    </w:p>
    <w:p>
      <w:pPr>
        <w:pBdr>
          <w:left w:val="single" w:color="2E7D32" w:sz="14"/>
        </w:pBdr>
        <w:shd w:fill="F5F5F5" w:val="clear"/>
        <w:spacing w:after="160"/>
        <w:ind w:left="360"/>
      </w:pPr>
      <w:r>
        <w:rPr>
          <w:rFonts w:ascii="Courier New" w:cs="Courier New" w:eastAsia="Courier New" w:hAnsi="Courier New"/>
          <w:color w:val="1A1A1A"/>
          <w:sz w:val="18"/>
          <w:szCs w:val="18"/>
        </w:rPr>
        <w:t xml:space="preserve">// Works even when User Service is temporarily unavailable.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Scenario</w:t>
            </w:r>
          </w:p>
        </w:tc>
        <w:tc>
          <w:tcPr>
            <w:tcW w:type="dxa" w:w="2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Approach</w:t>
            </w:r>
          </w:p>
        </w:tc>
        <w:tc>
          <w:tcPr>
            <w:tcW w:type="dxa" w:w="45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Reason</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Customer name on order summary</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Duplicate via events</w:t>
            </w:r>
          </w:p>
        </w:tc>
        <w:tc>
          <w:tcPr>
            <w:tcW w:type="dxa" w:w="4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Slight staleness acceptable; avoids API call on every render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Current product price at checkout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Fetch via API — do not duplicate</w:t>
            </w:r>
          </w:p>
        </w:tc>
        <w:tc>
          <w:tcPr>
            <w:tcW w:type="dxa" w:w="4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Price changes must be real-time; stale price = financial error</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Shipping address on placed order</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Snapshot at order time — store with order</w:t>
            </w:r>
          </w:p>
        </w:tc>
        <w:tc>
          <w:tcPr>
            <w:tcW w:type="dxa" w:w="4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Address captured at order time is correct even if user updates later</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User's current loyalty tier for discount</w:t>
            </w:r>
          </w:p>
        </w:tc>
        <w:tc>
          <w:tcPr>
            <w:tcW w:type="dxa" w:w="2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Fetch via API</w:t>
            </w:r>
          </w:p>
        </w:tc>
        <w:tc>
          <w:tcPr>
            <w:tcW w:type="dxa" w:w="45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Must be current — stale tier could cause wrong pricing</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Inventory item name for display</w:t>
            </w:r>
          </w:p>
        </w:tc>
        <w:tc>
          <w:tcPr>
            <w:tcW w:type="dxa" w:w="2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Duplicate via events</w:t>
            </w:r>
          </w:p>
        </w:tc>
        <w:tc>
          <w:tcPr>
            <w:tcW w:type="dxa" w:w="45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Display name rarely changes; acceptable staleness; saves API call</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Eventual Consistency Handling</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Description</w:t>
            </w:r>
          </w:p>
        </w:tc>
        <w:tc>
          <w:tcPr>
            <w:tcW w:type="dxa" w:w="3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Example</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Snapshot semantics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Store data as-of the time of an action</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Shipping address stored with order — correct even after user updates</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Stale data label</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Show 'as of [time]' for known-lagging data</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'Address on file when order was placed'</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last_synced_at field</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Let UI decide freshness policy per field</w:t>
            </w:r>
          </w:p>
        </w:tc>
        <w:tc>
          <w:tcPr>
            <w:tcW w:type="dxa" w:w="3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If last_synced &gt; 1hr, fall back to API call for critical data</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Accept lag for non-critical data</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Customer name in history does not need real-time accuracy</w:t>
            </w:r>
          </w:p>
        </w:tc>
        <w:tc>
          <w:tcPr>
            <w:tcW w:type="dxa" w:w="3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Name change propagates in minutes — no user harm</w:t>
            </w:r>
          </w:p>
        </w:tc>
      </w:tr>
    </w:tbl>
    <w:p>
      <w:pPr>
        <w:spacing w:after="0" w:before="80"/>
      </w:pPr>
      <w:r>
        <w:t xml:space="preserve"/>
      </w:r>
    </w:p>
    <w:p>
      <w:pPr>
        <w:pBdr>
          <w:top w:val="single" w:color="2E7D32" w:sz="2"/>
          <w:bottom w:val="single" w:color="2E7D32" w:sz="2"/>
          <w:left w:val="single" w:color="2E7D32" w:sz="20"/>
          <w:right w:val="single" w:color="2E7D32" w:sz="2"/>
        </w:pBdr>
        <w:shd w:fill="E8F5E9" w:val="clear"/>
        <w:spacing w:after="160"/>
        <w:ind w:left="360" w:right="360"/>
      </w:pPr>
      <w:r>
        <w:rPr>
          <w:rFonts w:ascii="Arial" w:cs="Arial" w:eastAsia="Arial" w:hAnsi="Arial"/>
          <w:b/>
          <w:bCs/>
          <w:color w:val="2E7D32"/>
          <w:sz w:val="22"/>
          <w:szCs w:val="22"/>
        </w:rPr>
        <w:t xml:space="preserve">SOLUTION  </w:t>
      </w:r>
      <w:r>
        <w:rPr>
          <w:rFonts w:ascii="Arial" w:cs="Arial" w:eastAsia="Arial" w:hAnsi="Arial"/>
          <w:color w:val="333333"/>
          <w:sz w:val="22"/>
          <w:szCs w:val="22"/>
        </w:rPr>
        <w:t xml:space="preserve">Data duplication is not a failure — it is a deliberate design choice enabling independent operation. Discipline: only duplicate what you actually need, always sync via events (not polling), make event handlers idempotent, and explicitly document what staleness is acceptable for each field.</w:t>
      </w:r>
    </w:p>
    <w:p>
      <w:r>
        <w:br w:type="page"/>
      </w:r>
    </w:p>
    <w:p>
      <w:r>
        <w:br w:type="page"/>
      </w:r>
    </w:p>
    <w:p>
      <w:pPr>
        <w:pStyle w:val="Heading1"/>
        <w:shd w:fill="E65100" w:val="clear"/>
        <w:spacing w:after="60" w:before="300"/>
        <w:ind w:left="240" w:right="240"/>
      </w:pPr>
      <w:r>
        <w:rPr>
          <w:rFonts w:ascii="Arial" w:cs="Arial" w:eastAsia="Arial" w:hAnsi="Arial"/>
          <w:b w:val="false"/>
          <w:bCs w:val="false"/>
          <w:color w:val="FFFFFF"/>
          <w:sz w:val="32"/>
          <w:szCs w:val="32"/>
        </w:rPr>
        <w:t xml:space="preserve">Challenge 4: </w:t>
      </w:r>
      <w:r>
        <w:rPr>
          <w:rFonts w:ascii="Arial" w:cs="Arial" w:eastAsia="Arial" w:hAnsi="Arial"/>
          <w:b/>
          <w:bCs/>
          <w:color w:val="FFFFFF"/>
          <w:sz w:val="44"/>
          <w:szCs w:val="44"/>
        </w:rPr>
        <w:t xml:space="preserve">Referential Integrity Across Service Boundaries</w:t>
      </w:r>
    </w:p>
    <w:p>
      <w:pPr>
        <w:shd w:fill="FBE9E7" w:val="clear"/>
        <w:spacing w:after="200"/>
        <w:ind w:left="240" w:right="240"/>
      </w:pPr>
      <w:r>
        <w:rPr>
          <w:rFonts w:ascii="Arial" w:cs="Arial" w:eastAsia="Arial" w:hAnsi="Arial"/>
          <w:color w:val="E65100"/>
          <w:sz w:val="24"/>
          <w:szCs w:val="24"/>
        </w:rPr>
        <w:t xml:space="preserve">No foreign keys across databases — orphaned records become a possibility</w:t>
      </w:r>
    </w:p>
    <w:p>
      <w:pPr>
        <w:pBdr>
          <w:bottom w:val="single" w:color="E65100" w:sz="8" w:space="1"/>
        </w:pBdr>
        <w:spacing w:after="160"/>
      </w:pPr>
    </w:p>
    <w:p>
      <w:pPr>
        <w:pStyle w:val="Heading2"/>
        <w:spacing w:after="100" w:before="280"/>
      </w:pPr>
      <w:r>
        <w:rPr>
          <w:rFonts w:ascii="Arial" w:cs="Arial" w:eastAsia="Arial" w:hAnsi="Arial"/>
          <w:b/>
          <w:bCs/>
          <w:color w:val="E65100"/>
          <w:sz w:val="28"/>
          <w:szCs w:val="28"/>
        </w:rPr>
        <w:t xml:space="preserve">The Problem</w:t>
      </w:r>
    </w:p>
    <w:p>
      <w:pPr>
        <w:spacing w:after="160"/>
      </w:pPr>
      <w:r>
        <w:rPr>
          <w:rFonts w:ascii="Arial" w:cs="Arial" w:eastAsia="Arial" w:hAnsi="Arial"/>
          <w:b w:val="false"/>
          <w:bCs w:val="false"/>
          <w:color w:val="333333"/>
          <w:sz w:val="22"/>
          <w:szCs w:val="22"/>
        </w:rPr>
        <w:t xml:space="preserve">In a monolith, database foreign keys enforce referential integrity: a payment referencing a non-existent order is rejected by the database engine. This guarantee disappears entirely when orders and payments are in separate databases. Cross-service references are just UUID columns — the database cannot verify that the referenced entity exists.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Monolith: FK constraint enforced by database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CREATE TABLE payments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id       UUID PRIMARY KEY,</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order_id UUID REFERENCES orders(id) ON DELETE CASCADE,  -- FK enforced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amount   DECIMAL</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INSERT with non-existent order_id → ERROR: FK constraint violated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Microservices: FK is IMPOSSIBLE across databases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payments_db.payments.order_id is just a UUID column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Database cannot verify 'order-123' exists in orders_db</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Possible orphan scenarios: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1. Order created, payment fails, order cancelled via compensation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If payment record was created first, it now references non-existent order</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2. User deleted (GDPR) → orders reference non-existent user</w:t>
      </w:r>
    </w:p>
    <w:p>
      <w:pPr>
        <w:pBdr>
          <w:left w:val="single" w:color="E65100" w:sz="14"/>
        </w:pBdr>
        <w:shd w:fill="F5F5F5" w:val="clear"/>
        <w:spacing w:after="160"/>
        <w:ind w:left="360"/>
      </w:pPr>
      <w:r>
        <w:rPr>
          <w:rFonts w:ascii="Courier New" w:cs="Courier New" w:eastAsia="Courier New" w:hAnsi="Courier New"/>
          <w:color w:val="1A1A1A"/>
          <w:sz w:val="18"/>
          <w:szCs w:val="18"/>
        </w:rPr>
        <w:t xml:space="preserve">// 3. Product removed → order line items reference non-existent product</w:t>
      </w:r>
    </w:p>
    <w:p>
      <w:pPr>
        <w:pStyle w:val="Heading2"/>
        <w:spacing w:after="100" w:before="280"/>
      </w:pPr>
      <w:r>
        <w:rPr>
          <w:rFonts w:ascii="Arial" w:cs="Arial" w:eastAsia="Arial" w:hAnsi="Arial"/>
          <w:b/>
          <w:bCs/>
          <w:color w:val="E65100"/>
          <w:sz w:val="28"/>
          <w:szCs w:val="28"/>
        </w:rPr>
        <w:t xml:space="preserve">Solution A: Event-Driven Compensating Actions</w:t>
      </w:r>
    </w:p>
    <w:p>
      <w:pPr>
        <w:spacing w:after="160"/>
      </w:pPr>
      <w:r>
        <w:rPr>
          <w:rFonts w:ascii="Arial" w:cs="Arial" w:eastAsia="Arial" w:hAnsi="Arial"/>
          <w:b w:val="false"/>
          <w:bCs w:val="false"/>
          <w:color w:val="333333"/>
          <w:sz w:val="22"/>
          <w:szCs w:val="22"/>
        </w:rPr>
        <w:t xml:space="preserve">Services subscribe to deletion or cancellation events from other services and take immediate compensating action. This is the primary mechanism — near-real-time, automated, and covers the most important cases.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Payment Service subscribes to ORDER_CANCELLED: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on('ORDER_CANCELLED', async (event) =&gt;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const payment = await paymentRepo.findByOrderId(event.orderId);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if (!payment) return;  // no payment to worry about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if (payment.status === 'AUTHORISED')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await paymentService.refund(payment.id, event.cancellationReason);</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logger.info(`Refunded orphaned payment for cancelled order ${event.orderId}`);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Order Service subscribes to USER_DELETED (GDPR):</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on('USER_DELETED', async (event) =&gt;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const openOrders = await orderRepo.findOpenOrdersByUserId(event.userId);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for (const order of openOrders)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await orderService.cancelOrder(order.id, 'USER_DELETED');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160"/>
        <w:ind w:left="360"/>
      </w:pPr>
      <w:r>
        <w:rPr>
          <w:rFonts w:ascii="Courier New" w:cs="Courier New" w:eastAsia="Courier New" w:hAnsi="Courier New"/>
          <w:color w:val="1A1A1A"/>
          <w:sz w:val="18"/>
          <w:szCs w:val="18"/>
        </w:rPr>
        <w:t xml:space="preserve">});</w:t>
      </w:r>
    </w:p>
    <w:p>
      <w:pPr>
        <w:pStyle w:val="Heading2"/>
        <w:spacing w:after="100" w:before="280"/>
      </w:pPr>
      <w:r>
        <w:rPr>
          <w:rFonts w:ascii="Arial" w:cs="Arial" w:eastAsia="Arial" w:hAnsi="Arial"/>
          <w:b/>
          <w:bCs/>
          <w:color w:val="E65100"/>
          <w:sz w:val="28"/>
          <w:szCs w:val="28"/>
        </w:rPr>
        <w:t xml:space="preserve">Solution B: Periodic Consistency Checks</w:t>
      </w:r>
    </w:p>
    <w:p>
      <w:pPr>
        <w:spacing w:after="160"/>
      </w:pPr>
      <w:r>
        <w:rPr>
          <w:rFonts w:ascii="Arial" w:cs="Arial" w:eastAsia="Arial" w:hAnsi="Arial"/>
          <w:b w:val="false"/>
          <w:bCs w:val="false"/>
          <w:color w:val="333333"/>
          <w:sz w:val="22"/>
          <w:szCs w:val="22"/>
        </w:rPr>
        <w:t xml:space="preserve">A background job runs at a configurable interval, querying for orphaned records and resolving them automatically or flagging them for manual review. This is the safety net for cases that event-driven compensation misses.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Background consistency check — runs hourly</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async function checkPaymentIntegrity()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Find payment records where the referenced order no longer exists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const orphanedPayments = await paymentsDb.query(</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'SELECT id, order_id, amount FROM payments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WHERE status = AUTHORISED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AND order_id NOT IN (SELECT order_id FROM known_order_ids)'</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for (const payment of orphanedPayments)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 Verify via Order Service API (definitive source of truth)</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const orderExists = await orderServiceClient.orderExists(payment.orderId);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if (!orderExists)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await paymentService.refund(payment.id, 'ORDER_NOT_FOUND');</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await ops.alert('Orphaned payment refunded', payment);</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36"/>
        <w:ind w:left="360"/>
      </w:pPr>
      <w:r>
        <w:rPr>
          <w:rFonts w:ascii="Courier New" w:cs="Courier New" w:eastAsia="Courier New" w:hAnsi="Courier New"/>
          <w:color w:val="1A1A1A"/>
          <w:sz w:val="18"/>
          <w:szCs w:val="18"/>
        </w:rPr>
        <w:t xml:space="preserve">  }</w:t>
      </w:r>
    </w:p>
    <w:p>
      <w:pPr>
        <w:pBdr>
          <w:left w:val="single" w:color="E65100" w:sz="14"/>
        </w:pBdr>
        <w:shd w:fill="F5F5F5" w:val="clear"/>
        <w:spacing w:after="160"/>
        <w:ind w:left="360"/>
      </w:pPr>
      <w:r>
        <w:rPr>
          <w:rFonts w:ascii="Courier New" w:cs="Courier New" w:eastAsia="Courier New" w:hAnsi="Courier New"/>
          <w:color w:val="1A1A1A"/>
          <w:sz w:val="18"/>
          <w:szCs w:val="18"/>
        </w:rPr>
        <w:t xml:space="preserve">}</w:t>
      </w:r>
    </w:p>
    <w:tbl>
      <w:tblPr>
        <w:tblW w:type="dxa" w:w="109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400"/>
        <w:gridCol w:w="29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Approach</w:t>
            </w:r>
          </w:p>
        </w:tc>
        <w:tc>
          <w:tcPr>
            <w:tcW w:type="dxa" w:w="3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Mechanism</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Timing</w:t>
            </w:r>
          </w:p>
        </w:tc>
        <w:tc>
          <w:tcPr>
            <w:tcW w:type="dxa" w:w="2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Residual Risk</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Database FK (monolith)</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Prevention — DB rejects invalid writes</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Immediate — data never invalid</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Near zero</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Event-driven compensation</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Detection + correction via subscription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Near real-time — seconds to minutes</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Brief window while event propagates</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Periodic consistency check</w:t>
            </w:r>
          </w:p>
        </w:tc>
        <w:tc>
          <w:tcPr>
            <w:tcW w:type="dxa" w:w="3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Detection + correction via background job</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Delayed — depends on check interval</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Window = check interval (typically hours)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Manual audit</w:t>
            </w:r>
          </w:p>
        </w:tc>
        <w:tc>
          <w:tcPr>
            <w:tcW w:type="dxa" w:w="3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Detection + manual correction</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Delayed — depends on SLA</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Depends on team responsiveness</w:t>
            </w:r>
          </w:p>
        </w:tc>
      </w:tr>
    </w:tbl>
    <w:p>
      <w:pPr>
        <w:spacing w:after="0" w:before="80"/>
      </w:pPr>
      <w:r>
        <w:t xml:space="preserve"/>
      </w:r>
    </w:p>
    <w:p>
      <w:pPr>
        <w:pBdr>
          <w:top w:val="single" w:color="2E7D32" w:sz="2"/>
          <w:bottom w:val="single" w:color="2E7D32" w:sz="2"/>
          <w:left w:val="single" w:color="2E7D32" w:sz="20"/>
          <w:right w:val="single" w:color="2E7D32" w:sz="2"/>
        </w:pBdr>
        <w:shd w:fill="E8F5E9" w:val="clear"/>
        <w:spacing w:after="160"/>
        <w:ind w:left="360" w:right="360"/>
      </w:pPr>
      <w:r>
        <w:rPr>
          <w:rFonts w:ascii="Arial" w:cs="Arial" w:eastAsia="Arial" w:hAnsi="Arial"/>
          <w:b/>
          <w:bCs/>
          <w:color w:val="2E7D32"/>
          <w:sz w:val="22"/>
          <w:szCs w:val="22"/>
        </w:rPr>
        <w:t xml:space="preserve">SOLUTION  </w:t>
      </w:r>
      <w:r>
        <w:rPr>
          <w:rFonts w:ascii="Arial" w:cs="Arial" w:eastAsia="Arial" w:hAnsi="Arial"/>
          <w:color w:val="333333"/>
          <w:sz w:val="22"/>
          <w:szCs w:val="22"/>
        </w:rPr>
        <w:t xml:space="preserve">Referential integrity across services: design deletion events explicitly (ORDER_CANCELLED, USER_DELETED) so downstream services can compensate immediately. Run periodic consistency checks as a safety net. Accept brief inconsistency windows — focus on fast detection and correction, not prevention at the DB layer.</w:t>
      </w:r>
    </w:p>
    <w:p>
      <w:r>
        <w:br w:type="page"/>
      </w:r>
    </w:p>
    <w:p>
      <w:r>
        <w:br w:type="page"/>
      </w:r>
    </w:p>
    <w:p>
      <w:pPr>
        <w:pStyle w:val="Heading1"/>
        <w:shd w:fill="4A148C" w:val="clear"/>
        <w:spacing w:after="60" w:before="300"/>
        <w:ind w:left="240" w:right="240"/>
      </w:pPr>
      <w:r>
        <w:rPr>
          <w:rFonts w:ascii="Arial" w:cs="Arial" w:eastAsia="Arial" w:hAnsi="Arial"/>
          <w:b w:val="false"/>
          <w:bCs w:val="false"/>
          <w:color w:val="FFFFFF"/>
          <w:sz w:val="32"/>
          <w:szCs w:val="32"/>
        </w:rPr>
        <w:t xml:space="preserve">Challenge 5: </w:t>
      </w:r>
      <w:r>
        <w:rPr>
          <w:rFonts w:ascii="Arial" w:cs="Arial" w:eastAsia="Arial" w:hAnsi="Arial"/>
          <w:b/>
          <w:bCs/>
          <w:color w:val="FFFFFF"/>
          <w:sz w:val="44"/>
          <w:szCs w:val="44"/>
        </w:rPr>
        <w:t xml:space="preserve">Cross-Service Reporting</w:t>
      </w:r>
    </w:p>
    <w:p>
      <w:pPr>
        <w:shd w:fill="F3E5F5" w:val="clear"/>
        <w:spacing w:after="200"/>
        <w:ind w:left="240" w:right="240"/>
      </w:pPr>
      <w:r>
        <w:rPr>
          <w:rFonts w:ascii="Arial" w:cs="Arial" w:eastAsia="Arial" w:hAnsi="Arial"/>
          <w:color w:val="4A148C"/>
          <w:sz w:val="24"/>
          <w:szCs w:val="24"/>
        </w:rPr>
        <w:t xml:space="preserve">Business analytics requires data from all services — no shared database to query</w:t>
      </w:r>
    </w:p>
    <w:p>
      <w:pPr>
        <w:pBdr>
          <w:bottom w:val="single" w:color="4A148C" w:sz="8" w:space="1"/>
        </w:pBdr>
        <w:spacing w:after="160"/>
      </w:pPr>
    </w:p>
    <w:p>
      <w:pPr>
        <w:pStyle w:val="Heading2"/>
        <w:spacing w:after="100" w:before="280"/>
      </w:pPr>
      <w:r>
        <w:rPr>
          <w:rFonts w:ascii="Arial" w:cs="Arial" w:eastAsia="Arial" w:hAnsi="Arial"/>
          <w:b/>
          <w:bCs/>
          <w:color w:val="4A148C"/>
          <w:sz w:val="28"/>
          <w:szCs w:val="28"/>
        </w:rPr>
        <w:t xml:space="preserve">The Problem</w:t>
      </w:r>
    </w:p>
    <w:p>
      <w:pPr>
        <w:spacing w:after="160"/>
      </w:pPr>
      <w:r>
        <w:rPr>
          <w:rFonts w:ascii="Arial" w:cs="Arial" w:eastAsia="Arial" w:hAnsi="Arial"/>
          <w:b w:val="false"/>
          <w:bCs w:val="false"/>
          <w:color w:val="333333"/>
          <w:sz w:val="22"/>
          <w:szCs w:val="22"/>
        </w:rPr>
        <w:t xml:space="preserve">Business intelligence, management dashboards, regulatory reporting, and data analytics require querying across all services simultaneously: total revenue by category (orders + payments + catalog), customer lifetime value (users + orders + payments), inventory turnover (inventory + orders). None of these queries are possible across separate service databases.</w:t>
      </w:r>
    </w:p>
    <w:p>
      <w:pPr>
        <w:spacing w:after="160"/>
      </w:pPr>
      <w:r>
        <w:rPr>
          <w:rFonts w:ascii="Arial" w:cs="Arial" w:eastAsia="Arial" w:hAnsi="Arial"/>
          <w:b w:val="false"/>
          <w:bCs w:val="false"/>
          <w:color w:val="333333"/>
          <w:sz w:val="22"/>
          <w:szCs w:val="22"/>
        </w:rPr>
        <w:t xml:space="preserve">Giving analytics teams direct access to production service databases violates database-per-service and creates the coupling problems Module 1 documented. The correct solution: build a dedicated analytics store that aggregates data from all services.</w:t>
      </w:r>
    </w:p>
    <w:p>
      <w:pPr>
        <w:pStyle w:val="Heading2"/>
        <w:spacing w:after="100" w:before="280"/>
      </w:pPr>
      <w:r>
        <w:rPr>
          <w:rFonts w:ascii="Arial" w:cs="Arial" w:eastAsia="Arial" w:hAnsi="Arial"/>
          <w:b/>
          <w:bCs/>
          <w:color w:val="4A148C"/>
          <w:sz w:val="28"/>
          <w:szCs w:val="28"/>
        </w:rPr>
        <w:t xml:space="preserve">Solution A: Data Lake via Event Streaming</w:t>
      </w:r>
    </w:p>
    <w:p>
      <w:pPr>
        <w:spacing w:after="160"/>
      </w:pPr>
      <w:r>
        <w:rPr>
          <w:rFonts w:ascii="Arial" w:cs="Arial" w:eastAsia="Arial" w:hAnsi="Arial"/>
          <w:b w:val="false"/>
          <w:bCs w:val="false"/>
          <w:color w:val="333333"/>
          <w:sz w:val="22"/>
          <w:szCs w:val="22"/>
        </w:rPr>
        <w:t xml:space="preserve">Every service publishes domain events to an event stream. An event consumer reads all events and writes them to a central analytics store. The analytics team queries this store — never production databases.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Event-driven data pipeline architecture: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Order Service   -&gt; Kafka: order.created, order.cancelled, order.confirmed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Payment Service -&gt; Kafka: payment.processed, payment.refunded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Inventory Svc   -&gt; Kafka: stock.reserved, stock.released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User Service    -&gt; Kafka: user.registered, user.profile.updated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Kafka Connect / Flink / Spark Streaming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v</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Data Warehouse (Snowflake, BigQuery, Redshift)</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fact_orders        dim_users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fact_payments      dim_products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fact_inventory     dim_dates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Analytics team queries freely</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SQL JOINs across all tables</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No impact on production services</w:t>
      </w:r>
    </w:p>
    <w:p>
      <w:pPr>
        <w:pStyle w:val="Heading2"/>
        <w:spacing w:after="100" w:before="280"/>
      </w:pPr>
      <w:r>
        <w:rPr>
          <w:rFonts w:ascii="Arial" w:cs="Arial" w:eastAsia="Arial" w:hAnsi="Arial"/>
          <w:b/>
          <w:bCs/>
          <w:color w:val="4A148C"/>
          <w:sz w:val="28"/>
          <w:szCs w:val="28"/>
        </w:rPr>
        <w:t xml:space="preserve">Solution B: Change Data Capture (CDC)</w:t>
      </w:r>
    </w:p>
    <w:p>
      <w:pPr>
        <w:spacing w:after="160"/>
      </w:pPr>
      <w:r>
        <w:rPr>
          <w:rFonts w:ascii="Arial" w:cs="Arial" w:eastAsia="Arial" w:hAnsi="Arial"/>
          <w:b w:val="false"/>
          <w:bCs w:val="false"/>
          <w:color w:val="333333"/>
          <w:sz w:val="22"/>
          <w:szCs w:val="22"/>
        </w:rPr>
        <w:t xml:space="preserve">CDC reads from the database's transaction log (PostgreSQL WAL, MySQL binlog) and streams every row-level change to a target system. Unlike event publishing (which requires code changes), CDC is infrastructure-level — it captures changes regardless of whether the application publishes events.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Debezium CDC — reads PostgreSQL WAL, publishes to Kafka</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No application code changes required</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Debezium connector config:</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connector.class: io.debezium.connector.postgresql.PostgresConnector</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database.hostname: orders-postgres.prod.internal</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database.dbname: orders_db</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table.include.list: public.orders,public.order_items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topic.prefix: cdc.orders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CDC events on Kafka topic 'cdc.orders.public.orders':</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op:'c', after:{ id:'ord-123', total:199.99, status:'CONFIRMED' }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op:'u', before:{ status:'PENDING' }, after:{ status:'CONFIRMED' }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 op:'d', before:{ id:'ord-123' } }</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Kafka Connect JDBC Sink loads changes to data warehouse:</w:t>
      </w:r>
    </w:p>
    <w:p>
      <w:pPr>
        <w:pBdr>
          <w:left w:val="single" w:color="4A148C" w:sz="14"/>
        </w:pBdr>
        <w:shd w:fill="F5F5F5" w:val="clear"/>
        <w:spacing w:after="36"/>
        <w:ind w:left="360"/>
      </w:pPr>
      <w:r>
        <w:rPr>
          <w:rFonts w:ascii="Courier New" w:cs="Courier New" w:eastAsia="Courier New" w:hAnsi="Courier New"/>
          <w:color w:val="1A1A1A"/>
          <w:sz w:val="18"/>
          <w:szCs w:val="18"/>
        </w:rPr>
        <w:t xml:space="preserve">// INSERT/UPDATE/DELETE in Snowflake mirrors the production table</w:t>
      </w:r>
    </w:p>
    <w:p>
      <w:pPr>
        <w:pBdr>
          <w:left w:val="single" w:color="4A148C" w:sz="14"/>
        </w:pBdr>
        <w:shd w:fill="F5F5F5" w:val="clear"/>
        <w:spacing w:after="160"/>
        <w:ind w:left="360"/>
      </w:pPr>
      <w:r>
        <w:rPr>
          <w:rFonts w:ascii="Courier New" w:cs="Courier New" w:eastAsia="Courier New" w:hAnsi="Courier New"/>
          <w:color w:val="1A1A1A"/>
          <w:sz w:val="18"/>
          <w:szCs w:val="18"/>
        </w:rPr>
        <w:t xml:space="preserve">// Analytics team queries DW — zero impact on production Order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480"/>
        <w:gridCol w:w="368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Dimension</w:t>
            </w:r>
          </w:p>
        </w:tc>
        <w:tc>
          <w:tcPr>
            <w:tcW w:type="dxa" w:w="34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Event Streaming</w:t>
            </w:r>
          </w:p>
        </w:tc>
        <w:tc>
          <w:tcPr>
            <w:tcW w:type="dxa" w:w="36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Change Data Capture (CDC)</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Application change required</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services must publish domain events</w:t>
            </w:r>
          </w:p>
        </w:tc>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reads DB transaction log transparently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captured</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Only what services explicitly publish</w:t>
            </w:r>
          </w:p>
        </w:tc>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Every row-level change (INSERT, UPDATE, DELETE)</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semantics</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Rich domain events with business context</w:t>
            </w:r>
          </w:p>
        </w:tc>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Low-level row changes — must infer business meaning</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Operational complexity</w:t>
            </w:r>
          </w:p>
        </w:tc>
        <w:tc>
          <w:tcPr>
            <w:tcW w:type="dxa" w:w="34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Lower — standard event consumers</w:t>
            </w:r>
          </w:p>
        </w:tc>
        <w:tc>
          <w:tcPr>
            <w:tcW w:type="dxa" w:w="36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Higher — Debezium connector infrastructure</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Best for</w:t>
            </w:r>
          </w:p>
        </w:tc>
        <w:tc>
          <w:tcPr>
            <w:tcW w:type="dxa" w:w="34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Services already publish events; business meaning matters</w:t>
            </w:r>
          </w:p>
        </w:tc>
        <w:tc>
          <w:tcPr>
            <w:tcW w:type="dxa" w:w="36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App cannot be modified; raw data completeness required</w:t>
            </w:r>
          </w:p>
        </w:tc>
      </w:tr>
    </w:tbl>
    <w:p>
      <w:pPr>
        <w:spacing w:after="0" w:before="80"/>
      </w:pPr>
      <w:r>
        <w:t xml:space="preserve"/>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800"/>
        <w:gridCol w:w="4760"/>
      </w:tblGrid>
      <w:tr>
        <w:trPr>
          <w:tblHeader/>
        </w:trPr>
        <w:tc>
          <w:tcPr>
            <w:tcW w:type="dxa" w:w="1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Layer</w:t>
            </w:r>
          </w:p>
        </w:tc>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Component</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Role</w:t>
            </w:r>
          </w:p>
        </w:tc>
        <w:tc>
          <w:tcPr>
            <w:tcW w:type="dxa" w:w="4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Technology Examples</w:t>
            </w:r>
          </w:p>
        </w:tc>
      </w:tr>
      <w:tr>
        <w:trPr>
          <w:tblHeader w:val="false"/>
        </w:trPr>
        <w:tc>
          <w:tcPr>
            <w:tcW w:type="dxa" w:w="1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Source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Production service databases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Own operational data</w:t>
            </w:r>
          </w:p>
        </w:tc>
        <w:tc>
          <w:tcPr>
            <w:tcW w:type="dxa" w:w="4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PostgreSQL, MongoDB, Redis per service</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Capture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streaming or CDC</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Extract changes from source</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Kafka, Debezium, Kinesis</w:t>
            </w:r>
          </w:p>
        </w:tc>
      </w:tr>
      <w:tr>
        <w:trPr>
          <w:tblHeader w:val="false"/>
        </w:trPr>
        <w:tc>
          <w:tcPr>
            <w:tcW w:type="dxa" w:w="1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Transport</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Streaming platform</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Buffer and route data</w:t>
            </w:r>
          </w:p>
        </w:tc>
        <w:tc>
          <w:tcPr>
            <w:tcW w:type="dxa" w:w="4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Apache Kafka, AWS Kinesis</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Transform</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Stream processing or batch ETL</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Clean, enrich, aggregate</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Spark, Flink, dbt, AWS Glue</w:t>
            </w:r>
          </w:p>
        </w:tc>
      </w:tr>
      <w:tr>
        <w:trPr>
          <w:tblHeader w:val="false"/>
        </w:trPr>
        <w:tc>
          <w:tcPr>
            <w:tcW w:type="dxa" w:w="1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Store</w:t>
            </w:r>
          </w:p>
        </w:tc>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warehouse or data lake</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Unified queryable analytics store</w:t>
            </w:r>
          </w:p>
        </w:tc>
        <w:tc>
          <w:tcPr>
            <w:tcW w:type="dxa" w:w="4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Snowflake, BigQuery, Redshift</w:t>
            </w:r>
          </w:p>
        </w:tc>
      </w:tr>
      <w:tr>
        <w:trPr>
          <w:tblHeader w:val="false"/>
        </w:trPr>
        <w:tc>
          <w:tcPr>
            <w:tcW w:type="dxa" w:w="1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Consume</w:t>
            </w:r>
          </w:p>
        </w:tc>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BI tools and SQL queries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Business intelligence and reporting</w:t>
            </w:r>
          </w:p>
        </w:tc>
        <w:tc>
          <w:tcPr>
            <w:tcW w:type="dxa" w:w="4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Tableau, Looker, Metabase, SQL</w:t>
            </w:r>
          </w:p>
        </w:tc>
      </w:tr>
    </w:tbl>
    <w:p>
      <w:pPr>
        <w:spacing w:after="0" w:before="80"/>
      </w:pPr>
      <w:r>
        <w:t xml:space="preserve"/>
      </w:r>
    </w:p>
    <w:p>
      <w:pPr>
        <w:pBdr>
          <w:top w:val="single" w:color="2E7D32" w:sz="2"/>
          <w:bottom w:val="single" w:color="2E7D32" w:sz="2"/>
          <w:left w:val="single" w:color="2E7D32" w:sz="20"/>
          <w:right w:val="single" w:color="2E7D32" w:sz="2"/>
        </w:pBdr>
        <w:shd w:fill="E8F5E9" w:val="clear"/>
        <w:spacing w:after="160"/>
        <w:ind w:left="360" w:right="360"/>
      </w:pPr>
      <w:r>
        <w:rPr>
          <w:rFonts w:ascii="Arial" w:cs="Arial" w:eastAsia="Arial" w:hAnsi="Arial"/>
          <w:b/>
          <w:bCs/>
          <w:color w:val="2E7D32"/>
          <w:sz w:val="22"/>
          <w:szCs w:val="22"/>
        </w:rPr>
        <w:t xml:space="preserve">SOLUTION  </w:t>
      </w:r>
      <w:r>
        <w:rPr>
          <w:rFonts w:ascii="Arial" w:cs="Arial" w:eastAsia="Arial" w:hAnsi="Arial"/>
          <w:color w:val="333333"/>
          <w:sz w:val="22"/>
          <w:szCs w:val="22"/>
        </w:rPr>
        <w:t xml:space="preserve">Cross-service reporting: never give analytics direct access to production service databases. Build a dedicated analytics store fed by events or CDC. The analytics store is a read copy of all service data, optimised for OLAP queries, with its own schema, SLAs, and upgrade cadence.</w:t>
      </w:r>
    </w:p>
    <w:p>
      <w:r>
        <w:br w:type="page"/>
      </w:r>
    </w:p>
    <w:p>
      <w:pPr>
        <w:pStyle w:val="Heading1"/>
        <w:spacing w:after="120" w:before="360"/>
      </w:pPr>
      <w:r>
        <w:rPr>
          <w:rFonts w:ascii="Arial" w:cs="Arial" w:eastAsia="Arial" w:hAnsi="Arial"/>
          <w:b/>
          <w:bCs/>
          <w:color w:val="0D1B2A"/>
          <w:sz w:val="40"/>
          <w:szCs w:val="40"/>
        </w:rPr>
        <w:t xml:space="preserve">2. Choosing the Right Solution — Decision Guide</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2.1 Cross-Service Query — API Composition vs CQRS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Scenario</w:t>
            </w:r>
          </w:p>
        </w:tc>
        <w:tc>
          <w:tcPr>
            <w:tcW w:type="dxa" w:w="32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API Composition</w:t>
            </w:r>
          </w:p>
        </w:tc>
        <w:tc>
          <w:tcPr>
            <w:tcW w:type="dxa" w:w="328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CQRS Read Model</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Need real-time accuracy (pricing, stock at checkout)</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API guarantees fresh data</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read model may lag</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Query touches 2-3 services</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manageable call count</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Either</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Query touches 5+ services</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Carefully — latency adds up</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Preferred — single DB query</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High read throughput (millions of reads/day)</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Risky — API overload risk</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Preferred</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changes rarely</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Either (cache helps API path)</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low sync overhead</w:t>
            </w:r>
          </w:p>
        </w:tc>
      </w:tr>
      <w:tr>
        <w:trPr>
          <w:tblHeader w:val="false"/>
        </w:trPr>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Team new to event-driven design</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YES — lower learning curve</w:t>
            </w:r>
          </w:p>
        </w:tc>
        <w:tc>
          <w:tcPr>
            <w:tcW w:type="dxa" w:w="328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Later — add when performance demands</w:t>
            </w:r>
          </w:p>
        </w:tc>
      </w:tr>
      <w:tr>
        <w:trPr>
          <w:tblHeader w:val="false"/>
        </w:trPr>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Strong consistency requirement</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YES</w:t>
            </w:r>
          </w:p>
        </w:tc>
        <w:tc>
          <w:tcPr>
            <w:tcW w:type="dxa" w:w="328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 eventual consistency only</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2.2 Full Challenge-Solution Summary</w:t>
      </w:r>
    </w:p>
    <w:tbl>
      <w:tblPr>
        <w:tblW w:type="dxa" w:w="11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000"/>
        <w:gridCol w:w="2960"/>
      </w:tblGrid>
      <w:tr>
        <w:trPr>
          <w:tblHeader/>
        </w:trPr>
        <w:tc>
          <w:tcPr>
            <w:tcW w:type="dxa" w:w="24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Challenge</w:t>
            </w:r>
          </w:p>
        </w:tc>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Primary Solution</w:t>
            </w:r>
          </w:p>
        </w:tc>
        <w:tc>
          <w:tcPr>
            <w:tcW w:type="dxa" w:w="30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Secondary Solution</w:t>
            </w:r>
          </w:p>
        </w:tc>
        <w:tc>
          <w:tcPr>
            <w:tcW w:type="dxa" w:w="29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Key Trade-off</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Cross-service queries</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API Composition</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CQRS read model (for performance)</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Latency vs staleness</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Cross-service transactions</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Saga + Outbox (together)</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Eventual consistency vs rollback complexity</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duplication</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Event-driven sync</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API call when freshness critical</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Staleness vs availability independence</w:t>
            </w:r>
          </w:p>
        </w:tc>
      </w:tr>
      <w:tr>
        <w:trPr>
          <w:tblHeader w:val="false"/>
        </w:trPr>
        <w:tc>
          <w:tcPr>
            <w:tcW w:type="dxa" w:w="24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Referential integrity</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Event-driven compensation</w:t>
            </w:r>
          </w:p>
        </w:tc>
        <w:tc>
          <w:tcPr>
            <w:tcW w:type="dxa" w:w="30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Periodic consistency checks (safety net)</w:t>
            </w:r>
          </w:p>
        </w:tc>
        <w:tc>
          <w:tcPr>
            <w:tcW w:type="dxa" w:w="29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Brief inconsistency window</w:t>
            </w:r>
          </w:p>
        </w:tc>
      </w:tr>
      <w:tr>
        <w:trPr>
          <w:tblHeader w:val="false"/>
        </w:trPr>
        <w:tc>
          <w:tcPr>
            <w:tcW w:type="dxa" w:w="24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Reporting</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streaming</w:t>
            </w:r>
          </w:p>
        </w:tc>
        <w:tc>
          <w:tcPr>
            <w:tcW w:type="dxa" w:w="30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CDC (when app changes not feasible)</w:t>
            </w:r>
          </w:p>
        </w:tc>
        <w:tc>
          <w:tcPr>
            <w:tcW w:type="dxa" w:w="29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semantics vs operational overhead</w:t>
            </w:r>
          </w:p>
        </w:tc>
      </w:tr>
    </w:tbl>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3. Module 3 Study Review</w:t>
      </w:r>
    </w:p>
    <w:p>
      <w:pPr>
        <w:pBdr>
          <w:bottom w:val="single" w:color="1A3A5C" w:sz="8" w:space="1"/>
        </w:pBdr>
        <w:spacing w:after="160"/>
      </w:pPr>
    </w:p>
    <w:p>
      <w:pPr>
        <w:pStyle w:val="Heading2"/>
        <w:spacing w:after="100" w:before="280"/>
      </w:pPr>
      <w:r>
        <w:rPr>
          <w:rFonts w:ascii="Arial" w:cs="Arial" w:eastAsia="Arial" w:hAnsi="Arial"/>
          <w:b/>
          <w:bCs/>
          <w:color w:val="1A3A5C"/>
          <w:sz w:val="28"/>
          <w:szCs w:val="28"/>
        </w:rPr>
        <w:t xml:space="preserve">3.1 Quick Reference</w:t>
      </w:r>
    </w:p>
    <w:tbl>
      <w:tblPr>
        <w:tblW w:type="dxa" w:w="99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800"/>
        <w:gridCol w:w="2760"/>
      </w:tblGrid>
      <w:tr>
        <w:trPr>
          <w:tblHeader/>
        </w:trPr>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Challenge</w:t>
            </w:r>
          </w:p>
        </w:tc>
        <w:tc>
          <w:tcPr>
            <w:tcW w:type="dxa" w:w="22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Root Cause</w:t>
            </w:r>
          </w:p>
        </w:tc>
        <w:tc>
          <w:tcPr>
            <w:tcW w:type="dxa" w:w="280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Solutions</w:t>
            </w:r>
          </w:p>
        </w:tc>
        <w:tc>
          <w:tcPr>
            <w:tcW w:type="dxa" w:w="2760"/>
            <w:tcBorders>
              <w:top w:val="single" w:color="CCCCCC" w:sz="1"/>
              <w:left w:val="single" w:color="CCCCCC" w:sz="1"/>
              <w:bottom w:val="single" w:color="CCCCCC" w:sz="1"/>
              <w:right w:val="single" w:color="CCCCCC" w:sz="1"/>
            </w:tcBorders>
            <w:shd w:fill="0D1B2A" w:val="clear"/>
            <w:tcMar>
              <w:top w:type="dxa" w:w="90"/>
              <w:left w:type="dxa" w:w="120"/>
              <w:bottom w:type="dxa" w:w="90"/>
              <w:right w:type="dxa" w:w="120"/>
            </w:tcMar>
          </w:tcPr>
          <w:p>
            <w:r>
              <w:rPr>
                <w:rFonts w:ascii="Arial" w:cs="Arial" w:eastAsia="Arial" w:hAnsi="Arial"/>
                <w:b/>
                <w:bCs/>
                <w:color w:val="FFFFFF"/>
                <w:sz w:val="20"/>
                <w:szCs w:val="20"/>
              </w:rPr>
              <w:t xml:space="preserve">Core Trade-off</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Cross-service queries</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SQL JOIN across DBs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API Composition; CQRS read model</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Latency vs staleness</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Cross-service transactions</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ACID across services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Saga pattern + Outbox pattern</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Eventual consistency; compensation complexity</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Data duplication</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Frequent cross-service reads</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Event-driven sync; local denormalized copy</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Storage cost + eventual consistency</w:t>
            </w:r>
          </w:p>
        </w:tc>
      </w:tr>
      <w:tr>
        <w:trPr>
          <w:tblHeader w:val="false"/>
        </w:trPr>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Referential integrity</w:t>
            </w:r>
          </w:p>
        </w:tc>
        <w:tc>
          <w:tcPr>
            <w:tcW w:type="dxa" w:w="22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No FK across DB boundaries</w:t>
            </w:r>
          </w:p>
        </w:tc>
        <w:tc>
          <w:tcPr>
            <w:tcW w:type="dxa" w:w="280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Event-driven compensation + periodic checks</w:t>
            </w:r>
          </w:p>
        </w:tc>
        <w:tc>
          <w:tcPr>
            <w:tcW w:type="dxa" w:w="2760"/>
            <w:tcBorders>
              <w:top w:val="single" w:color="CCCCCC" w:sz="1"/>
              <w:left w:val="single" w:color="CCCCCC" w:sz="1"/>
              <w:bottom w:val="single" w:color="CCCCCC" w:sz="1"/>
              <w:right w:val="single" w:color="CCCCCC" w:sz="1"/>
            </w:tcBorders>
            <w:shd w:fill="FFFFFF" w:val="clear"/>
            <w:tcMar>
              <w:top w:type="dxa" w:w="90"/>
              <w:left w:type="dxa" w:w="120"/>
              <w:bottom w:type="dxa" w:w="90"/>
              <w:right w:type="dxa" w:w="120"/>
            </w:tcMar>
          </w:tcPr>
          <w:p>
            <w:r>
              <w:rPr>
                <w:rFonts w:ascii="Arial" w:cs="Arial" w:eastAsia="Arial" w:hAnsi="Arial"/>
                <w:b w:val="false"/>
                <w:bCs w:val="false"/>
                <w:color w:val="333333"/>
                <w:sz w:val="20"/>
                <w:szCs w:val="20"/>
              </w:rPr>
              <w:t xml:space="preserve">Brief orphan window vs decoupled deployment</w:t>
            </w:r>
          </w:p>
        </w:tc>
      </w:tr>
      <w:tr>
        <w:trPr>
          <w:tblHeader w:val="false"/>
        </w:trPr>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Reporting / analytics</w:t>
            </w:r>
          </w:p>
        </w:tc>
        <w:tc>
          <w:tcPr>
            <w:tcW w:type="dxa" w:w="22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No cross-DB aggregate query</w:t>
            </w:r>
          </w:p>
        </w:tc>
        <w:tc>
          <w:tcPr>
            <w:tcW w:type="dxa" w:w="280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Event streaming or CDC to data warehouse</w:t>
            </w:r>
          </w:p>
        </w:tc>
        <w:tc>
          <w:tcPr>
            <w:tcW w:type="dxa" w:w="2760"/>
            <w:tcBorders>
              <w:top w:val="single" w:color="CCCCCC" w:sz="1"/>
              <w:left w:val="single" w:color="CCCCCC" w:sz="1"/>
              <w:bottom w:val="single" w:color="CCCCCC" w:sz="1"/>
              <w:right w:val="single" w:color="CCCCCC" w:sz="1"/>
            </w:tcBorders>
            <w:shd w:fill="EEF4FB" w:val="clear"/>
            <w:tcMar>
              <w:top w:type="dxa" w:w="90"/>
              <w:left w:type="dxa" w:w="120"/>
              <w:bottom w:type="dxa" w:w="90"/>
              <w:right w:type="dxa" w:w="120"/>
            </w:tcMar>
          </w:tcPr>
          <w:p>
            <w:r>
              <w:rPr>
                <w:rFonts w:ascii="Arial" w:cs="Arial" w:eastAsia="Arial" w:hAnsi="Arial"/>
                <w:b w:val="false"/>
                <w:bCs w:val="false"/>
                <w:color w:val="333333"/>
                <w:sz w:val="20"/>
                <w:szCs w:val="20"/>
              </w:rPr>
              <w:t xml:space="preserve">Analytics delay; pipeline infrastructure</w:t>
            </w:r>
          </w:p>
        </w:tc>
      </w:tr>
    </w:tbl>
    <w:p>
      <w:pPr>
        <w:spacing w:after="0" w:before="80"/>
      </w:pPr>
      <w:r>
        <w:t xml:space="preserve"/>
      </w:r>
    </w:p>
    <w:p>
      <w:pPr>
        <w:pStyle w:val="Heading2"/>
        <w:spacing w:after="100" w:before="280"/>
      </w:pPr>
      <w:r>
        <w:rPr>
          <w:rFonts w:ascii="Arial" w:cs="Arial" w:eastAsia="Arial" w:hAnsi="Arial"/>
          <w:b/>
          <w:bCs/>
          <w:color w:val="1A3A5C"/>
          <w:sz w:val="28"/>
          <w:szCs w:val="28"/>
        </w:rPr>
        <w:t xml:space="preserve">3.2 Practice Questions</w:t>
      </w:r>
    </w:p>
    <w:p>
      <w:pPr>
        <w:spacing w:after="80"/>
      </w:pPr>
      <w:r>
        <w:rPr>
          <w:rFonts w:ascii="Arial" w:cs="Arial" w:eastAsia="Arial" w:hAnsi="Arial"/>
          <w:b/>
          <w:bCs/>
          <w:color w:val="1A3A5C"/>
          <w:sz w:val="22"/>
          <w:szCs w:val="22"/>
        </w:rPr>
        <w:t xml:space="preserve">Q1: </w:t>
      </w:r>
      <w:r>
        <w:rPr>
          <w:rFonts w:ascii="Arial" w:cs="Arial" w:eastAsia="Arial" w:hAnsi="Arial"/>
          <w:b/>
          <w:bCs/>
          <w:color w:val="222222"/>
          <w:sz w:val="22"/>
          <w:szCs w:val="22"/>
        </w:rPr>
        <w:t xml:space="preserve">Explain API Composition and CQRS read models as solutions to the cross-service query problem. What determines which to use?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API Composition: when Service A needs data from Services B and C, it makes API calls to both, receives responses, and assembles the result in application code. The SQL JOIN is replaced by application-layer data assembly. Advantages: real-time data; straightforward to implement; no additional infrastructure. Disadvantages: N network round trips; if any service is down, composition fails; N+1 risk if not using batch endpoints. CQRS Read Model: Service A subscribes to domain events from Services B and C. When events arrive, Service A updates a local denormalized table pre-joining the data it needs. Queries hit this local table — a single fast DB query with no network calls. Advantages: single fast DB query; works when other services are unavailable; highly optimised for specific query pattern. Disadvantages: eventual consistency (data may lag); higher upfront complexity; storage duplication. Choosing: use API Composition when real-time accuracy is required (pricing at checkout, current stock), the query is simple and infrequent, or the team is new to event-driven patterns. Use CQRS read models when query performance is critical at millions of reads per day, data changes infrequently (names, descriptions), or the query requires data from 5+ services making API latency prohibitive.</w:t>
      </w:r>
    </w:p>
    <w:p>
      <w:pPr>
        <w:spacing w:after="0" w:before="80"/>
      </w:pPr>
      <w:r>
        <w:t xml:space="preserve"/>
      </w:r>
    </w:p>
    <w:p>
      <w:pPr>
        <w:spacing w:after="80"/>
      </w:pPr>
      <w:r>
        <w:rPr>
          <w:rFonts w:ascii="Arial" w:cs="Arial" w:eastAsia="Arial" w:hAnsi="Arial"/>
          <w:b/>
          <w:bCs/>
          <w:color w:val="1A3A5C"/>
          <w:sz w:val="22"/>
          <w:szCs w:val="22"/>
        </w:rPr>
        <w:t xml:space="preserve">Q2: </w:t>
      </w:r>
      <w:r>
        <w:rPr>
          <w:rFonts w:ascii="Arial" w:cs="Arial" w:eastAsia="Arial" w:hAnsi="Arial"/>
          <w:b/>
          <w:bCs/>
          <w:color w:val="222222"/>
          <w:sz w:val="22"/>
          <w:szCs w:val="22"/>
        </w:rPr>
        <w:t xml:space="preserve">What is the Transactional Outbox pattern and why is it essential for saga implementations?</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The Transactional Outbox solves the dual-write problem: how to atomically commit a local database change AND reliably publish an event. Without the outbox, these are two independent operations. If the service crashes between the DB commit and the Kafka publish, the database change is committed but the event is never published — the saga is permanently stuck in an intermediate state. The Transactional Outbox inserts the event into an 'outbox' table in the SAME database transaction as the domain change. Both writes are atomic — either both commit or both roll back. A separate outbox publisher polls the outbox table, publishes pending events to Kafka, and marks them published on success. If the publisher crashes, the outbox entry remains pending and is redelivered — guaranteeing at-least-once delivery. It is essential for sagas because sagas depend on event delivery to trigger the next step. Without reliable event publication, sagas can be permanently stuck: 'order created but payment never requested' is an inconsistent state that no automatic mechanism will resolve. The outbox provides the 'DB write + event publish = atomic unit' guarantee that sagas require.</w:t>
      </w:r>
    </w:p>
    <w:p>
      <w:pPr>
        <w:spacing w:after="0" w:before="80"/>
      </w:pPr>
      <w:r>
        <w:t xml:space="preserve"/>
      </w:r>
    </w:p>
    <w:p>
      <w:pPr>
        <w:spacing w:after="80"/>
      </w:pPr>
      <w:r>
        <w:rPr>
          <w:rFonts w:ascii="Arial" w:cs="Arial" w:eastAsia="Arial" w:hAnsi="Arial"/>
          <w:b/>
          <w:bCs/>
          <w:color w:val="1A3A5C"/>
          <w:sz w:val="22"/>
          <w:szCs w:val="22"/>
        </w:rPr>
        <w:t xml:space="preserve">Q3: </w:t>
      </w:r>
      <w:r>
        <w:rPr>
          <w:rFonts w:ascii="Arial" w:cs="Arial" w:eastAsia="Arial" w:hAnsi="Arial"/>
          <w:b/>
          <w:bCs/>
          <w:color w:val="222222"/>
          <w:sz w:val="22"/>
          <w:szCs w:val="22"/>
        </w:rPr>
        <w:t xml:space="preserve">Why is data duplication not an anti-pattern in microservices? What discipline is required to manage it correctly?</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Data duplication in microservices is deliberate denormalization — a conscious design choice enabling independent service operation — not accidental redundancy. If the Order Service keeps a local copy of the customer's shipping address, it can fulfill orders even when User Service is unavailable, and it captures the address as-of order placement time (which may be historically accurate even if the user updates their address later). Contrast this with accidental duplication (the same business logic implemented twice), which is always problematic. Disciplines required: (1) Only duplicate what you actually need — specific fields the subscribing service uses, not full entity copies. (2) Always sync via events (not polling) for near-real-time updates. (3) Make event handlers idempotent — use ON CONFLICT DO UPDATE so duplicate event delivery is safe. (4) Explicitly document what staleness is acceptable per field — customer name: minutes of lag OK; product price: must be real-time, do not duplicate. (5) Use snapshot semantics when appropriate: the shipping address stored on an order is the address at order placement time, not the current address — this is correct and desirable even if the user moves later.</w:t>
      </w:r>
    </w:p>
    <w:p>
      <w:pPr>
        <w:spacing w:after="0" w:before="80"/>
      </w:pPr>
      <w:r>
        <w:t xml:space="preserve"/>
      </w:r>
    </w:p>
    <w:p>
      <w:pPr>
        <w:spacing w:after="80"/>
      </w:pPr>
      <w:r>
        <w:rPr>
          <w:rFonts w:ascii="Arial" w:cs="Arial" w:eastAsia="Arial" w:hAnsi="Arial"/>
          <w:b/>
          <w:bCs/>
          <w:color w:val="1A3A5C"/>
          <w:sz w:val="22"/>
          <w:szCs w:val="22"/>
        </w:rPr>
        <w:t xml:space="preserve">Q4: </w:t>
      </w:r>
      <w:r>
        <w:rPr>
          <w:rFonts w:ascii="Arial" w:cs="Arial" w:eastAsia="Arial" w:hAnsi="Arial"/>
          <w:b/>
          <w:bCs/>
          <w:color w:val="222222"/>
          <w:sz w:val="22"/>
          <w:szCs w:val="22"/>
        </w:rPr>
        <w:t xml:space="preserve">How does database-per-service handle referential integrity without foreign keys? What replaces FK constraints?</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Without cross-service FK constraints, the model shifts from prevention (database rejects invalid writes) to detection and correction (detect orphaned records, correct via compensating actions). Two mechanisms replace FK enforcement. (1) Event-driven compensating actions (primary): services subscribe to deletion and cancellation events from other services and take immediate action. When Order Service publishes ORDER_CANCELLED, Payment Service subscribes and immediately refunds any authorised payment for that order. When User Service publishes USER_DELETED (GDPR), Order Service cancels all open orders for that user. This is near-real-time — seconds to minutes — and handles the most critical cases. (2) Periodic consistency checks (safety net): a background job queries for orphaned records at a regular interval (hourly, daily). For each orphan found, it either resolves it automatically (issue refund, cancel dangling reservation) or flags it for manual review. The check catches any integrity violations that event-driven compensation missed. Key mindset shift: instead of preventing orphaned data (requires cross-service coordination, defeats independence), accept that brief windows of inconsistency may exist, detect them quickly, and correct them through compensating actions. Design deletion events explicitly, subscribe to them actively, and monitor for orphans older than expected.</w:t>
      </w:r>
    </w:p>
    <w:p>
      <w:pPr>
        <w:spacing w:after="0" w:before="80"/>
      </w:pPr>
      <w:r>
        <w:t xml:space="preserve"/>
      </w:r>
    </w:p>
    <w:p>
      <w:pPr>
        <w:spacing w:after="80"/>
      </w:pPr>
      <w:r>
        <w:rPr>
          <w:rFonts w:ascii="Arial" w:cs="Arial" w:eastAsia="Arial" w:hAnsi="Arial"/>
          <w:b/>
          <w:bCs/>
          <w:color w:val="1A3A5C"/>
          <w:sz w:val="22"/>
          <w:szCs w:val="22"/>
        </w:rPr>
        <w:t xml:space="preserve">Q5: </w:t>
      </w:r>
      <w:r>
        <w:rPr>
          <w:rFonts w:ascii="Arial" w:cs="Arial" w:eastAsia="Arial" w:hAnsi="Arial"/>
          <w:b/>
          <w:bCs/>
          <w:color w:val="222222"/>
          <w:sz w:val="22"/>
          <w:szCs w:val="22"/>
        </w:rPr>
        <w:t xml:space="preserve">An analytics team needs total revenue by product category for the past 90 days. This requires data from Orders, Payments, and Catalog services. How do you implement this without violating database-per-service?</w:t>
      </w:r>
    </w:p>
    <w:p>
      <w:pPr>
        <w:pBdr>
          <w:top w:val="single" w:color="1A3A5C" w:sz="2"/>
          <w:bottom w:val="single" w:color="1A3A5C" w:sz="2"/>
          <w:left w:val="single" w:color="1A3A5C" w:sz="20"/>
          <w:right w:val="single" w:color="1A3A5C" w:sz="2"/>
        </w:pBdr>
        <w:shd w:fill="E3F2FD" w:val="clear"/>
        <w:spacing w:after="160"/>
        <w:ind w:left="360" w:right="360"/>
      </w:pPr>
      <w:r>
        <w:rPr>
          <w:rFonts w:ascii="Arial" w:cs="Arial" w:eastAsia="Arial" w:hAnsi="Arial"/>
          <w:b/>
          <w:bCs/>
          <w:color w:val="1A3A5C"/>
          <w:sz w:val="22"/>
          <w:szCs w:val="22"/>
        </w:rPr>
        <w:t xml:space="preserve">Answer  </w:t>
      </w:r>
      <w:r>
        <w:rPr>
          <w:rFonts w:ascii="Arial" w:cs="Arial" w:eastAsia="Arial" w:hAnsi="Arial"/>
          <w:color w:val="333333"/>
          <w:sz w:val="22"/>
          <w:szCs w:val="22"/>
        </w:rPr>
        <w:t xml:space="preserve">Build a dedicated analytics pipeline feeding a data warehouse — never query production service databases directly. Implementation: (1) Data extraction: ensure Orders Service publishes ORDER_CONFIRMED events with order_id, items (product_id, price), and total. Payment Service publishes PAYMENT_PROCESSED with order_id and amount. Catalog Service publishes PRODUCT_UPDATED events when product categories change. If services do not publish events, use Debezium CDC to capture changes from their PostgreSQL WAL transparently — no code changes required. (2) Data pipeline: a stream processor (Kafka Streams, Apache Flink, or AWS Kinesis) consumes these events and loads them into a data warehouse (Snowflake, BigQuery, or Redshift). The pipeline builds fact tables (fact_orders, fact_payments) and dimension tables (dim_products with category). (3) Analytics query: the analytics team writes standard SQL JOINing fact_orders with fact_payments and dim_products in the data warehouse. The 90-day revenue-by-category aggregation runs against the analytics store — not production databases. Result: zero impact on production services (the analytics query does not touch their databases), the analytics team can write any SQL they need (cross-table JOINs are fine in the DW), and the data is typically up-to-date within seconds to minutes depending on the pipeline latency.</w:t>
      </w:r>
    </w:p>
    <w:p>
      <w:pPr>
        <w:spacing w:after="0" w:before="80"/>
      </w:pPr>
      <w:r>
        <w:t xml:space="preserve"/>
      </w:r>
    </w:p>
    <w:p>
      <w:r>
        <w:br w:type="page"/>
      </w:r>
    </w:p>
    <w:p>
      <w:pPr>
        <w:pStyle w:val="Heading1"/>
        <w:spacing w:after="120" w:before="360"/>
      </w:pPr>
      <w:r>
        <w:rPr>
          <w:rFonts w:ascii="Arial" w:cs="Arial" w:eastAsia="Arial" w:hAnsi="Arial"/>
          <w:b/>
          <w:bCs/>
          <w:color w:val="0D1B2A"/>
          <w:sz w:val="40"/>
          <w:szCs w:val="40"/>
        </w:rPr>
        <w:t xml:space="preserve">4. Glossary — Module 3 Terms</w:t>
      </w:r>
    </w:p>
    <w:p>
      <w:pPr>
        <w:pBdr>
          <w:bottom w:val="single" w:color="1A3A5C" w:sz="8" w:space="1"/>
        </w:pBdr>
        <w:spacing w:after="160"/>
      </w:pPr>
    </w:p>
    <w:p>
      <w:pPr>
        <w:spacing w:after="100"/>
      </w:pPr>
      <w:r>
        <w:rPr>
          <w:rFonts w:ascii="Arial" w:cs="Arial" w:eastAsia="Arial" w:hAnsi="Arial"/>
          <w:b/>
          <w:bCs/>
          <w:color w:val="0D1B2A"/>
          <w:sz w:val="22"/>
          <w:szCs w:val="22"/>
        </w:rPr>
        <w:t xml:space="preserve">API Composition: </w:t>
      </w:r>
      <w:r>
        <w:rPr>
          <w:rFonts w:ascii="Arial" w:cs="Arial" w:eastAsia="Arial" w:hAnsi="Arial"/>
          <w:b w:val="false"/>
          <w:bCs w:val="false"/>
          <w:color w:val="333333"/>
          <w:sz w:val="22"/>
          <w:szCs w:val="22"/>
        </w:rPr>
        <w:t xml:space="preserve">A pattern for cross-service queries: the calling service makes API calls to multiple services and assembles the composite response in application code. Replaces SQL JOINs with network calls.</w:t>
      </w:r>
    </w:p>
    <w:p>
      <w:pPr>
        <w:spacing w:after="100"/>
      </w:pPr>
      <w:r>
        <w:rPr>
          <w:rFonts w:ascii="Arial" w:cs="Arial" w:eastAsia="Arial" w:hAnsi="Arial"/>
          <w:b/>
          <w:bCs/>
          <w:color w:val="0D1B2A"/>
          <w:sz w:val="22"/>
          <w:szCs w:val="22"/>
        </w:rPr>
        <w:t xml:space="preserve">CQRS (Command Query Responsibility Segregation): </w:t>
      </w:r>
      <w:r>
        <w:rPr>
          <w:rFonts w:ascii="Arial" w:cs="Arial" w:eastAsia="Arial" w:hAnsi="Arial"/>
          <w:b w:val="false"/>
          <w:bCs w:val="false"/>
          <w:color w:val="333333"/>
          <w:sz w:val="22"/>
          <w:szCs w:val="22"/>
        </w:rPr>
        <w:t xml:space="preserve">Architecture pattern separating write operations (commands) from read operations (queries). Read models are denormalized projections built from events, optimised for specific query patterns.</w:t>
      </w:r>
    </w:p>
    <w:p>
      <w:pPr>
        <w:spacing w:after="100"/>
      </w:pPr>
      <w:r>
        <w:rPr>
          <w:rFonts w:ascii="Arial" w:cs="Arial" w:eastAsia="Arial" w:hAnsi="Arial"/>
          <w:b/>
          <w:bCs/>
          <w:color w:val="0D1B2A"/>
          <w:sz w:val="22"/>
          <w:szCs w:val="22"/>
        </w:rPr>
        <w:t xml:space="preserve">Read model (CQRS): </w:t>
      </w:r>
      <w:r>
        <w:rPr>
          <w:rFonts w:ascii="Arial" w:cs="Arial" w:eastAsia="Arial" w:hAnsi="Arial"/>
          <w:b w:val="false"/>
          <w:bCs w:val="false"/>
          <w:color w:val="333333"/>
          <w:sz w:val="22"/>
          <w:szCs w:val="22"/>
        </w:rPr>
        <w:t xml:space="preserve">A denormalized, query-optimised local database table maintained by a service, built from events published by other services. Enables fast single-DB queries across conceptually cross-service data.</w:t>
      </w:r>
    </w:p>
    <w:p>
      <w:pPr>
        <w:spacing w:after="100"/>
      </w:pPr>
      <w:r>
        <w:rPr>
          <w:rFonts w:ascii="Arial" w:cs="Arial" w:eastAsia="Arial" w:hAnsi="Arial"/>
          <w:b/>
          <w:bCs/>
          <w:color w:val="0D1B2A"/>
          <w:sz w:val="22"/>
          <w:szCs w:val="22"/>
        </w:rPr>
        <w:t xml:space="preserve">Eventual consistency: </w:t>
      </w:r>
      <w:r>
        <w:rPr>
          <w:rFonts w:ascii="Arial" w:cs="Arial" w:eastAsia="Arial" w:hAnsi="Arial"/>
          <w:b w:val="false"/>
          <w:bCs w:val="false"/>
          <w:color w:val="333333"/>
          <w:sz w:val="22"/>
          <w:szCs w:val="22"/>
        </w:rPr>
        <w:t xml:space="preserve">A consistency model where the system will reach a consistent state after all updates propagate, but may be temporarily inconsistent. Accepted for replicated/denormalized data in microservices.</w:t>
      </w:r>
    </w:p>
    <w:p>
      <w:pPr>
        <w:spacing w:after="100"/>
      </w:pPr>
      <w:r>
        <w:rPr>
          <w:rFonts w:ascii="Arial" w:cs="Arial" w:eastAsia="Arial" w:hAnsi="Arial"/>
          <w:b/>
          <w:bCs/>
          <w:color w:val="0D1B2A"/>
          <w:sz w:val="22"/>
          <w:szCs w:val="22"/>
        </w:rPr>
        <w:t xml:space="preserve">Saga pattern: </w:t>
      </w:r>
      <w:r>
        <w:rPr>
          <w:rFonts w:ascii="Arial" w:cs="Arial" w:eastAsia="Arial" w:hAnsi="Arial"/>
          <w:b w:val="false"/>
          <w:bCs w:val="false"/>
          <w:color w:val="333333"/>
          <w:sz w:val="22"/>
          <w:szCs w:val="22"/>
        </w:rPr>
        <w:t xml:space="preserve">A distributed transaction pattern: a sequence of local transactions each with a compensating transaction. Provides eventual atomicity across services without distributed locks.</w:t>
      </w:r>
    </w:p>
    <w:p>
      <w:pPr>
        <w:spacing w:after="100"/>
      </w:pPr>
      <w:r>
        <w:rPr>
          <w:rFonts w:ascii="Arial" w:cs="Arial" w:eastAsia="Arial" w:hAnsi="Arial"/>
          <w:b/>
          <w:bCs/>
          <w:color w:val="0D1B2A"/>
          <w:sz w:val="22"/>
          <w:szCs w:val="22"/>
        </w:rPr>
        <w:t xml:space="preserve">Transactional Outbox: </w:t>
      </w:r>
      <w:r>
        <w:rPr>
          <w:rFonts w:ascii="Arial" w:cs="Arial" w:eastAsia="Arial" w:hAnsi="Arial"/>
          <w:b w:val="false"/>
          <w:bCs w:val="false"/>
          <w:color w:val="333333"/>
          <w:sz w:val="22"/>
          <w:szCs w:val="22"/>
        </w:rPr>
        <w:t xml:space="preserve">A pattern for reliable event publication: write domain change + event to an outbox table in the same DB transaction. A separate publisher delivers the event at-least-once.</w:t>
      </w:r>
    </w:p>
    <w:p>
      <w:pPr>
        <w:spacing w:after="100"/>
      </w:pPr>
      <w:r>
        <w:rPr>
          <w:rFonts w:ascii="Arial" w:cs="Arial" w:eastAsia="Arial" w:hAnsi="Arial"/>
          <w:b/>
          <w:bCs/>
          <w:color w:val="0D1B2A"/>
          <w:sz w:val="22"/>
          <w:szCs w:val="22"/>
        </w:rPr>
        <w:t xml:space="preserve">Outbox publisher: </w:t>
      </w:r>
      <w:r>
        <w:rPr>
          <w:rFonts w:ascii="Arial" w:cs="Arial" w:eastAsia="Arial" w:hAnsi="Arial"/>
          <w:b w:val="false"/>
          <w:bCs w:val="false"/>
          <w:color w:val="333333"/>
          <w:sz w:val="22"/>
          <w:szCs w:val="22"/>
        </w:rPr>
        <w:t xml:space="preserve">A process that polls the outbox table for pending events, publishes them to the message broker, and marks them published. Ensures at-least-once event delivery.</w:t>
      </w:r>
    </w:p>
    <w:p>
      <w:pPr>
        <w:spacing w:after="100"/>
      </w:pPr>
      <w:r>
        <w:rPr>
          <w:rFonts w:ascii="Arial" w:cs="Arial" w:eastAsia="Arial" w:hAnsi="Arial"/>
          <w:b/>
          <w:bCs/>
          <w:color w:val="0D1B2A"/>
          <w:sz w:val="22"/>
          <w:szCs w:val="22"/>
        </w:rPr>
        <w:t xml:space="preserve">At-least-once delivery: </w:t>
      </w:r>
      <w:r>
        <w:rPr>
          <w:rFonts w:ascii="Arial" w:cs="Arial" w:eastAsia="Arial" w:hAnsi="Arial"/>
          <w:b w:val="false"/>
          <w:bCs w:val="false"/>
          <w:color w:val="333333"/>
          <w:sz w:val="22"/>
          <w:szCs w:val="22"/>
        </w:rPr>
        <w:t xml:space="preserve">Message delivery guarantee: a message is delivered at least once but possibly more. Consumers must be idempotent to handle duplicate delivery safely.</w:t>
      </w:r>
    </w:p>
    <w:p>
      <w:pPr>
        <w:spacing w:after="100"/>
      </w:pPr>
      <w:r>
        <w:rPr>
          <w:rFonts w:ascii="Arial" w:cs="Arial" w:eastAsia="Arial" w:hAnsi="Arial"/>
          <w:b/>
          <w:bCs/>
          <w:color w:val="0D1B2A"/>
          <w:sz w:val="22"/>
          <w:szCs w:val="22"/>
        </w:rPr>
        <w:t xml:space="preserve">Event-driven sync: </w:t>
      </w:r>
      <w:r>
        <w:rPr>
          <w:rFonts w:ascii="Arial" w:cs="Arial" w:eastAsia="Arial" w:hAnsi="Arial"/>
          <w:b w:val="false"/>
          <w:bCs w:val="false"/>
          <w:color w:val="333333"/>
          <w:sz w:val="22"/>
          <w:szCs w:val="22"/>
        </w:rPr>
        <w:t xml:space="preserve">A pattern where services subscribe to domain events from other services and update local data copies. Enables data duplication with near-real-time consistency.</w:t>
      </w:r>
    </w:p>
    <w:p>
      <w:pPr>
        <w:spacing w:after="100"/>
      </w:pPr>
      <w:r>
        <w:rPr>
          <w:rFonts w:ascii="Arial" w:cs="Arial" w:eastAsia="Arial" w:hAnsi="Arial"/>
          <w:b/>
          <w:bCs/>
          <w:color w:val="0D1B2A"/>
          <w:sz w:val="22"/>
          <w:szCs w:val="22"/>
        </w:rPr>
        <w:t xml:space="preserve">Deliberate denormalization: </w:t>
      </w:r>
      <w:r>
        <w:rPr>
          <w:rFonts w:ascii="Arial" w:cs="Arial" w:eastAsia="Arial" w:hAnsi="Arial"/>
          <w:b w:val="false"/>
          <w:bCs w:val="false"/>
          <w:color w:val="333333"/>
          <w:sz w:val="22"/>
          <w:szCs w:val="22"/>
        </w:rPr>
        <w:t xml:space="preserve">Intentional storage of the same data in multiple places for performance, availability, or independence. Distinguished from accidental duplication.</w:t>
      </w:r>
    </w:p>
    <w:p>
      <w:pPr>
        <w:spacing w:after="100"/>
      </w:pPr>
      <w:r>
        <w:rPr>
          <w:rFonts w:ascii="Arial" w:cs="Arial" w:eastAsia="Arial" w:hAnsi="Arial"/>
          <w:b/>
          <w:bCs/>
          <w:color w:val="0D1B2A"/>
          <w:sz w:val="22"/>
          <w:szCs w:val="22"/>
        </w:rPr>
        <w:t xml:space="preserve">Snapshot semantics: </w:t>
      </w:r>
      <w:r>
        <w:rPr>
          <w:rFonts w:ascii="Arial" w:cs="Arial" w:eastAsia="Arial" w:hAnsi="Arial"/>
          <w:b w:val="false"/>
          <w:bCs w:val="false"/>
          <w:color w:val="333333"/>
          <w:sz w:val="22"/>
          <w:szCs w:val="22"/>
        </w:rPr>
        <w:t xml:space="preserve">Capturing data as it was at a specific point in time. An order's stored shipping address is a snapshot — the address at order placement, not the current address.</w:t>
      </w:r>
    </w:p>
    <w:p>
      <w:pPr>
        <w:spacing w:after="100"/>
      </w:pPr>
      <w:r>
        <w:rPr>
          <w:rFonts w:ascii="Arial" w:cs="Arial" w:eastAsia="Arial" w:hAnsi="Arial"/>
          <w:b/>
          <w:bCs/>
          <w:color w:val="0D1B2A"/>
          <w:sz w:val="22"/>
          <w:szCs w:val="22"/>
        </w:rPr>
        <w:t xml:space="preserve">Compensating action (referential): </w:t>
      </w:r>
      <w:r>
        <w:rPr>
          <w:rFonts w:ascii="Arial" w:cs="Arial" w:eastAsia="Arial" w:hAnsi="Arial"/>
          <w:b w:val="false"/>
          <w:bCs w:val="false"/>
          <w:color w:val="333333"/>
          <w:sz w:val="22"/>
          <w:szCs w:val="22"/>
        </w:rPr>
        <w:t xml:space="preserve">An application-level response to a detected integrity violation: refund an orphaned payment, cancel orders referencing a deleted user.</w:t>
      </w:r>
    </w:p>
    <w:p>
      <w:pPr>
        <w:spacing w:after="100"/>
      </w:pPr>
      <w:r>
        <w:rPr>
          <w:rFonts w:ascii="Arial" w:cs="Arial" w:eastAsia="Arial" w:hAnsi="Arial"/>
          <w:b/>
          <w:bCs/>
          <w:color w:val="0D1B2A"/>
          <w:sz w:val="22"/>
          <w:szCs w:val="22"/>
        </w:rPr>
        <w:t xml:space="preserve">Periodic consistency check: </w:t>
      </w:r>
      <w:r>
        <w:rPr>
          <w:rFonts w:ascii="Arial" w:cs="Arial" w:eastAsia="Arial" w:hAnsi="Arial"/>
          <w:b w:val="false"/>
          <w:bCs w:val="false"/>
          <w:color w:val="333333"/>
          <w:sz w:val="22"/>
          <w:szCs w:val="22"/>
        </w:rPr>
        <w:t xml:space="preserve">A background job that queries for orphaned records and resolves or flags them. Acts as a safety net for integrity violations not caught by event-driven compensation.</w:t>
      </w:r>
    </w:p>
    <w:p>
      <w:pPr>
        <w:spacing w:after="100"/>
      </w:pPr>
      <w:r>
        <w:rPr>
          <w:rFonts w:ascii="Arial" w:cs="Arial" w:eastAsia="Arial" w:hAnsi="Arial"/>
          <w:b/>
          <w:bCs/>
          <w:color w:val="0D1B2A"/>
          <w:sz w:val="22"/>
          <w:szCs w:val="22"/>
        </w:rPr>
        <w:t xml:space="preserve">Change Data Capture (CDC): </w:t>
      </w:r>
      <w:r>
        <w:rPr>
          <w:rFonts w:ascii="Arial" w:cs="Arial" w:eastAsia="Arial" w:hAnsi="Arial"/>
          <w:b w:val="false"/>
          <w:bCs w:val="false"/>
          <w:color w:val="333333"/>
          <w:sz w:val="22"/>
          <w:szCs w:val="22"/>
        </w:rPr>
        <w:t xml:space="preserve">A technique that reads from a database transaction log (WAL, binlog) and streams row-level changes. Captures all data changes without requiring application code modifications.</w:t>
      </w:r>
    </w:p>
    <w:p>
      <w:pPr>
        <w:spacing w:after="100"/>
      </w:pPr>
      <w:r>
        <w:rPr>
          <w:rFonts w:ascii="Arial" w:cs="Arial" w:eastAsia="Arial" w:hAnsi="Arial"/>
          <w:b/>
          <w:bCs/>
          <w:color w:val="0D1B2A"/>
          <w:sz w:val="22"/>
          <w:szCs w:val="22"/>
        </w:rPr>
        <w:t xml:space="preserve">Debezium: </w:t>
      </w:r>
      <w:r>
        <w:rPr>
          <w:rFonts w:ascii="Arial" w:cs="Arial" w:eastAsia="Arial" w:hAnsi="Arial"/>
          <w:b w:val="false"/>
          <w:bCs w:val="false"/>
          <w:color w:val="333333"/>
          <w:sz w:val="22"/>
          <w:szCs w:val="22"/>
        </w:rPr>
        <w:t xml:space="preserve">An open-source CDC platform that reads PostgreSQL WAL and MySQL binlog and publishes changes to Kafka topics.</w:t>
      </w:r>
    </w:p>
    <w:p>
      <w:pPr>
        <w:spacing w:after="100"/>
      </w:pPr>
      <w:r>
        <w:rPr>
          <w:rFonts w:ascii="Arial" w:cs="Arial" w:eastAsia="Arial" w:hAnsi="Arial"/>
          <w:b/>
          <w:bCs/>
          <w:color w:val="0D1B2A"/>
          <w:sz w:val="22"/>
          <w:szCs w:val="22"/>
        </w:rPr>
        <w:t xml:space="preserve">Data lake: </w:t>
      </w:r>
      <w:r>
        <w:rPr>
          <w:rFonts w:ascii="Arial" w:cs="Arial" w:eastAsia="Arial" w:hAnsi="Arial"/>
          <w:b w:val="false"/>
          <w:bCs w:val="false"/>
          <w:color w:val="333333"/>
          <w:sz w:val="22"/>
          <w:szCs w:val="22"/>
        </w:rPr>
        <w:t xml:space="preserve">A large storage repository holding raw data in its native format until needed for analytics processing.</w:t>
      </w:r>
    </w:p>
    <w:p>
      <w:pPr>
        <w:spacing w:after="100"/>
      </w:pPr>
      <w:r>
        <w:rPr>
          <w:rFonts w:ascii="Arial" w:cs="Arial" w:eastAsia="Arial" w:hAnsi="Arial"/>
          <w:b/>
          <w:bCs/>
          <w:color w:val="0D1B2A"/>
          <w:sz w:val="22"/>
          <w:szCs w:val="22"/>
        </w:rPr>
        <w:t xml:space="preserve">Data warehouse: </w:t>
      </w:r>
      <w:r>
        <w:rPr>
          <w:rFonts w:ascii="Arial" w:cs="Arial" w:eastAsia="Arial" w:hAnsi="Arial"/>
          <w:b w:val="false"/>
          <w:bCs w:val="false"/>
          <w:color w:val="333333"/>
          <w:sz w:val="22"/>
          <w:szCs w:val="22"/>
        </w:rPr>
        <w:t xml:space="preserve">A central data store optimised for analytical queries (OLAP). Stores pre-joined, cleaned, historical data from multiple sources for business intelligence.</w:t>
      </w:r>
    </w:p>
    <w:p>
      <w:pPr>
        <w:spacing w:after="100"/>
      </w:pPr>
      <w:r>
        <w:rPr>
          <w:rFonts w:ascii="Arial" w:cs="Arial" w:eastAsia="Arial" w:hAnsi="Arial"/>
          <w:b/>
          <w:bCs/>
          <w:color w:val="0D1B2A"/>
          <w:sz w:val="22"/>
          <w:szCs w:val="22"/>
        </w:rPr>
        <w:t xml:space="preserve">Kafka Connect: </w:t>
      </w:r>
      <w:r>
        <w:rPr>
          <w:rFonts w:ascii="Arial" w:cs="Arial" w:eastAsia="Arial" w:hAnsi="Arial"/>
          <w:b w:val="false"/>
          <w:bCs w:val="false"/>
          <w:color w:val="333333"/>
          <w:sz w:val="22"/>
          <w:szCs w:val="22"/>
        </w:rPr>
        <w:t xml:space="preserve">A framework for streaming data into and out of Kafka. Used in CDC pipelines (Debezium source) and data warehouse loading (JDBC sink).</w:t>
      </w:r>
    </w:p>
    <w:p>
      <w:pPr>
        <w:spacing w:after="100"/>
      </w:pPr>
      <w:r>
        <w:rPr>
          <w:rFonts w:ascii="Arial" w:cs="Arial" w:eastAsia="Arial" w:hAnsi="Arial"/>
          <w:b/>
          <w:bCs/>
          <w:color w:val="0D1B2A"/>
          <w:sz w:val="22"/>
          <w:szCs w:val="22"/>
        </w:rPr>
        <w:t xml:space="preserve">N+1 query problem: </w:t>
      </w:r>
      <w:r>
        <w:rPr>
          <w:rFonts w:ascii="Arial" w:cs="Arial" w:eastAsia="Arial" w:hAnsi="Arial"/>
          <w:b w:val="false"/>
          <w:bCs w:val="false"/>
          <w:color w:val="333333"/>
          <w:sz w:val="22"/>
          <w:szCs w:val="22"/>
        </w:rPr>
        <w:t xml:space="preserve">In API Composition: fetching N items in one call then making N individual API calls for related data. Solved by batch endpoints.</w:t>
      </w:r>
    </w:p>
    <w:p>
      <w:pPr>
        <w:spacing w:after="100"/>
      </w:pPr>
      <w:r>
        <w:rPr>
          <w:rFonts w:ascii="Arial" w:cs="Arial" w:eastAsia="Arial" w:hAnsi="Arial"/>
          <w:b/>
          <w:bCs/>
          <w:color w:val="0D1B2A"/>
          <w:sz w:val="22"/>
          <w:szCs w:val="22"/>
        </w:rPr>
        <w:t xml:space="preserve">Batch endpoint: </w:t>
      </w:r>
      <w:r>
        <w:rPr>
          <w:rFonts w:ascii="Arial" w:cs="Arial" w:eastAsia="Arial" w:hAnsi="Arial"/>
          <w:b w:val="false"/>
          <w:bCs w:val="false"/>
          <w:color w:val="333333"/>
          <w:sz w:val="22"/>
          <w:szCs w:val="22"/>
        </w:rPr>
        <w:t xml:space="preserve">An API endpoint accepting multiple IDs and returning results for all of them in one response (e.g., getPaymentsByOrderIds([id1,id2,...])). Prevents N+1 patterns.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0D1B2A"/>
      <w:sz w:val="40"/>
      <w:szCs w:val="40"/>
    </w:rPr>
  </w:style>
  <w:style w:type="paragraph" w:styleId="Heading2">
    <w:name w:val="Heading 2"/>
    <w:basedOn w:val="Normal"/>
    <w:next w:val="Normal"/>
    <w:qFormat/>
    <w:pPr>
      <w:spacing w:after="100" w:before="280"/>
      <w:outlineLvl w:val="1"/>
    </w:pPr>
    <w:rPr>
      <w:rFonts w:ascii="Arial" w:cs="Arial" w:eastAsia="Arial" w:hAnsi="Arial"/>
      <w:b/>
      <w:bCs/>
      <w:color w:val="1A3A5C"/>
      <w:sz w:val="28"/>
      <w:szCs w:val="28"/>
    </w:rPr>
  </w:style>
  <w:style w:type="paragraph" w:styleId="Heading3">
    <w:name w:val="Heading 3"/>
    <w:basedOn w:val="Normal"/>
    <w:next w:val="Normal"/>
    <w:qFormat/>
    <w:pPr>
      <w:spacing w:after="80" w:before="200"/>
      <w:outlineLvl w:val="2"/>
    </w:pPr>
    <w:rPr>
      <w:rFonts w:ascii="Arial" w:cs="Arial" w:eastAsia="Arial" w:hAnsi="Arial"/>
      <w:b/>
      <w:bCs/>
      <w:color w:val="E65100"/>
      <w:sz w:val="24"/>
      <w:szCs w:val="24"/>
    </w:rPr>
  </w:style>
  <w:style w:type="paragraph" w:styleId="Heading4">
    <w:name w:val="Heading 4"/>
    <w:basedOn w:val="Normal"/>
    <w:next w:val="Normal"/>
    <w:qFormat/>
    <w:pPr>
      <w:spacing w:after="60" w:before="160"/>
      <w:outlineLvl w:val="3"/>
    </w:pPr>
    <w:rPr>
      <w:rFonts w:ascii="Arial" w:cs="Arial" w:eastAsia="Arial" w:hAnsi="Arial"/>
      <w:b/>
      <w:bCs/>
      <w:color w:val="0069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2026-04-13T12:53:20.276Z</dcterms:created>
  <dcterms:modified xsi:type="dcterms:W3CDTF">2026-04-13T12:53:20.277Z</dcterms:modified>
</cp:coreProperties>
</file>

<file path=docProps/custom.xml><?xml version="1.0" encoding="utf-8"?>
<Properties xmlns="http://schemas.openxmlformats.org/officeDocument/2006/custom-properties" xmlns:vt="http://schemas.openxmlformats.org/officeDocument/2006/docPropsVTypes"/>
</file>