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19: Security Architecture</w:t>
      </w:r>
    </w:p>
    <w:p>
      <w:pPr>
        <w:spacing w:after="200"/>
        <w:jc w:val="center"/>
      </w:pPr>
      <w:r>
        <w:rPr>
          <w:color w:val="595959"/>
          <w:sz w:val="28"/>
          <w:szCs w:val="28"/>
        </w:rPr>
        <w:t xml:space="preserve">TOGAF Series Guide on Integrating Risk and Security</w:t>
      </w:r>
    </w:p>
    <w:p>
      <w:pPr>
        <w:spacing w:after="200"/>
        <w:jc w:val="center"/>
      </w:pPr>
      <w:r>
        <w:rPr>
          <w:color w:val="808080"/>
          <w:sz w:val="22"/>
          <w:szCs w:val="22"/>
        </w:rPr>
        <w:t xml:space="preserve">STRIDE · Zero Trust · OWASP · Defense in Depth · Security ABBs · SABSA</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19</w:t>
      </w:r>
    </w:p>
    <w:p>
      <w:pPr>
        <w:spacing w:after="120" w:line="300"/>
        <w:jc w:val="both"/>
      </w:pPr>
      <w:r>
        <w:t xml:space="preserve">Module 19 covers the TOGAF Series Guide on Integrating Risk and Security within an Enterprise Architecture — the dedicated Series publication that elaborates how security and risk concerns are woven through every aspect of the architecture. Where Module 18 covered Business Architecture as a recognised speciality, this module covers Security Architecture in the same way: as a cross-cutting discipline with its own techniques, frameworks, and reference content, integrated with rather than added on top of TOGAF's mainstream practice.</w:t>
      </w:r>
    </w:p>
    <w:p>
      <w:pPr>
        <w:spacing w:after="120" w:line="300"/>
        <w:jc w:val="both"/>
      </w:pPr>
      <w:r>
        <w:t xml:space="preserve">The most consequential point in this module is the very first one: security is NOT a Technology Architecture concern alone. It is cross-cutting across all four BDAT domains. A Business Architecture has security implications (which capabilities involve sensitive data, which actors have privileged access). A Data Architecture has security implications (classification, retention, encryption). An Application Architecture has security implications (authentication, authorisation, application security testing). A Technology Architecture has security implications (network segmentation, platform hardening, key management). Treating security as something the Technology Architect handles in isolation produces architecture that fails security review consistently. Treating security as cross-cutting from the beginning produces architecture that is secure by construction.</w:t>
      </w:r>
    </w:p>
    <w:p>
      <w:pPr>
        <w:spacing w:after="120" w:line="300"/>
        <w:jc w:val="both"/>
      </w:pPr>
      <w:r>
        <w:t xml:space="preserve">Nine points anchor the exam-relevant content. First, security as cross-cutting across all four BDAT domains. Second, the STRIDE threat-modelling acronym. Third, Zero Trust Architecture (NIST SP 800-207) and its principle "never trust, always verify". Fourth, the components of Zero Trust (Identity Provider with MFA, Device Trust, Micro-segmentation, Just-In-Time access). Fifth, the OWASP Top 10 as the mandatory baseline for application security. Sixth, the six-layer Defense in Depth model. Seventh, the security activities at each ADM phase. Eighth, the standard Security Architecture Building Blocks (Identity &amp; Access Management, Cryptography, Audit &amp; Logging, Threat Detection, Network Security, Certificate Management). Ninth, SABSA as the principal security-depth complement to TOGAF.</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This module covers a substantial amount of vocabulary — STRIDE acronym letters, Zero Trust components, OWASP categories, Defense in Depth layers, security ABBs, SABSA framework. The exam tests recognition of these structures by name. Read each section as a tool description: what is the framework, what are its components, what does it produce in architecture practice. After this, the practical security-architecture work becomes much easier — these are the standard reference structures every security architect uses.</w:t>
            </w:r>
          </w:p>
        </w:tc>
      </w:tr>
    </w:tbl>
    <w:p>
      <w:r>
        <w:br w:type="page"/>
      </w:r>
    </w:p>
    <w:p>
      <w:pPr>
        <w:pStyle w:val="Heading1"/>
        <w:spacing w:after="200" w:before="360"/>
      </w:pPr>
      <w:r>
        <w:rPr>
          <w:b/>
          <w:bCs/>
          <w:color w:val="1F4E78"/>
        </w:rPr>
        <w:t xml:space="preserve">1. Security Is Cross-Cutting Across All Four BDAT Domains</w:t>
      </w:r>
    </w:p>
    <w:p>
      <w:pPr>
        <w:spacing w:after="120" w:line="300"/>
        <w:jc w:val="both"/>
      </w:pPr>
      <w:r>
        <w:t xml:space="preserve">This is the most exam-tested point in the entire Security Architecture module, and one of the most consistently misunderstood. Security is not a Technology Architecture concern. It is not even primarily a Technology Architecture concern. It is a cross-cutting concern that touches Business, Data, Application, and Technology architectures in materially different ways at each. Architecture practices that treat security as Technology-only produce systems that fail audit, fail penetration tests, and produce regulatory exposure that surprises everyone except the security architects who flagged it years earlier.</w:t>
      </w:r>
    </w:p>
    <w:p>
      <w:pPr>
        <w:pStyle w:val="Heading2"/>
        <w:spacing w:after="160" w:before="280"/>
      </w:pPr>
      <w:r>
        <w:rPr>
          <w:b/>
          <w:bCs/>
          <w:color w:val="2E75B6"/>
        </w:rPr>
        <w:t xml:space="preserve">1.1 The Cross-Cutting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Security as Cross-Cutting: </w:t>
            </w:r>
            <w:r>
              <w:t xml:space="preserve">Security concerns are present at every layer of the architecture: business (which capabilities and roles involve sensitive data, who is accountable for risk), data (classification, retention, privacy, encryption), application (authentication, authorisation, application security, secure SDLC), and technology (network, platform, infrastructure, key management). Treating security as a single layer concern — typically Technology — systematically under-protects the architecture and produces governance failures.</w:t>
            </w:r>
          </w:p>
        </w:tc>
      </w:tr>
    </w:tbl>
    <w:p>
      <w:pPr>
        <w:pStyle w:val="Heading2"/>
        <w:spacing w:after="160" w:before="280"/>
      </w:pPr>
      <w:r>
        <w:rPr>
          <w:b/>
          <w:bCs/>
          <w:color w:val="2E75B6"/>
        </w:rPr>
        <w:t xml:space="preserve">1.2 Security Concerns at Each BDAT Layer</w:t>
      </w:r>
    </w:p>
    <w:p>
      <w:pPr>
        <w:pStyle w:val="Heading3"/>
        <w:spacing w:after="120" w:before="220"/>
      </w:pPr>
      <w:r>
        <w:rPr>
          <w:b/>
          <w:bCs/>
          <w:color w:val="404040"/>
        </w:rPr>
        <w:t xml:space="preserve">Business Architecture Security Concerns</w:t>
      </w:r>
    </w:p>
    <w:p>
      <w:pPr>
        <w:spacing w:after="120" w:line="300"/>
        <w:jc w:val="both"/>
      </w:pPr>
      <w:r>
        <w:t xml:space="preserve">At the Business layer, security shapes who can do what, what risk the enterprise accepts, and what policies frame those decisions. Specific concerns include:</w:t>
      </w:r>
    </w:p>
    <w:p>
      <w:pPr>
        <w:pStyle w:val="ListParagraph"/>
        <w:numPr>
          <w:ilvl w:val="0"/>
          <w:numId w:val="2"/>
        </w:numPr>
        <w:spacing w:after="80" w:line="280"/>
      </w:pPr>
      <w:r>
        <w:t xml:space="preserve">Identification of high-risk Capabilities (those handling sensitive customer data, those subject to regulatory scrutiny, those with significant fraud exposure).</w:t>
      </w:r>
    </w:p>
    <w:p>
      <w:pPr>
        <w:pStyle w:val="ListParagraph"/>
        <w:numPr>
          <w:ilvl w:val="0"/>
          <w:numId w:val="2"/>
        </w:numPr>
        <w:spacing w:after="80" w:line="280"/>
      </w:pPr>
      <w:r>
        <w:t xml:space="preserve">Designation of accountable Risk Owners for each Capability and high-value Business Object.</w:t>
      </w:r>
    </w:p>
    <w:p>
      <w:pPr>
        <w:pStyle w:val="ListParagraph"/>
        <w:numPr>
          <w:ilvl w:val="0"/>
          <w:numId w:val="2"/>
        </w:numPr>
        <w:spacing w:after="80" w:line="280"/>
      </w:pPr>
      <w:r>
        <w:t xml:space="preserve">Definition of segregation-of-duties requirements (e.g., the role that approves a payment cannot also create the payment instruction).</w:t>
      </w:r>
    </w:p>
    <w:p>
      <w:pPr>
        <w:pStyle w:val="ListParagraph"/>
        <w:numPr>
          <w:ilvl w:val="0"/>
          <w:numId w:val="2"/>
        </w:numPr>
        <w:spacing w:after="80" w:line="280"/>
      </w:pPr>
      <w:r>
        <w:t xml:space="preserve">Risk appetite statements that frame which risks the enterprise accepts and which it does not.</w:t>
      </w:r>
    </w:p>
    <w:p>
      <w:pPr>
        <w:pStyle w:val="ListParagraph"/>
        <w:numPr>
          <w:ilvl w:val="0"/>
          <w:numId w:val="2"/>
        </w:numPr>
        <w:spacing w:after="80" w:line="280"/>
      </w:pPr>
      <w:r>
        <w:t xml:space="preserve">Regulatory obligation mapping (which regulations apply to which Capabilities).</w:t>
      </w:r>
    </w:p>
    <w:p>
      <w:pPr>
        <w:pStyle w:val="Heading3"/>
        <w:spacing w:after="120" w:before="220"/>
      </w:pPr>
      <w:r>
        <w:rPr>
          <w:b/>
          <w:bCs/>
          <w:color w:val="404040"/>
        </w:rPr>
        <w:t xml:space="preserve">Data Architecture Security Concerns</w:t>
      </w:r>
    </w:p>
    <w:p>
      <w:pPr>
        <w:spacing w:after="120" w:line="300"/>
        <w:jc w:val="both"/>
      </w:pPr>
      <w:r>
        <w:t xml:space="preserve">At the Data layer, security shapes how information is classified, protected, retained, and accessed. Specific concerns include:</w:t>
      </w:r>
    </w:p>
    <w:p>
      <w:pPr>
        <w:pStyle w:val="ListParagraph"/>
        <w:numPr>
          <w:ilvl w:val="0"/>
          <w:numId w:val="2"/>
        </w:numPr>
        <w:spacing w:after="80" w:line="280"/>
      </w:pPr>
      <w:r>
        <w:t xml:space="preserve">Data classification scheme (Public, Internal, Confidential, Restricted, Highly Restricted) applied to every Data Entity.</w:t>
      </w:r>
    </w:p>
    <w:p>
      <w:pPr>
        <w:pStyle w:val="ListParagraph"/>
        <w:numPr>
          <w:ilvl w:val="0"/>
          <w:numId w:val="2"/>
        </w:numPr>
        <w:spacing w:after="80" w:line="280"/>
      </w:pPr>
      <w:r>
        <w:t xml:space="preserve">Encryption policy — at-rest and in-transit, key management, key rotation, who holds keys.</w:t>
      </w:r>
    </w:p>
    <w:p>
      <w:pPr>
        <w:pStyle w:val="ListParagraph"/>
        <w:numPr>
          <w:ilvl w:val="0"/>
          <w:numId w:val="2"/>
        </w:numPr>
        <w:spacing w:after="80" w:line="280"/>
      </w:pPr>
      <w:r>
        <w:t xml:space="preserve">Data retention policies driven by regulation (GDPR, CCPA), business need, and litigation hold requirements.</w:t>
      </w:r>
    </w:p>
    <w:p>
      <w:pPr>
        <w:pStyle w:val="ListParagraph"/>
        <w:numPr>
          <w:ilvl w:val="0"/>
          <w:numId w:val="2"/>
        </w:numPr>
        <w:spacing w:after="80" w:line="280"/>
      </w:pPr>
      <w:r>
        <w:t xml:space="preserve">Access policies — who can read, write, modify, delete each Data Entity, with audit trails.</w:t>
      </w:r>
    </w:p>
    <w:p>
      <w:pPr>
        <w:pStyle w:val="ListParagraph"/>
        <w:numPr>
          <w:ilvl w:val="0"/>
          <w:numId w:val="2"/>
        </w:numPr>
        <w:spacing w:after="80" w:line="280"/>
      </w:pPr>
      <w:r>
        <w:t xml:space="preserve">Data lineage tracking — knowing where personal data flows so that subject access, deletion, and rectification requests can be served.</w:t>
      </w:r>
    </w:p>
    <w:p>
      <w:pPr>
        <w:pStyle w:val="ListParagraph"/>
        <w:numPr>
          <w:ilvl w:val="0"/>
          <w:numId w:val="2"/>
        </w:numPr>
        <w:spacing w:after="80" w:line="280"/>
      </w:pPr>
      <w:r>
        <w:t xml:space="preserve">Data minimisation — collecting only what is needed and disposing of it when no longer needed.</w:t>
      </w:r>
    </w:p>
    <w:p>
      <w:pPr>
        <w:pStyle w:val="Heading3"/>
        <w:spacing w:after="120" w:before="220"/>
      </w:pPr>
      <w:r>
        <w:rPr>
          <w:b/>
          <w:bCs/>
          <w:color w:val="404040"/>
        </w:rPr>
        <w:t xml:space="preserve">Application Architecture Security Concerns</w:t>
      </w:r>
    </w:p>
    <w:p>
      <w:pPr>
        <w:spacing w:after="120" w:line="300"/>
        <w:jc w:val="both"/>
      </w:pPr>
      <w:r>
        <w:t xml:space="preserve">At the Application layer, security shapes how applications authenticate users, enforce authorisation, handle inputs, and integrate securely with each other. Specific concerns include:</w:t>
      </w:r>
    </w:p>
    <w:p>
      <w:pPr>
        <w:pStyle w:val="ListParagraph"/>
        <w:numPr>
          <w:ilvl w:val="0"/>
          <w:numId w:val="2"/>
        </w:numPr>
        <w:spacing w:after="80" w:line="280"/>
      </w:pPr>
      <w:r>
        <w:t xml:space="preserve">Authentication architecture — the IDP, the federation patterns, MFA requirements.</w:t>
      </w:r>
    </w:p>
    <w:p>
      <w:pPr>
        <w:pStyle w:val="ListParagraph"/>
        <w:numPr>
          <w:ilvl w:val="0"/>
          <w:numId w:val="2"/>
        </w:numPr>
        <w:spacing w:after="80" w:line="280"/>
      </w:pPr>
      <w:r>
        <w:t xml:space="preserve">Authorisation model — RBAC, ABAC, ReBAC; how policies are expressed and enforced.</w:t>
      </w:r>
    </w:p>
    <w:p>
      <w:pPr>
        <w:pStyle w:val="ListParagraph"/>
        <w:numPr>
          <w:ilvl w:val="0"/>
          <w:numId w:val="2"/>
        </w:numPr>
        <w:spacing w:after="80" w:line="280"/>
      </w:pPr>
      <w:r>
        <w:t xml:space="preserve">Application security testing — SAST, DAST, dependency scanning, container scanning integrated into CI/CD.</w:t>
      </w:r>
    </w:p>
    <w:p>
      <w:pPr>
        <w:pStyle w:val="ListParagraph"/>
        <w:numPr>
          <w:ilvl w:val="0"/>
          <w:numId w:val="2"/>
        </w:numPr>
        <w:spacing w:after="80" w:line="280"/>
      </w:pPr>
      <w:r>
        <w:t xml:space="preserve">OWASP Top 10 baseline (Section 5) for every application's design and review.</w:t>
      </w:r>
    </w:p>
    <w:p>
      <w:pPr>
        <w:pStyle w:val="ListParagraph"/>
        <w:numPr>
          <w:ilvl w:val="0"/>
          <w:numId w:val="2"/>
        </w:numPr>
        <w:spacing w:after="80" w:line="280"/>
      </w:pPr>
      <w:r>
        <w:t xml:space="preserve">Secrets management — how applications obtain database credentials, API keys, certificates without embedding them.</w:t>
      </w:r>
    </w:p>
    <w:p>
      <w:pPr>
        <w:pStyle w:val="ListParagraph"/>
        <w:numPr>
          <w:ilvl w:val="0"/>
          <w:numId w:val="2"/>
        </w:numPr>
        <w:spacing w:after="80" w:line="280"/>
      </w:pPr>
      <w:r>
        <w:t xml:space="preserve">API security — gateway enforcement, rate limiting, request validation, response filtering.</w:t>
      </w:r>
    </w:p>
    <w:p>
      <w:pPr>
        <w:pStyle w:val="Heading3"/>
        <w:spacing w:after="120" w:before="220"/>
      </w:pPr>
      <w:r>
        <w:rPr>
          <w:b/>
          <w:bCs/>
          <w:color w:val="404040"/>
        </w:rPr>
        <w:t xml:space="preserve">Technology Architecture Security Concerns</w:t>
      </w:r>
    </w:p>
    <w:p>
      <w:pPr>
        <w:spacing w:after="120" w:line="300"/>
        <w:jc w:val="both"/>
      </w:pPr>
      <w:r>
        <w:t xml:space="preserve">At the Technology layer, security shapes the platform, the network, the runtime hardening, and the operational security capabilities. Specific concerns include:</w:t>
      </w:r>
    </w:p>
    <w:p>
      <w:pPr>
        <w:pStyle w:val="ListParagraph"/>
        <w:numPr>
          <w:ilvl w:val="0"/>
          <w:numId w:val="2"/>
        </w:numPr>
        <w:spacing w:after="80" w:line="280"/>
      </w:pPr>
      <w:r>
        <w:t xml:space="preserve">Network architecture — segmentation, micro-segmentation (Section 4), DMZs, zero-trust network access.</w:t>
      </w:r>
    </w:p>
    <w:p>
      <w:pPr>
        <w:pStyle w:val="ListParagraph"/>
        <w:numPr>
          <w:ilvl w:val="0"/>
          <w:numId w:val="2"/>
        </w:numPr>
        <w:spacing w:after="80" w:line="280"/>
      </w:pPr>
      <w:r>
        <w:t xml:space="preserve">Platform hardening — secure baselines for OS, container runtime, Kubernetes, cloud accounts.</w:t>
      </w:r>
    </w:p>
    <w:p>
      <w:pPr>
        <w:pStyle w:val="ListParagraph"/>
        <w:numPr>
          <w:ilvl w:val="0"/>
          <w:numId w:val="2"/>
        </w:numPr>
        <w:spacing w:after="80" w:line="280"/>
      </w:pPr>
      <w:r>
        <w:t xml:space="preserve">Key management infrastructure — HSMs, key vaults, key rotation, key recovery.</w:t>
      </w:r>
    </w:p>
    <w:p>
      <w:pPr>
        <w:pStyle w:val="ListParagraph"/>
        <w:numPr>
          <w:ilvl w:val="0"/>
          <w:numId w:val="2"/>
        </w:numPr>
        <w:spacing w:after="80" w:line="280"/>
      </w:pPr>
      <w:r>
        <w:t xml:space="preserve">Logging and monitoring infrastructure — SIEM, log aggregation, threat detection, response automation.</w:t>
      </w:r>
    </w:p>
    <w:p>
      <w:pPr>
        <w:pStyle w:val="ListParagraph"/>
        <w:numPr>
          <w:ilvl w:val="0"/>
          <w:numId w:val="2"/>
        </w:numPr>
        <w:spacing w:after="80" w:line="280"/>
      </w:pPr>
      <w:r>
        <w:t xml:space="preserve">Vulnerability management — scanning, patching, exception handling for vulnerable components that cannot be patched immediately.</w:t>
      </w:r>
    </w:p>
    <w:p>
      <w:pPr>
        <w:pStyle w:val="Heading2"/>
        <w:spacing w:after="160" w:before="280"/>
      </w:pPr>
      <w:r>
        <w:rPr>
          <w:b/>
          <w:bCs/>
          <w:color w:val="2E75B6"/>
        </w:rPr>
        <w:t xml:space="preserve">1.3 Why the Cross-Cutting View Matters</w:t>
      </w:r>
    </w:p>
    <w:p>
      <w:pPr>
        <w:spacing w:after="120" w:line="300"/>
        <w:jc w:val="both"/>
      </w:pPr>
      <w:r>
        <w:t xml:space="preserve">Three concrete reasons:</w:t>
      </w:r>
    </w:p>
    <w:p>
      <w:pPr>
        <w:pStyle w:val="ListParagraph"/>
        <w:numPr>
          <w:ilvl w:val="0"/>
          <w:numId w:val="3"/>
        </w:numPr>
        <w:spacing w:after="80" w:line="280"/>
      </w:pPr>
      <w:r>
        <w:t xml:space="preserve">Threats traverse layers. A real attack typically exploits multiple layers — an attacker phishes a Business actor (Business), uses the harvested credential to access an application (Application), reads data the application makes available (Data), and exfiltrates it through the network (Technology). Defending against the attack requires controls at every layer. Defending only at Technology leaves the upper layers exposed.</w:t>
      </w:r>
    </w:p>
    <w:p>
      <w:pPr>
        <w:pStyle w:val="ListParagraph"/>
        <w:numPr>
          <w:ilvl w:val="0"/>
          <w:numId w:val="3"/>
        </w:numPr>
        <w:spacing w:after="80" w:line="280"/>
      </w:pPr>
      <w:r>
        <w:t xml:space="preserve">Architectural decisions at one layer constrain the others. Choosing a particular IDP at the Application layer constrains who can be a Business actor (because they need an identity); the data classification scheme at the Data layer determines what encryption is needed at the Technology layer; the segregation-of-duties policy at the Business layer determines what authorisation model the Application layer must support.</w:t>
      </w:r>
    </w:p>
    <w:p>
      <w:pPr>
        <w:pStyle w:val="ListParagraph"/>
        <w:numPr>
          <w:ilvl w:val="0"/>
          <w:numId w:val="3"/>
        </w:numPr>
        <w:spacing w:after="80" w:line="280"/>
      </w:pPr>
      <w:r>
        <w:t xml:space="preserve">Compliance is cross-cutting. Regulations (GDPR, DORA, NIS2, PSD2, HIPAA, sector-specific regimes) impose requirements across all four BDAT layers — which Capabilities are regulated (Business), what data must be protected (Data), what access controls must be enforced (Application), what infrastructure security must be in place (Technology). A compliance strategy that addresses only one layer cannot satisfy the regulation.</w:t>
      </w:r>
    </w:p>
    <w:p>
      <w:r>
        <w:br w:type="page"/>
      </w:r>
    </w:p>
    <w:p>
      <w:pPr>
        <w:pStyle w:val="Heading1"/>
        <w:spacing w:after="200" w:before="360"/>
      </w:pPr>
      <w:r>
        <w:rPr>
          <w:b/>
          <w:bCs/>
          <w:color w:val="1F4E78"/>
        </w:rPr>
        <w:t xml:space="preserve">2. STRIDE Threat Modeling</w:t>
      </w:r>
    </w:p>
    <w:p>
      <w:pPr>
        <w:spacing w:after="120" w:line="300"/>
        <w:jc w:val="both"/>
      </w:pPr>
      <w:r>
        <w:t xml:space="preserve">STRIDE is the standard threat-modelling framework adopted from Microsoft's secure development practice into broader security architecture work. It is an acronym for six categories of threat that any security analysis should systematically consider. The exam tests STRIDE by name; memorising the six categories with one example of each is the threshold of usable knowledge.</w:t>
      </w:r>
    </w:p>
    <w:p>
      <w:pPr>
        <w:pStyle w:val="Heading2"/>
        <w:spacing w:after="160" w:before="280"/>
      </w:pPr>
      <w:r>
        <w:rPr>
          <w:b/>
          <w:bCs/>
          <w:color w:val="2E75B6"/>
        </w:rPr>
        <w:t xml:space="preserve">2.1 The STRIDE Acronym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375623"/>
              </w:rPr>
              <w:t xml:space="preserve">🧠 STRIDE — Six Categories of Threat</w:t>
            </w:r>
          </w:p>
          <w:p>
            <w:pPr>
              <w:spacing w:after="60" w:line="280"/>
              <w:jc w:val="both"/>
            </w:pPr>
            <w:r>
              <w:t xml:space="preserve">S — Spoofing identity</w:t>
            </w:r>
          </w:p>
          <w:p>
            <w:pPr>
              <w:spacing w:after="60" w:line="280"/>
              <w:jc w:val="both"/>
            </w:pPr>
            <w:r>
              <w:t xml:space="preserve">T — Tampering with data</w:t>
            </w:r>
          </w:p>
          <w:p>
            <w:pPr>
              <w:spacing w:after="60" w:line="280"/>
              <w:jc w:val="both"/>
            </w:pPr>
            <w:r>
              <w:t xml:space="preserve">R — Repudiation</w:t>
            </w:r>
          </w:p>
          <w:p>
            <w:pPr>
              <w:spacing w:after="60" w:line="280"/>
              <w:jc w:val="both"/>
            </w:pPr>
            <w:r>
              <w:t xml:space="preserve">I — Information Disclosure</w:t>
            </w:r>
          </w:p>
          <w:p>
            <w:pPr>
              <w:spacing w:after="60" w:line="280"/>
              <w:jc w:val="both"/>
            </w:pPr>
            <w:r>
              <w:t xml:space="preserve">D — Denial of Service</w:t>
            </w:r>
          </w:p>
          <w:p>
            <w:pPr>
              <w:spacing w:after="60" w:line="280"/>
              <w:jc w:val="both"/>
            </w:pPr>
            <w:r>
              <w:t xml:space="preserve">E — Elevation of Privilege</w:t>
            </w:r>
          </w:p>
          <w:p>
            <w:pPr>
              <w:spacing w:after="60" w:line="280"/>
              <w:jc w:val="both"/>
            </w:pPr>
            <w:r>
              <w:t xml:space="preserve">Each letter names a threat category; threat modelling walks through the six and asks, for each component or interaction, what threats of each kind might apply.</w:t>
            </w:r>
          </w:p>
        </w:tc>
      </w:tr>
    </w:tbl>
    <w:p>
      <w:pPr>
        <w:pStyle w:val="Heading2"/>
        <w:spacing w:after="160" w:before="280"/>
      </w:pPr>
      <w:r>
        <w:rPr>
          <w:b/>
          <w:bCs/>
          <w:color w:val="2E75B6"/>
        </w:rPr>
        <w:t xml:space="preserve">2.2 Each Category Defined</w:t>
      </w:r>
    </w:p>
    <w:p>
      <w:pPr>
        <w:pStyle w:val="Heading3"/>
        <w:spacing w:after="120" w:before="220"/>
      </w:pPr>
      <w:r>
        <w:rPr>
          <w:b/>
          <w:bCs/>
          <w:color w:val="404040"/>
        </w:rPr>
        <w:t xml:space="preserve">S — Spoofing</w:t>
      </w:r>
    </w:p>
    <w:p>
      <w:pPr>
        <w:spacing w:after="120" w:line="300"/>
        <w:jc w:val="both"/>
      </w:pPr>
      <w:r>
        <w:t xml:space="preserve">Pretending to be something or someone else — a user, system, or service. Example: an attacker phishes a customer's credentials and logs in as the customer. The defence is authentication — strong, multi-factor, ideally device-bound, ideally with adaptive risk-based step-up.</w:t>
      </w:r>
    </w:p>
    <w:p>
      <w:pPr>
        <w:pStyle w:val="Heading3"/>
        <w:spacing w:after="120" w:before="220"/>
      </w:pPr>
      <w:r>
        <w:rPr>
          <w:b/>
          <w:bCs/>
          <w:color w:val="404040"/>
        </w:rPr>
        <w:t xml:space="preserve">T — Tampering</w:t>
      </w:r>
    </w:p>
    <w:p>
      <w:pPr>
        <w:spacing w:after="120" w:line="300"/>
        <w:jc w:val="both"/>
      </w:pPr>
      <w:r>
        <w:t xml:space="preserve">Modifying data or code without authorisation. Example: an attacker intercepts an unencrypted API call and changes the destination account number on a transfer. The defence is integrity protection — TLS for data in transit, signed/verified code, integrity checks on data at rest, audit trails that detect tampering after the fact.</w:t>
      </w:r>
    </w:p>
    <w:p>
      <w:pPr>
        <w:pStyle w:val="Heading3"/>
        <w:spacing w:after="120" w:before="220"/>
      </w:pPr>
      <w:r>
        <w:rPr>
          <w:b/>
          <w:bCs/>
          <w:color w:val="404040"/>
        </w:rPr>
        <w:t xml:space="preserve">R — Repudiation</w:t>
      </w:r>
    </w:p>
    <w:p>
      <w:pPr>
        <w:spacing w:after="120" w:line="300"/>
        <w:jc w:val="both"/>
      </w:pPr>
      <w:r>
        <w:t xml:space="preserve">Denying having performed an action when in fact the action was performed. Example: a customer denies having authorised a transaction; without proof, the bank cannot defend the action. The defence is non-repudiation — signed transactions, audit trails, separately verifiable evidence (e.g., transaction confirmations sent to a separate channel).</w:t>
      </w:r>
    </w:p>
    <w:p>
      <w:pPr>
        <w:pStyle w:val="Heading3"/>
        <w:spacing w:after="120" w:before="220"/>
      </w:pPr>
      <w:r>
        <w:rPr>
          <w:b/>
          <w:bCs/>
          <w:color w:val="404040"/>
        </w:rPr>
        <w:t xml:space="preserve">I — Information Disclosure</w:t>
      </w:r>
    </w:p>
    <w:p>
      <w:pPr>
        <w:spacing w:after="120" w:line="300"/>
        <w:jc w:val="both"/>
      </w:pPr>
      <w:r>
        <w:t xml:space="preserve">Exposing information to unauthorised parties. Example: a database backup left on an unsecured S3 bucket exposes customer records. The defence is confidentiality — encryption, access controls, data classification, secure storage configurations, prevention of accidental exposure.</w:t>
      </w:r>
    </w:p>
    <w:p>
      <w:pPr>
        <w:pStyle w:val="Heading3"/>
        <w:spacing w:after="120" w:before="220"/>
      </w:pPr>
      <w:r>
        <w:rPr>
          <w:b/>
          <w:bCs/>
          <w:color w:val="404040"/>
        </w:rPr>
        <w:t xml:space="preserve">D — Denial of Service</w:t>
      </w:r>
    </w:p>
    <w:p>
      <w:pPr>
        <w:spacing w:after="120" w:line="300"/>
        <w:jc w:val="both"/>
      </w:pPr>
      <w:r>
        <w:t xml:space="preserve">Preventing legitimate users from accessing a service. Example: a DDoS attack floods the bank's online banking with traffic, blocking real customers. The defence is availability — rate limiting, DDoS protection services, autoscaling, network filtering, redundant infrastructure.</w:t>
      </w:r>
    </w:p>
    <w:p>
      <w:pPr>
        <w:pStyle w:val="Heading3"/>
        <w:spacing w:after="120" w:before="220"/>
      </w:pPr>
      <w:r>
        <w:rPr>
          <w:b/>
          <w:bCs/>
          <w:color w:val="404040"/>
        </w:rPr>
        <w:t xml:space="preserve">E — Elevation of Privilege</w:t>
      </w:r>
    </w:p>
    <w:p>
      <w:pPr>
        <w:spacing w:after="120" w:line="300"/>
        <w:jc w:val="both"/>
      </w:pPr>
      <w:r>
        <w:t xml:space="preserve">Gaining permissions beyond those authorised. Example: an attacker exploits a vulnerability in an application to run arbitrary code as the database administrator. The defence is authorisation — least privilege, role-based and attribute-based access control, privilege boundaries, secure coding to prevent exploitation.</w:t>
      </w:r>
    </w:p>
    <w:p>
      <w:pPr>
        <w:pStyle w:val="Heading2"/>
        <w:spacing w:after="160" w:before="280"/>
      </w:pPr>
      <w:r>
        <w:rPr>
          <w:b/>
          <w:bCs/>
          <w:color w:val="2E75B6"/>
        </w:rPr>
        <w:t xml:space="preserve">2.3 STRIDE and the CIA Triad</w:t>
      </w:r>
    </w:p>
    <w:p>
      <w:pPr>
        <w:spacing w:after="120" w:line="300"/>
        <w:jc w:val="both"/>
      </w:pPr>
      <w:r>
        <w:t xml:space="preserve">STRIDE relates directly to the classic CIA security triad (Confidentiality, Integrity, Availability) plus three further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STRIDE Category</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Property Violated</w:t>
            </w:r>
          </w:p>
        </w:tc>
        <w:tc>
          <w:tcPr>
            <w:tcW w:type="dxa" w:w="4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Defence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Spoofing</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Authenticity</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Authentication (especially MFA)</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Tampering</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Integrity</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Integrity protection (TLS, signing, hashing)</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Repudiation</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Non-repudiation</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Audit trails, signed transactions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Information Disclosure</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Confidentiality</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Encryption, access control, classification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Denial of Service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Availability</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Rate limiting, DDoS protection, redundancy</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Elevation of Privilege</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Authorisation</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Least privilege, authorisation enforcement</w:t>
            </w:r>
          </w:p>
        </w:tc>
      </w:tr>
    </w:tbl>
    <w:p>
      <w:pPr>
        <w:pStyle w:val="Heading2"/>
        <w:spacing w:after="160" w:before="280"/>
      </w:pPr>
      <w:r>
        <w:rPr>
          <w:b/>
          <w:bCs/>
          <w:color w:val="2E75B6"/>
        </w:rPr>
        <w:t xml:space="preserve">2.4 Using STRIDE in Architecture Practice</w:t>
      </w:r>
    </w:p>
    <w:p>
      <w:pPr>
        <w:spacing w:after="120" w:line="300"/>
        <w:jc w:val="both"/>
      </w:pPr>
      <w:r>
        <w:t xml:space="preserve">STRIDE is applied during threat modelling — typically during Phase B (where business risk is identified) and Phase C/D (where technical components are designed). For each component or interaction in the architecture, walk through the six STRIDE categories and ask: "What threats of this kind might apply here, and what controls are in place to mitigate them?" The output is a structured threat register — used to validate that the architecture has appropriate security controls and to surface gaps that need addressing before the architecture is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STRIDE Applied to a Single Component</w:t>
            </w:r>
          </w:p>
          <w:p>
            <w:pPr>
              <w:spacing w:after="60" w:line="280"/>
              <w:jc w:val="both"/>
            </w:pPr>
            <w:r>
              <w:t xml:space="preserve">Component: Customer Identity Verification Service (the running example through these modules).</w:t>
            </w:r>
          </w:p>
          <w:p>
            <w:pPr>
              <w:spacing w:after="60" w:line="280"/>
              <w:jc w:val="both"/>
            </w:pPr>
            <w:r>
              <w:t xml:space="preserve">S (Spoofing): an attacker submits forged identity documents pretending to be a different person. Defence: document authenticity verification (Onfido); liveness checks; device fingerprinting; correlation against external identity sources.</w:t>
            </w:r>
          </w:p>
          <w:p>
            <w:pPr>
              <w:spacing w:after="60" w:line="280"/>
              <w:jc w:val="both"/>
            </w:pPr>
            <w:r>
              <w:t xml:space="preserve">T (Tampering): an attacker tampers with the verification result in transit (replaces "failed" with "passed"). Defence: signed verification results; mTLS between the service and consumers; integrity checks on the consumer side.</w:t>
            </w:r>
          </w:p>
          <w:p>
            <w:pPr>
              <w:spacing w:after="60" w:line="280"/>
              <w:jc w:val="both"/>
            </w:pPr>
            <w:r>
              <w:t xml:space="preserve">R (Repudiation): a customer disputes that they completed verification. Defence: full audit log of the verification process including device fingerprint, timestamps, biometric capture; logs retained for 7 years for regulatory and dispute purposes.</w:t>
            </w:r>
          </w:p>
          <w:p>
            <w:pPr>
              <w:spacing w:after="60" w:line="280"/>
              <w:jc w:val="both"/>
            </w:pPr>
            <w:r>
              <w:t xml:space="preserve">I (Information Disclosure): identity documents leak to unauthorised parties. Defence: encryption at rest in Onfido and in transit; documents purged from temporary storage after verification; access to verification records logged and reviewed.</w:t>
            </w:r>
          </w:p>
          <w:p>
            <w:pPr>
              <w:spacing w:after="60" w:line="280"/>
              <w:jc w:val="both"/>
            </w:pPr>
            <w:r>
              <w:t xml:space="preserve">D (Denial of Service): an attacker floods the service with bogus verification requests. Defence: rate limiting at the API gateway; per-customer rate limits; DDoS protection at the edge; separate fast path for authenticated existing customers.</w:t>
            </w:r>
          </w:p>
          <w:p>
            <w:pPr>
              <w:spacing w:after="60" w:line="280"/>
              <w:jc w:val="both"/>
            </w:pPr>
            <w:r>
              <w:t xml:space="preserve">E (Elevation of Privilege): an attacker exploits the service to access other customer records. Defence: strict per-tenant isolation; least privilege of the service's database role; vulnerability scanning of the deployed Onfido client library; security monitoring on the service.</w:t>
            </w:r>
          </w:p>
          <w:p>
            <w:pPr>
              <w:spacing w:after="60" w:line="280"/>
              <w:jc w:val="both"/>
            </w:pPr>
            <w:r>
              <w:t xml:space="preserve">Six categories; six concrete defences; structured by STRIDE; the threat register is now defensible at security review.</w:t>
            </w:r>
          </w:p>
        </w:tc>
      </w:tr>
    </w:tbl>
    <w:p>
      <w:r>
        <w:br w:type="page"/>
      </w:r>
    </w:p>
    <w:p>
      <w:pPr>
        <w:pStyle w:val="Heading1"/>
        <w:spacing w:after="200" w:before="360"/>
      </w:pPr>
      <w:r>
        <w:rPr>
          <w:b/>
          <w:bCs/>
          <w:color w:val="1F4E78"/>
        </w:rPr>
        <w:t xml:space="preserve">3. Zero Trust Architecture (NIST SP 800-207)</w:t>
      </w:r>
    </w:p>
    <w:p>
      <w:pPr>
        <w:spacing w:after="120" w:line="300"/>
        <w:jc w:val="both"/>
      </w:pPr>
      <w:r>
        <w:t xml:space="preserve">Zero Trust Architecture is the modern paradigm for security architecture, formalised by NIST in Special Publication 800-207 (2020) and subsequently adopted across government, financial services, and increasingly all enterprise contexts. The TOGAF Series Guide on Security treats Zero Trust as the recommended target architecture for security in modern enterprises. The exam tests recognition of Zero Trust by its core principle and its component architecture.</w:t>
      </w:r>
    </w:p>
    <w:p>
      <w:pPr>
        <w:pStyle w:val="Heading2"/>
        <w:spacing w:after="160" w:before="280"/>
      </w:pPr>
      <w:r>
        <w:rPr>
          <w:b/>
          <w:bCs/>
          <w:color w:val="2E75B6"/>
        </w:rPr>
        <w:t xml:space="preserve">3.1 The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Zero Trust: </w:t>
            </w:r>
            <w:r>
              <w:t xml:space="preserve">A security paradigm in which no entity — user, device, network, or service — is implicitly trusted based on its location (e.g., "inside the corporate network"). Every access request is verified independently using identity, device, and contextual signals. The core principle: "never trust, always verify". Formalised in NIST SP 800-207 (2020).</w:t>
            </w:r>
          </w:p>
        </w:tc>
      </w:tr>
    </w:tbl>
    <w:p>
      <w:pPr>
        <w:spacing w:after="120" w:line="300"/>
        <w:jc w:val="both"/>
      </w:pPr>
      <w:r>
        <w:t xml:space="preserve">The Zero Trust principle in one phrase: </w:t>
      </w:r>
      <w:r>
        <w:rPr>
          <w:b/>
          <w:bCs/>
        </w:rPr>
        <w:t xml:space="preserve">never trust, always verify</w:t>
      </w:r>
      <w:r>
        <w:t xml:space="preserve">. Every access request — whether from inside the corporate network or outside it, from a managed device or a personal one, from a known user or an unknown one — is treated with the same scepticism. Identity is verified. Device is assessed. Contextual signals (location, time, behaviour, risk score) are evaluated. The decision to grant access is made fresh each time, without relying on prior trust assumptions.</w:t>
      </w:r>
    </w:p>
    <w:p>
      <w:pPr>
        <w:pStyle w:val="Heading2"/>
        <w:spacing w:after="160" w:before="280"/>
      </w:pPr>
      <w:r>
        <w:rPr>
          <w:b/>
          <w:bCs/>
          <w:color w:val="2E75B6"/>
        </w:rPr>
        <w:t xml:space="preserve">3.2 The Old Model and Why It Failed</w:t>
      </w:r>
    </w:p>
    <w:p>
      <w:pPr>
        <w:spacing w:after="120" w:line="300"/>
        <w:jc w:val="both"/>
      </w:pPr>
      <w:r>
        <w:t xml:space="preserve">Pre-Zero-Trust security architecture was perimeter-based: a hard outer boundary (firewalls, VPNs) separated the trusted internal network from the untrusted outside. Inside the perimeter, things were trusted. Outside, they weren't. The model worked when enterprises had clear physical boundaries, employees worked from offices, and applications ran on enterprise data centres.</w:t>
      </w:r>
    </w:p>
    <w:p>
      <w:pPr>
        <w:spacing w:after="120" w:line="300"/>
        <w:jc w:val="both"/>
      </w:pPr>
      <w:r>
        <w:t xml:space="preserve">That model failed for three reasons:</w:t>
      </w:r>
    </w:p>
    <w:p>
      <w:pPr>
        <w:pStyle w:val="ListParagraph"/>
        <w:numPr>
          <w:ilvl w:val="0"/>
          <w:numId w:val="3"/>
        </w:numPr>
        <w:spacing w:after="80" w:line="280"/>
      </w:pPr>
      <w:r>
        <w:t xml:space="preserve">Cloud and SaaS broke the perimeter — applications no longer run inside the firewall, so the firewall no longer protects them.</w:t>
      </w:r>
    </w:p>
    <w:p>
      <w:pPr>
        <w:pStyle w:val="ListParagraph"/>
        <w:numPr>
          <w:ilvl w:val="0"/>
          <w:numId w:val="3"/>
        </w:numPr>
        <w:spacing w:after="80" w:line="280"/>
      </w:pPr>
      <w:r>
        <w:t xml:space="preserve">Remote and mobile working broke the perimeter — users no longer connect from inside, and VPNs that pretend they do create the same problem (once inside the VPN, users are trusted).</w:t>
      </w:r>
    </w:p>
    <w:p>
      <w:pPr>
        <w:pStyle w:val="ListParagraph"/>
        <w:numPr>
          <w:ilvl w:val="0"/>
          <w:numId w:val="3"/>
        </w:numPr>
        <w:spacing w:after="80" w:line="280"/>
      </w:pPr>
      <w:r>
        <w:t xml:space="preserve">Insider threats and compromised credentials broke the perimeter — once an attacker is "inside" (via stolen credentials, malware, or insider position), the perimeter offers no defence. The hard outer / soft inner architecture meant that a single breach typically gave the attacker substantial access.</w:t>
      </w:r>
    </w:p>
    <w:p>
      <w:pPr>
        <w:spacing w:after="120" w:line="300"/>
        <w:jc w:val="both"/>
      </w:pPr>
      <w:r>
        <w:t xml:space="preserve">Zero Trust replaces the perimeter with continuous verification: there is no trusted inside; every access is verified.</w:t>
      </w:r>
    </w:p>
    <w:p>
      <w:pPr>
        <w:pStyle w:val="Heading2"/>
        <w:spacing w:after="160" w:before="280"/>
      </w:pPr>
      <w:r>
        <w:rPr>
          <w:b/>
          <w:bCs/>
          <w:color w:val="2E75B6"/>
        </w:rPr>
        <w:t xml:space="preserve">3.3 The Five Core Tenets (NIST SP 800-207)</w:t>
      </w:r>
    </w:p>
    <w:p>
      <w:pPr>
        <w:spacing w:after="120" w:line="300"/>
        <w:jc w:val="both"/>
      </w:pPr>
      <w:r>
        <w:t xml:space="preserve">NIST SP 800-207 articulates five tenets that define the Zero Trust approach:</w:t>
      </w:r>
    </w:p>
    <w:p>
      <w:pPr>
        <w:pStyle w:val="ListParagraph"/>
        <w:numPr>
          <w:ilvl w:val="0"/>
          <w:numId w:val="3"/>
        </w:numPr>
        <w:spacing w:after="80" w:line="280"/>
      </w:pPr>
      <w:r>
        <w:t xml:space="preserve">All data sources and computing services are considered resources that require authentication and authorisation before access.</w:t>
      </w:r>
    </w:p>
    <w:p>
      <w:pPr>
        <w:pStyle w:val="ListParagraph"/>
        <w:numPr>
          <w:ilvl w:val="0"/>
          <w:numId w:val="3"/>
        </w:numPr>
        <w:spacing w:after="80" w:line="280"/>
      </w:pPr>
      <w:r>
        <w:t xml:space="preserve">All communication is secured regardless of network location — internal traffic is treated like external traffic.</w:t>
      </w:r>
    </w:p>
    <w:p>
      <w:pPr>
        <w:pStyle w:val="ListParagraph"/>
        <w:numPr>
          <w:ilvl w:val="0"/>
          <w:numId w:val="3"/>
        </w:numPr>
        <w:spacing w:after="80" w:line="280"/>
      </w:pPr>
      <w:r>
        <w:t xml:space="preserve">Access to enterprise resources is granted on a per-session basis — no persistent trust.</w:t>
      </w:r>
    </w:p>
    <w:p>
      <w:pPr>
        <w:pStyle w:val="ListParagraph"/>
        <w:numPr>
          <w:ilvl w:val="0"/>
          <w:numId w:val="3"/>
        </w:numPr>
        <w:spacing w:after="80" w:line="280"/>
      </w:pPr>
      <w:r>
        <w:t xml:space="preserve">Access is determined by dynamic policy that considers the requesting user, device, application, and contextual signals — not by static rules.</w:t>
      </w:r>
    </w:p>
    <w:p>
      <w:pPr>
        <w:pStyle w:val="ListParagraph"/>
        <w:numPr>
          <w:ilvl w:val="0"/>
          <w:numId w:val="3"/>
        </w:numPr>
        <w:spacing w:after="80" w:line="280"/>
      </w:pPr>
      <w:r>
        <w:t xml:space="preserve">The enterprise monitors and measures the integrity and security posture of all owned and associated assets — devices, users, applications — continuously.</w:t>
      </w:r>
    </w:p>
    <w:p>
      <w:r>
        <w:br w:type="page"/>
      </w:r>
    </w:p>
    <w:p>
      <w:pPr>
        <w:pStyle w:val="Heading1"/>
        <w:spacing w:after="200" w:before="360"/>
      </w:pPr>
      <w:r>
        <w:rPr>
          <w:b/>
          <w:bCs/>
          <w:color w:val="1F4E78"/>
        </w:rPr>
        <w:t xml:space="preserve">4. Zero Trust Components — IdP+MFA, Device Trust, Micro-segmentation, JIT</w:t>
      </w:r>
    </w:p>
    <w:p>
      <w:pPr>
        <w:spacing w:after="120" w:line="300"/>
        <w:jc w:val="both"/>
      </w:pPr>
      <w:r>
        <w:t xml:space="preserve">Zero Trust Architecture is realised through specific components that together deliver continuous verification. Four component categories are exam-relevant: an Identity Provider with MFA; Device Trust posture; Micro-segmentation of network and resources; and Just-In-Time access. Together these components provide the verify-every-time enforcement that the principle requires.</w:t>
      </w:r>
    </w:p>
    <w:p>
      <w:pPr>
        <w:pStyle w:val="Heading2"/>
        <w:spacing w:after="160" w:before="280"/>
      </w:pPr>
      <w:r>
        <w:rPr>
          <w:b/>
          <w:bCs/>
          <w:color w:val="2E75B6"/>
        </w:rPr>
        <w:t xml:space="preserve">4.1 Component 1: Identity Provider (IdP) with MFA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Identity Provider with MFA: </w:t>
            </w:r>
            <w:r>
              <w:t xml:space="preserve">A central identity service that authenticates every user (employee, customer, partner) using multi-factor authentication. The single source of truth for identity claims. Acts as the policy enforcement point for authentication; downstream applications federate authentication to the IdP via SAML, OIDC, or similar. MFA is mandatory — single-factor authentication is incompatible with Zero Trust.</w:t>
            </w:r>
          </w:p>
        </w:tc>
      </w:tr>
    </w:tbl>
    <w:p>
      <w:pPr>
        <w:spacing w:after="120" w:line="300"/>
        <w:jc w:val="both"/>
      </w:pPr>
      <w:r>
        <w:t xml:space="preserve">The IdP centralises identity. Every access decision references the IdP for: who is requesting access; how strongly was their identity verified; what risk signals are associated with the session. Modern IdPs (Okta, Auth0, Azure AD/Entra ID, AWS IAM Identity Center, Google Cloud Identity) provide federation, MFA, adaptive risk scoring, and integration with downstream applications.</w:t>
      </w:r>
    </w:p>
    <w:p>
      <w:pPr>
        <w:spacing w:after="120" w:line="300"/>
        <w:jc w:val="both"/>
      </w:pPr>
      <w:r>
        <w:t xml:space="preserve">MFA is non-negotiable in Zero Trust. The factors must come from independent categories (something you know, something you have, something you are). Phishing-resistant factors (FIDO2/WebAuthn, hardware tokens) are increasingly mandatory for high-risk access.</w:t>
      </w:r>
    </w:p>
    <w:p>
      <w:pPr>
        <w:pStyle w:val="Heading2"/>
        <w:spacing w:after="160" w:before="280"/>
      </w:pPr>
      <w:r>
        <w:rPr>
          <w:b/>
          <w:bCs/>
          <w:color w:val="2E75B6"/>
        </w:rPr>
        <w:t xml:space="preserve">4.2 Component 2: Device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Device Trust: </w:t>
            </w:r>
            <w:r>
              <w:t xml:space="preserve">Continuous assessment of the device requesting access — its identity, its security posture (patched, encrypted, EDR-protected, no malware), and its compliance with enterprise policy. Access decisions take device trust into account; a compromised or non-compliant device is denied access regardless of user identity.</w:t>
            </w:r>
          </w:p>
        </w:tc>
      </w:tr>
    </w:tbl>
    <w:p>
      <w:pPr>
        <w:spacing w:after="120" w:line="300"/>
        <w:jc w:val="both"/>
      </w:pPr>
      <w:r>
        <w:t xml:space="preserve">Device Trust is what protects against the "compromised user device" attack vector. Even with valid credentials and MFA, if the device is compromised, the credentials and the MFA token can be exfiltrated. Zero Trust mitigates this by checking device posture continuously: is the device managed by enterprise mobility management? Is it running current OS patches? Is the disk encrypted? Is endpoint detection and response (EDR) installed and reporting healthy? Has it shown signs of compromise?</w:t>
      </w:r>
    </w:p>
    <w:p>
      <w:pPr>
        <w:spacing w:after="120" w:line="300"/>
        <w:jc w:val="both"/>
      </w:pPr>
      <w:r>
        <w:t xml:space="preserve">Modern Device Trust is delivered through endpoint management (Microsoft Intune, Jamf, Workspace ONE), endpoint detection (CrowdStrike, SentinelOne), and integration into the access control flow — the IdP queries device trust before granting access.</w:t>
      </w:r>
    </w:p>
    <w:p>
      <w:pPr>
        <w:pStyle w:val="Heading2"/>
        <w:spacing w:after="160" w:before="280"/>
      </w:pPr>
      <w:r>
        <w:rPr>
          <w:b/>
          <w:bCs/>
          <w:color w:val="2E75B6"/>
        </w:rPr>
        <w:t xml:space="preserve">4.3 Component 3: Micro-segmentation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Micro-segmentation: </w:t>
            </w:r>
            <w:r>
              <w:t xml:space="preserve">Fine-grained network and resource segmentation that limits lateral movement. Replaces the coarse perimeter with many small perimeters around individual workloads, services, or even individual API calls. An attacker who compromises one component cannot move laterally to others without re-authenticating and being authorised.</w:t>
            </w:r>
          </w:p>
        </w:tc>
      </w:tr>
    </w:tbl>
    <w:p>
      <w:pPr>
        <w:spacing w:after="120" w:line="300"/>
        <w:jc w:val="both"/>
      </w:pPr>
      <w:r>
        <w:t xml:space="preserve">Traditional networks were flat: once on the network, anything could talk to anything. Micro-segmentation replaces this with policies expressing exactly which workloads can communicate with which others, and only those communications are permitted. A compromise of one workload does not give the attacker access to the others — they must re-authenticate and be authorised for each segment they want to enter.</w:t>
      </w:r>
    </w:p>
    <w:p>
      <w:pPr>
        <w:spacing w:after="120" w:line="300"/>
        <w:jc w:val="both"/>
      </w:pPr>
      <w:r>
        <w:t xml:space="preserve">Modern micro-segmentation is delivered through service mesh (Istio, Linkerd) for east-west traffic between services, through cloud-native firewall and security group policies, through identity-aware proxies (BeyondCorp, Cloudflare Access, Zscaler), and through network microsegmentation products (Illumio, Cisco Tetration).</w:t>
      </w:r>
    </w:p>
    <w:p>
      <w:pPr>
        <w:pStyle w:val="Heading2"/>
        <w:spacing w:after="160" w:before="280"/>
      </w:pPr>
      <w:r>
        <w:rPr>
          <w:b/>
          <w:bCs/>
          <w:color w:val="2E75B6"/>
        </w:rPr>
        <w:t xml:space="preserve">4.4 Component 4: Just-In-Time (JIT)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Just-In-Time (JIT) Access: </w:t>
            </w:r>
            <w:r>
              <w:t xml:space="preserve">Privileged access is granted only when needed and only for the duration needed, then automatically revoked. Replaces standing privileged access ("this user is always an admin") with on-demand elevation ("this user can request admin for the next two hours, with approval and audit").</w:t>
            </w:r>
          </w:p>
        </w:tc>
      </w:tr>
    </w:tbl>
    <w:p>
      <w:pPr>
        <w:spacing w:after="120" w:line="300"/>
        <w:jc w:val="both"/>
      </w:pPr>
      <w:r>
        <w:t xml:space="preserve">Standing privilege is one of the largest attack surfaces in traditional architectures. An admin account compromised by phishing gives the attacker permanent admin access. JIT access reduces this: the user has no standing privilege; when they need admin, they request it, the request is approved (sometimes automatically based on policy, sometimes by a colleague), they receive time-bounded elevation, and the access expires automatically. A compromised credential gives the attacker a much smaller window of privileged access.</w:t>
      </w:r>
    </w:p>
    <w:p>
      <w:pPr>
        <w:spacing w:after="120" w:line="300"/>
        <w:jc w:val="both"/>
      </w:pPr>
      <w:r>
        <w:t xml:space="preserve">Modern JIT is delivered through privileged access management (PAM) products (CyberArk, BeyondTrust, Teleport), through cloud-native solutions (AWS IAM session policies, Azure PIM, Google Cloud privileged access broker), and through integration with the IdP and approval workflow.</w:t>
      </w:r>
    </w:p>
    <w:p>
      <w:pPr>
        <w:pStyle w:val="Heading2"/>
        <w:spacing w:after="160" w:before="280"/>
      </w:pPr>
      <w:r>
        <w:rPr>
          <w:b/>
          <w:bCs/>
          <w:color w:val="2E75B6"/>
        </w:rPr>
        <w:t xml:space="preserve">4.5 The Four Components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Component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Does</w:t>
            </w:r>
          </w:p>
        </w:tc>
        <w:tc>
          <w:tcPr>
            <w:tcW w:type="dxa" w:w="34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Modern Delivery</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IdP + MFA</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Centralises identity; verifies user with multiple factors</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Okta, Entra ID, Auth0, AWS IAM Identity Center</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Device Trust</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Continuously assesses device security posture</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Intune + CrowdStrike + IdP integration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Micro-segmentation</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Fine-grained network/service segmentation; limits lateral movement</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Service mesh (Istio), identity-aware proxy (Cloudflare Access), micro-segmentation (Illumio)</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JIT Access</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Time-bounded on-demand privilege elevation</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PAM (CyberArk), cloud-native PIM (Azure PIM)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The Four Components Together</w:t>
            </w:r>
          </w:p>
          <w:p>
            <w:pPr>
              <w:spacing w:after="60" w:line="280"/>
              <w:jc w:val="both"/>
            </w:pPr>
            <w:r>
              <w:t xml:space="preserve">No single component delivers Zero Trust on its own. The IdP verifies the user; Device Trust verifies the device; Micro-segmentation limits what they can reach; JIT limits what they can do. An attacker must defeat all four to succeed: phish credentials AND survive MFA AND have a compliant device AND reach the target through micro-segmentation AND time the attack within a JIT window. Defeating any one is hard; defeating all four is what Zero Trust is designed to prevent.</w:t>
            </w:r>
          </w:p>
        </w:tc>
      </w:tr>
    </w:tbl>
    <w:p>
      <w:r>
        <w:br w:type="page"/>
      </w:r>
    </w:p>
    <w:p>
      <w:pPr>
        <w:pStyle w:val="Heading1"/>
        <w:spacing w:after="200" w:before="360"/>
      </w:pPr>
      <w:r>
        <w:rPr>
          <w:b/>
          <w:bCs/>
          <w:color w:val="1F4E78"/>
        </w:rPr>
        <w:t xml:space="preserve">5. OWASP Top 10 — The Mandatory Application Baseline</w:t>
      </w:r>
    </w:p>
    <w:p>
      <w:pPr>
        <w:spacing w:after="120" w:line="300"/>
        <w:jc w:val="both"/>
      </w:pPr>
      <w:r>
        <w:t xml:space="preserve">OWASP — the Open Worldwide Application Security Project — is a not-for-profit foundation that publishes the OWASP Top 10, a list of the ten most critical web application security risks. The Top 10 is updated approximately every four years (most recently 2021, with 2025 update in progress) and is the de facto baseline for application security worldwide. Every modern application architecture must address the OWASP Top 10 as a minimum; failing to do so is grounds for security review failure.</w:t>
      </w:r>
    </w:p>
    <w:p>
      <w:pPr>
        <w:pStyle w:val="Heading2"/>
        <w:spacing w:after="160" w:before="280"/>
      </w:pPr>
      <w:r>
        <w:rPr>
          <w:b/>
          <w:bCs/>
          <w:color w:val="2E75B6"/>
        </w:rPr>
        <w:t xml:space="preserve">5.1 What the OWASP Top 10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OWASP Top 10: </w:t>
            </w:r>
            <w:r>
              <w:t xml:space="preserve">A standard awareness document published by the Open Worldwide Application Security Project listing the ten most critical risks to web applications. Updated approximately every four years; the current version is 2021. Adopted as the mandatory baseline for application security in essentially every regulated industry and in most non-regulated enterprise contexts. Failing to address the Top 10 is grounds for security review failure.</w:t>
            </w:r>
          </w:p>
        </w:tc>
      </w:tr>
    </w:tbl>
    <w:p>
      <w:pPr>
        <w:pStyle w:val="Heading2"/>
        <w:spacing w:after="160" w:before="280"/>
      </w:pPr>
      <w:r>
        <w:rPr>
          <w:b/>
          <w:bCs/>
          <w:color w:val="2E75B6"/>
        </w:rPr>
        <w:t xml:space="preserve">5.2 The 2021 Top 10 (Current at Time of Writing)</w:t>
      </w:r>
    </w:p>
    <w:p>
      <w:pPr>
        <w:spacing w:after="120" w:line="300"/>
        <w:jc w:val="both"/>
      </w:pPr>
      <w:r>
        <w:t xml:space="preserve">The OWASP Top 10 — 2021 edition (the current version):</w:t>
      </w:r>
    </w:p>
    <w:p>
      <w:pPr>
        <w:pStyle w:val="ListParagraph"/>
        <w:numPr>
          <w:ilvl w:val="0"/>
          <w:numId w:val="3"/>
        </w:numPr>
        <w:spacing w:after="80" w:line="280"/>
      </w:pPr>
      <w:r>
        <w:t xml:space="preserve">A01: Broken Access Control — flaws that allow users to act outside their permitted authorisation.</w:t>
      </w:r>
    </w:p>
    <w:p>
      <w:pPr>
        <w:pStyle w:val="ListParagraph"/>
        <w:numPr>
          <w:ilvl w:val="0"/>
          <w:numId w:val="3"/>
        </w:numPr>
        <w:spacing w:after="80" w:line="280"/>
      </w:pPr>
      <w:r>
        <w:t xml:space="preserve">A02: Cryptographic Failures — failures related to cryptography that often lead to sensitive data exposure (formerly "Sensitive Data Exposure").</w:t>
      </w:r>
    </w:p>
    <w:p>
      <w:pPr>
        <w:pStyle w:val="ListParagraph"/>
        <w:numPr>
          <w:ilvl w:val="0"/>
          <w:numId w:val="3"/>
        </w:numPr>
        <w:spacing w:after="80" w:line="280"/>
      </w:pPr>
      <w:r>
        <w:t xml:space="preserve">A03: Injection — injection of malicious data into queries or commands (SQL injection, command injection, etc.); now includes Cross-Site Scripting (formerly its own category).</w:t>
      </w:r>
    </w:p>
    <w:p>
      <w:pPr>
        <w:pStyle w:val="ListParagraph"/>
        <w:numPr>
          <w:ilvl w:val="0"/>
          <w:numId w:val="3"/>
        </w:numPr>
        <w:spacing w:after="80" w:line="280"/>
      </w:pPr>
      <w:r>
        <w:t xml:space="preserve">A04: Insecure Design — flaws in the application's design rather than in implementation (new category in 2021).</w:t>
      </w:r>
    </w:p>
    <w:p>
      <w:pPr>
        <w:pStyle w:val="ListParagraph"/>
        <w:numPr>
          <w:ilvl w:val="0"/>
          <w:numId w:val="3"/>
        </w:numPr>
        <w:spacing w:after="80" w:line="280"/>
      </w:pPr>
      <w:r>
        <w:t xml:space="preserve">A05: Security Misconfiguration — insecure defaults, incomplete configurations, exposed cloud storage, etc.</w:t>
      </w:r>
    </w:p>
    <w:p>
      <w:pPr>
        <w:pStyle w:val="ListParagraph"/>
        <w:numPr>
          <w:ilvl w:val="0"/>
          <w:numId w:val="3"/>
        </w:numPr>
        <w:spacing w:after="80" w:line="280"/>
      </w:pPr>
      <w:r>
        <w:t xml:space="preserve">A06: Vulnerable and Outdated Components — using libraries, frameworks, or other components with known vulnerabilities.</w:t>
      </w:r>
    </w:p>
    <w:p>
      <w:pPr>
        <w:pStyle w:val="ListParagraph"/>
        <w:numPr>
          <w:ilvl w:val="0"/>
          <w:numId w:val="3"/>
        </w:numPr>
        <w:spacing w:after="80" w:line="280"/>
      </w:pPr>
      <w:r>
        <w:t xml:space="preserve">A07: Identification and Authentication Failures — failures in confirming user identity (formerly "Broken Authentication").</w:t>
      </w:r>
    </w:p>
    <w:p>
      <w:pPr>
        <w:pStyle w:val="ListParagraph"/>
        <w:numPr>
          <w:ilvl w:val="0"/>
          <w:numId w:val="3"/>
        </w:numPr>
        <w:spacing w:after="80" w:line="280"/>
      </w:pPr>
      <w:r>
        <w:t xml:space="preserve">A08: Software and Data Integrity Failures — failures related to code and infrastructure that does not protect against integrity violations (e.g., insecure CI/CD pipelines).</w:t>
      </w:r>
    </w:p>
    <w:p>
      <w:pPr>
        <w:pStyle w:val="ListParagraph"/>
        <w:numPr>
          <w:ilvl w:val="0"/>
          <w:numId w:val="3"/>
        </w:numPr>
        <w:spacing w:after="80" w:line="280"/>
      </w:pPr>
      <w:r>
        <w:t xml:space="preserve">A09: Security Logging and Monitoring Failures — insufficient logging and monitoring; alerts not produced or not actioned.</w:t>
      </w:r>
    </w:p>
    <w:p>
      <w:pPr>
        <w:pStyle w:val="ListParagraph"/>
        <w:numPr>
          <w:ilvl w:val="0"/>
          <w:numId w:val="3"/>
        </w:numPr>
        <w:spacing w:after="80" w:line="280"/>
      </w:pPr>
      <w:r>
        <w:t xml:space="preserve">A10: Server-Side Request Forgery (SSRF) — applications fetching remote resources without validating user-supplied URLs.</w:t>
      </w:r>
    </w:p>
    <w:p>
      <w:pPr>
        <w:pStyle w:val="Heading2"/>
        <w:spacing w:after="160" w:before="280"/>
      </w:pPr>
      <w:r>
        <w:rPr>
          <w:b/>
          <w:bCs/>
          <w:color w:val="2E75B6"/>
        </w:rPr>
        <w:t xml:space="preserve">5.3 The Top 10 in Architecture Practice</w:t>
      </w:r>
    </w:p>
    <w:p>
      <w:pPr>
        <w:spacing w:after="120" w:line="300"/>
        <w:jc w:val="both"/>
      </w:pPr>
      <w:r>
        <w:t xml:space="preserve">Two practical uses:</w:t>
      </w:r>
    </w:p>
    <w:p>
      <w:pPr>
        <w:pStyle w:val="ListParagraph"/>
        <w:numPr>
          <w:ilvl w:val="0"/>
          <w:numId w:val="3"/>
        </w:numPr>
        <w:spacing w:after="80" w:line="280"/>
      </w:pPr>
      <w:r>
        <w:t xml:space="preserve">Architecture review baseline. Every Application Architecture Compliance Review must verify that the design addresses each Top 10 category. "How does this design defend against A01: Broken Access Control?" "What protects against A03: Injection?" The Top 10 provides a checklist that ensures critical risks aren't missed.</w:t>
      </w:r>
    </w:p>
    <w:p>
      <w:pPr>
        <w:pStyle w:val="ListParagraph"/>
        <w:numPr>
          <w:ilvl w:val="0"/>
          <w:numId w:val="3"/>
        </w:numPr>
        <w:spacing w:after="80" w:line="280"/>
      </w:pPr>
      <w:r>
        <w:t xml:space="preserve">Application security testing scope. Application security tooling (SAST, DAST, IAST, dependency scanners) is typically configured against the Top 10 as a minimum; failing any Top 10 check is a default blocker for production deployment.</w:t>
      </w:r>
    </w:p>
    <w:p>
      <w:pPr>
        <w:spacing w:after="120" w:line="300"/>
        <w:jc w:val="both"/>
      </w:pPr>
      <w:r>
        <w:t xml:space="preserve">Beyond the Top 10, OWASP publishes other resources used in architecture practice: OWASP ASVS (Application Security Verification Standard) for more granular requirements, OWASP Cheat Sheets for specific implementation guidance, OWASP Threat Dragon for threat modelling, OWASP ZAP for automated testing. The Top 10 is the entry point; the broader OWASP ecosystem provides depth.</w:t>
      </w:r>
    </w:p>
    <w:p>
      <w:r>
        <w:br w:type="page"/>
      </w:r>
    </w:p>
    <w:p>
      <w:pPr>
        <w:pStyle w:val="Heading1"/>
        <w:spacing w:after="200" w:before="360"/>
      </w:pPr>
      <w:r>
        <w:rPr>
          <w:b/>
          <w:bCs/>
          <w:color w:val="1F4E78"/>
        </w:rPr>
        <w:t xml:space="preserve">6. Defense in Depth — Six Layers</w:t>
      </w:r>
    </w:p>
    <w:p>
      <w:pPr>
        <w:spacing w:after="120" w:line="300"/>
        <w:jc w:val="both"/>
      </w:pPr>
      <w:r>
        <w:t xml:space="preserve">Defense in Depth is the principle that security should be layered: multiple independent controls at multiple layers of the architecture, so that the failure of any one layer does not produce a complete breach. The Series Guide on Security identifies six standard layers; memorising the six and what each provides is exam-relevant.</w:t>
      </w:r>
    </w:p>
    <w:p>
      <w:pPr>
        <w:pStyle w:val="Heading2"/>
        <w:spacing w:after="160" w:before="280"/>
      </w:pPr>
      <w:r>
        <w:rPr>
          <w:b/>
          <w:bCs/>
          <w:color w:val="2E75B6"/>
        </w:rPr>
        <w:t xml:space="preserve">6.1 The Six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Defense in Depth — Six Layers: </w:t>
            </w:r>
            <w:r>
              <w:t xml:space="preserve">(1) Perimeter — the outer boundary (firewalls, DDoS protection, WAF). (2) Network — internal network segmentation and traffic control. (3) Host — hardening of compute resources (OS, container, VM). (4) Application — authentication, authorisation, secure coding, input validation. (5) Data — encryption, classification, access control on the data itself. (6) Identity — authentication, MFA, IdP, conditional access. Each layer is independently designed; failure of one does not produce complete breach because subsequent layers continue to defend.</w:t>
            </w:r>
          </w:p>
        </w:tc>
      </w:tr>
    </w:tbl>
    <w:p>
      <w:pPr>
        <w:pStyle w:val="Heading2"/>
        <w:spacing w:after="160" w:before="280"/>
      </w:pPr>
      <w:r>
        <w:rPr>
          <w:b/>
          <w:bCs/>
          <w:color w:val="2E75B6"/>
        </w:rPr>
        <w:t xml:space="preserve">6.2 Each Layer Defined</w:t>
      </w:r>
    </w:p>
    <w:p>
      <w:pPr>
        <w:pStyle w:val="Heading3"/>
        <w:spacing w:after="120" w:before="220"/>
      </w:pPr>
      <w:r>
        <w:rPr>
          <w:b/>
          <w:bCs/>
          <w:color w:val="404040"/>
        </w:rPr>
        <w:t xml:space="preserve">Layer 1: Perimeter</w:t>
      </w:r>
    </w:p>
    <w:p>
      <w:pPr>
        <w:spacing w:after="120" w:line="300"/>
        <w:jc w:val="both"/>
      </w:pPr>
      <w:r>
        <w:t xml:space="preserve">The outer boundary of the enterprise — historically a network perimeter, in modern Zero Trust contexts a logical perimeter defined by the IdP and trust enforcement points. Includes: edge firewalls; DDoS mitigation services (Cloudflare, AWS Shield); web application firewalls (WAF) that filter HTTP traffic for common attacks; reverse proxies that terminate inbound traffic for inspection.</w:t>
      </w:r>
    </w:p>
    <w:p>
      <w:pPr>
        <w:pStyle w:val="Heading3"/>
        <w:spacing w:after="120" w:before="220"/>
      </w:pPr>
      <w:r>
        <w:rPr>
          <w:b/>
          <w:bCs/>
          <w:color w:val="404040"/>
        </w:rPr>
        <w:t xml:space="preserve">Layer 2: Network</w:t>
      </w:r>
    </w:p>
    <w:p>
      <w:pPr>
        <w:spacing w:after="120" w:line="300"/>
        <w:jc w:val="both"/>
      </w:pPr>
      <w:r>
        <w:t xml:space="preserve">Internal network controls. Includes: network segmentation (VLANs, VPCs, subnets); micro-segmentation (Section 4); east-west firewall policies between segments; service mesh enforcement of inter-service traffic; network monitoring and detection (NDR, NetFlow analysis, IDS/IPS).</w:t>
      </w:r>
    </w:p>
    <w:p>
      <w:pPr>
        <w:pStyle w:val="Heading3"/>
        <w:spacing w:after="120" w:before="220"/>
      </w:pPr>
      <w:r>
        <w:rPr>
          <w:b/>
          <w:bCs/>
          <w:color w:val="404040"/>
        </w:rPr>
        <w:t xml:space="preserve">Layer 3: Host</w:t>
      </w:r>
    </w:p>
    <w:p>
      <w:pPr>
        <w:spacing w:after="120" w:line="300"/>
        <w:jc w:val="both"/>
      </w:pPr>
      <w:r>
        <w:t xml:space="preserve">Security at the individual compute resource. Includes: OS hardening (CIS Benchmarks, security baselines); container security (image scanning, runtime protection); endpoint detection and response (EDR); host-based intrusion detection; vulnerability scanning and patching; configuration management to prevent drift.</w:t>
      </w:r>
    </w:p>
    <w:p>
      <w:pPr>
        <w:pStyle w:val="Heading3"/>
        <w:spacing w:after="120" w:before="220"/>
      </w:pPr>
      <w:r>
        <w:rPr>
          <w:b/>
          <w:bCs/>
          <w:color w:val="404040"/>
        </w:rPr>
        <w:t xml:space="preserve">Layer 4: Application</w:t>
      </w:r>
    </w:p>
    <w:p>
      <w:pPr>
        <w:spacing w:after="120" w:line="300"/>
        <w:jc w:val="both"/>
      </w:pPr>
      <w:r>
        <w:t xml:space="preserve">Security within applications. Includes: authentication and authorisation logic; input validation; output encoding; secure session management; OWASP Top 10 controls (Section 5); application security testing (SAST, DAST); secure dependency management; secure SDLC processes.</w:t>
      </w:r>
    </w:p>
    <w:p>
      <w:pPr>
        <w:pStyle w:val="Heading3"/>
        <w:spacing w:after="120" w:before="220"/>
      </w:pPr>
      <w:r>
        <w:rPr>
          <w:b/>
          <w:bCs/>
          <w:color w:val="404040"/>
        </w:rPr>
        <w:t xml:space="preserve">Layer 5: Data</w:t>
      </w:r>
    </w:p>
    <w:p>
      <w:pPr>
        <w:spacing w:after="120" w:line="300"/>
        <w:jc w:val="both"/>
      </w:pPr>
      <w:r>
        <w:t xml:space="preserve">Security of data itself. Includes: classification; encryption at rest and in transit; key management; data loss prevention (DLP); database access controls; data masking and tokenisation; backup security; secure deletion; data lineage tracking.</w:t>
      </w:r>
    </w:p>
    <w:p>
      <w:pPr>
        <w:pStyle w:val="Heading3"/>
        <w:spacing w:after="120" w:before="220"/>
      </w:pPr>
      <w:r>
        <w:rPr>
          <w:b/>
          <w:bCs/>
          <w:color w:val="404040"/>
        </w:rPr>
        <w:t xml:space="preserve">Layer 6: Identity</w:t>
      </w:r>
    </w:p>
    <w:p>
      <w:pPr>
        <w:spacing w:after="120" w:line="300"/>
        <w:jc w:val="both"/>
      </w:pPr>
      <w:r>
        <w:t xml:space="preserve">The cross-cutting identity layer that all other layers reference. Includes: IdP with MFA (Section 4); identity governance (joiner-mover-leaver processes); privileged access management; identity threat detection; conditional access policies based on user, device, and context.</w:t>
      </w:r>
    </w:p>
    <w:p>
      <w:pPr>
        <w:pStyle w:val="Heading2"/>
        <w:spacing w:after="160" w:before="280"/>
      </w:pPr>
      <w:r>
        <w:rPr>
          <w:b/>
          <w:bCs/>
          <w:color w:val="2E75B6"/>
        </w:rPr>
        <w:t xml:space="preserve">6.3 The Six Layers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700"/>
        <w:gridCol w:w="3560"/>
      </w:tblGrid>
      <w:tr>
        <w:trPr>
          <w:tblHeader/>
        </w:trPr>
        <w:tc>
          <w:tcPr>
            <w:tcW w:type="dxa" w:w="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Layer</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Defends</w:t>
            </w:r>
          </w:p>
        </w:tc>
        <w:tc>
          <w:tcPr>
            <w:tcW w:type="dxa" w:w="35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Controls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Perimeter</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Outer boundary against external attacks</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Edge firewalls, DDoS, WAF, reverse proxy</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Network</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Internal network against lateral movement</w:t>
            </w:r>
          </w:p>
        </w:tc>
        <w:tc>
          <w:tcPr>
            <w:tcW w:type="dxa" w:w="3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Segmentation, micro-segmentation, service mesh, NDR</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Host</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Individual compute resources</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OS hardening, container security, EDR, vuln scanning</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logic against attack patterns</w:t>
            </w:r>
          </w:p>
        </w:tc>
        <w:tc>
          <w:tcPr>
            <w:tcW w:type="dxa" w:w="3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AuthN/AuthZ, input validation, OWASP Top 10, SAST/DAST</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itself, regardless of where</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Classification, encryption, DLP, masking</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Identity</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Identity and access governance, cross-cutting</w:t>
            </w:r>
          </w:p>
        </w:tc>
        <w:tc>
          <w:tcPr>
            <w:tcW w:type="dxa" w:w="3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IdP+MFA, IGA, PAM, conditional access</w:t>
            </w:r>
          </w:p>
        </w:tc>
      </w:tr>
    </w:tbl>
    <w:p>
      <w:pPr>
        <w:pStyle w:val="Heading2"/>
        <w:spacing w:after="160" w:before="280"/>
      </w:pPr>
      <w:r>
        <w:rPr>
          <w:b/>
          <w:bCs/>
          <w:color w:val="2E75B6"/>
        </w:rPr>
        <w:t xml:space="preserve">6.4 Why Six Layers</w:t>
      </w:r>
    </w:p>
    <w:p>
      <w:pPr>
        <w:spacing w:after="120" w:line="300"/>
        <w:jc w:val="both"/>
      </w:pPr>
      <w:r>
        <w:t xml:space="preserve">The six layers are not arbitrary; they correspond to attack surfaces an adversary must traverse:</w:t>
      </w:r>
    </w:p>
    <w:p>
      <w:pPr>
        <w:pStyle w:val="ListParagraph"/>
        <w:numPr>
          <w:ilvl w:val="0"/>
          <w:numId w:val="3"/>
        </w:numPr>
        <w:spacing w:after="80" w:line="280"/>
      </w:pPr>
      <w:r>
        <w:t xml:space="preserve">To attack data, the adversary must first reach an application that handles data.</w:t>
      </w:r>
    </w:p>
    <w:p>
      <w:pPr>
        <w:pStyle w:val="ListParagraph"/>
        <w:numPr>
          <w:ilvl w:val="0"/>
          <w:numId w:val="3"/>
        </w:numPr>
        <w:spacing w:after="80" w:line="280"/>
      </w:pPr>
      <w:r>
        <w:t xml:space="preserve">To reach an application, the adversary must first traverse the network.</w:t>
      </w:r>
    </w:p>
    <w:p>
      <w:pPr>
        <w:pStyle w:val="ListParagraph"/>
        <w:numPr>
          <w:ilvl w:val="0"/>
          <w:numId w:val="3"/>
        </w:numPr>
        <w:spacing w:after="80" w:line="280"/>
      </w:pPr>
      <w:r>
        <w:t xml:space="preserve">To traverse the network, the adversary must first cross the perimeter (or be inside it).</w:t>
      </w:r>
    </w:p>
    <w:p>
      <w:pPr>
        <w:pStyle w:val="ListParagraph"/>
        <w:numPr>
          <w:ilvl w:val="0"/>
          <w:numId w:val="3"/>
        </w:numPr>
        <w:spacing w:after="80" w:line="280"/>
      </w:pPr>
      <w:r>
        <w:t xml:space="preserve">To run code, the adversary needs access to a host.</w:t>
      </w:r>
    </w:p>
    <w:p>
      <w:pPr>
        <w:pStyle w:val="ListParagraph"/>
        <w:numPr>
          <w:ilvl w:val="0"/>
          <w:numId w:val="3"/>
        </w:numPr>
        <w:spacing w:after="80" w:line="280"/>
      </w:pPr>
      <w:r>
        <w:t xml:space="preserve">To take any action attributed to anyone, the adversary needs an identity (or to spoof one).</w:t>
      </w:r>
    </w:p>
    <w:p>
      <w:pPr>
        <w:spacing w:after="120" w:line="300"/>
        <w:jc w:val="both"/>
      </w:pPr>
      <w:r>
        <w:t xml:space="preserve">Each layer is a separate hurdle. A successful attack typically requires defeating multiple layers; each defence-in-depth layer added increases the work the attacker must do. Six layers is enough to make casual attacks impractical and substantial attacks visible (because they must traverse multiple monitored layers, each producing telemetry).</w:t>
      </w:r>
    </w:p>
    <w:p>
      <w:r>
        <w:br w:type="page"/>
      </w:r>
    </w:p>
    <w:p>
      <w:pPr>
        <w:pStyle w:val="Heading1"/>
        <w:spacing w:after="200" w:before="360"/>
      </w:pPr>
      <w:r>
        <w:rPr>
          <w:b/>
          <w:bCs/>
          <w:color w:val="1F4E78"/>
        </w:rPr>
        <w:t xml:space="preserve">7. Security Activities at Each ADM Phase</w:t>
      </w:r>
    </w:p>
    <w:p>
      <w:pPr>
        <w:spacing w:after="120" w:line="300"/>
        <w:jc w:val="both"/>
      </w:pPr>
      <w:r>
        <w:t xml:space="preserve">Because security is cross-cutting (Section 1), security activities exist at every phase of the ADM. Knowing what security work happens in which phase is part of integrating security into the architecture method rather than bolting it on. The Series Guide elaborates the security activities phase by phase; the most consequential activities are listed below.</w:t>
      </w:r>
    </w:p>
    <w:p>
      <w:pPr>
        <w:pStyle w:val="Heading2"/>
        <w:spacing w:after="160" w:before="280"/>
      </w:pPr>
      <w:r>
        <w:rPr>
          <w:b/>
          <w:bCs/>
          <w:color w:val="2E75B6"/>
        </w:rPr>
        <w:t xml:space="preserve">7.1 Preliminary Phase</w:t>
      </w:r>
    </w:p>
    <w:p>
      <w:pPr>
        <w:spacing w:after="120" w:line="300"/>
        <w:jc w:val="both"/>
      </w:pPr>
      <w:r>
        <w:t xml:space="preserve">Establish security as a domain within the architecture practice. Tailor the ADM to include security checkpoints. Adopt security principles. Establish the relationship between the architecture function and the CISO function. Configure the SIB with security standards (TLS 1.3 mandatory, etc., per Module 11). Identify regulatory obligations (GDPR, DORA, etc.) that will frame the practice.</w:t>
      </w:r>
    </w:p>
    <w:p>
      <w:pPr>
        <w:pStyle w:val="Heading2"/>
        <w:spacing w:after="160" w:before="280"/>
      </w:pPr>
      <w:r>
        <w:rPr>
          <w:b/>
          <w:bCs/>
          <w:color w:val="2E75B6"/>
        </w:rPr>
        <w:t xml:space="preserve">7.2 Phase A — Architecture Vision</w:t>
      </w:r>
    </w:p>
    <w:p>
      <w:pPr>
        <w:spacing w:after="120" w:line="300"/>
        <w:jc w:val="both"/>
      </w:pPr>
      <w:r>
        <w:t xml:space="preserve">Identify security-relevant stakeholders (CISO, regulators, audit committees). Capture security drivers and constraints. Identify high-level security goals ("meet PSD2 SCA requirements", "achieve SOC 2 Type II by Q3"). Document risk appetite. Initial threat model at engagement scope.</w:t>
      </w:r>
    </w:p>
    <w:p>
      <w:pPr>
        <w:pStyle w:val="Heading2"/>
        <w:spacing w:after="160" w:before="280"/>
      </w:pPr>
      <w:r>
        <w:rPr>
          <w:b/>
          <w:bCs/>
          <w:color w:val="2E75B6"/>
        </w:rPr>
        <w:t xml:space="preserve">7.3 Phase B — Business Architecture</w:t>
      </w:r>
    </w:p>
    <w:p>
      <w:pPr>
        <w:spacing w:after="120" w:line="300"/>
        <w:jc w:val="both"/>
      </w:pPr>
      <w:r>
        <w:t xml:space="preserve">Identify high-risk Capabilities. Designate Risk Owners. Define segregation-of-duties requirements. Map regulatory obligations to Business Capabilities. Identify sensitive Business Objects and their custodians. Apply STRIDE at the Business Process level.</w:t>
      </w:r>
    </w:p>
    <w:p>
      <w:pPr>
        <w:pStyle w:val="Heading2"/>
        <w:spacing w:after="160" w:before="280"/>
      </w:pPr>
      <w:r>
        <w:rPr>
          <w:b/>
          <w:bCs/>
          <w:color w:val="2E75B6"/>
        </w:rPr>
        <w:t xml:space="preserve">7.4 Phase C — Information Systems Architectures</w:t>
      </w:r>
    </w:p>
    <w:p>
      <w:pPr>
        <w:pStyle w:val="Heading3"/>
        <w:spacing w:after="120" w:before="220"/>
      </w:pPr>
      <w:r>
        <w:rPr>
          <w:b/>
          <w:bCs/>
          <w:color w:val="404040"/>
        </w:rPr>
        <w:t xml:space="preserve">Data sub-phase</w:t>
      </w:r>
    </w:p>
    <w:p>
      <w:pPr>
        <w:spacing w:after="120" w:line="300"/>
        <w:jc w:val="both"/>
      </w:pPr>
      <w:r>
        <w:t xml:space="preserve">Apply data classification scheme. Define encryption policy per classification. Define retention and disposal policies. Map data lineage including personal data. Apply STRIDE to data flows. Define data access controls.</w:t>
      </w:r>
    </w:p>
    <w:p>
      <w:pPr>
        <w:pStyle w:val="Heading3"/>
        <w:spacing w:after="120" w:before="220"/>
      </w:pPr>
      <w:r>
        <w:rPr>
          <w:b/>
          <w:bCs/>
          <w:color w:val="404040"/>
        </w:rPr>
        <w:t xml:space="preserve">Application sub-phase</w:t>
      </w:r>
    </w:p>
    <w:p>
      <w:pPr>
        <w:spacing w:after="120" w:line="300"/>
        <w:jc w:val="both"/>
      </w:pPr>
      <w:r>
        <w:t xml:space="preserve">Define authentication architecture. Define authorisation model (RBAC/ABAC). Apply OWASP Top 10 baseline. Define application security testing requirements. Apply STRIDE to applications and integrations. Define secrets management approach.</w:t>
      </w:r>
    </w:p>
    <w:p>
      <w:pPr>
        <w:pStyle w:val="Heading2"/>
        <w:spacing w:after="160" w:before="280"/>
      </w:pPr>
      <w:r>
        <w:rPr>
          <w:b/>
          <w:bCs/>
          <w:color w:val="2E75B6"/>
        </w:rPr>
        <w:t xml:space="preserve">7.5 Phase D — Technology Architecture</w:t>
      </w:r>
    </w:p>
    <w:p>
      <w:pPr>
        <w:spacing w:after="120" w:line="300"/>
        <w:jc w:val="both"/>
      </w:pPr>
      <w:r>
        <w:t xml:space="preserve">Design network architecture (segmentation, micro-segmentation). Define platform hardening baselines. Design key management infrastructure. Design logging, monitoring, and threat detection infrastructure. Define vulnerability management. Apply Defence in Depth across the technology stack.</w:t>
      </w:r>
    </w:p>
    <w:p>
      <w:pPr>
        <w:pStyle w:val="Heading2"/>
        <w:spacing w:after="160" w:before="280"/>
      </w:pPr>
      <w:r>
        <w:rPr>
          <w:b/>
          <w:bCs/>
          <w:color w:val="2E75B6"/>
        </w:rPr>
        <w:t xml:space="preserve">7.6 Phase E — Opportunities &amp; Solutions</w:t>
      </w:r>
    </w:p>
    <w:p>
      <w:pPr>
        <w:spacing w:after="120" w:line="300"/>
        <w:jc w:val="both"/>
      </w:pPr>
      <w:r>
        <w:t xml:space="preserve">Include security Work Packages in the Roadmap (often substantial — IDP rollout, Zero Trust adoption, MFA deployment). Define security Capability Increments (e.g., "reach Level 4 maturity on the Identity Capability"). Sequence security work alongside business work — security cannot be deferred to the end.</w:t>
      </w:r>
    </w:p>
    <w:p>
      <w:pPr>
        <w:pStyle w:val="Heading2"/>
        <w:spacing w:after="160" w:before="280"/>
      </w:pPr>
      <w:r>
        <w:rPr>
          <w:b/>
          <w:bCs/>
          <w:color w:val="2E75B6"/>
        </w:rPr>
        <w:t xml:space="preserve">7.7 Phase F — Migration Planning</w:t>
      </w:r>
    </w:p>
    <w:p>
      <w:pPr>
        <w:spacing w:after="120" w:line="300"/>
        <w:jc w:val="both"/>
      </w:pPr>
      <w:r>
        <w:t xml:space="preserve">Detail security Work Package schedules. Plan security training and skill development. Plan transition states that maintain security (no "insecure interim" state where the new platform is partly built and the old security has been removed). Refine the security business case.</w:t>
      </w:r>
    </w:p>
    <w:p>
      <w:pPr>
        <w:pStyle w:val="Heading2"/>
        <w:spacing w:after="160" w:before="280"/>
      </w:pPr>
      <w:r>
        <w:rPr>
          <w:b/>
          <w:bCs/>
          <w:color w:val="2E75B6"/>
        </w:rPr>
        <w:t xml:space="preserve">7.8 Phase G — Implementation Governance</w:t>
      </w:r>
    </w:p>
    <w:p>
      <w:pPr>
        <w:spacing w:after="120" w:line="300"/>
        <w:jc w:val="both"/>
      </w:pPr>
      <w:r>
        <w:t xml:space="preserve">Conduct Architecture Compliance Reviews with security explicitly evaluated. Apply OWASP, STRIDE, Zero Trust as standard review criteria. Issue dispensations only with security mitigation conditions. Maintain Security ABBs (Section 8) in the Repository.</w:t>
      </w:r>
    </w:p>
    <w:p>
      <w:pPr>
        <w:pStyle w:val="Heading2"/>
        <w:spacing w:after="160" w:before="280"/>
      </w:pPr>
      <w:r>
        <w:rPr>
          <w:b/>
          <w:bCs/>
          <w:color w:val="2E75B6"/>
        </w:rPr>
        <w:t xml:space="preserve">7.9 Phase H — Architecture Change Management</w:t>
      </w:r>
    </w:p>
    <w:p>
      <w:pPr>
        <w:spacing w:after="120" w:line="300"/>
        <w:jc w:val="both"/>
      </w:pPr>
      <w:r>
        <w:t xml:space="preserve">Monitor the threat landscape continuously. Track regulatory changes (GDPR updates, new sector regulations, EU AI Act, DORA). Reassess the architecture's security posture at scheduled intervals. Trigger Re-architecting (Module 8) when security paradigm shifts (e.g., post-quantum cryptography adoption) require it.</w:t>
      </w:r>
    </w:p>
    <w:p>
      <w:pPr>
        <w:pStyle w:val="Heading2"/>
        <w:spacing w:after="160" w:before="280"/>
      </w:pPr>
      <w:r>
        <w:rPr>
          <w:b/>
          <w:bCs/>
          <w:color w:val="2E75B6"/>
        </w:rPr>
        <w:t xml:space="preserve">7.10 Phase Activities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Phase</w:t>
            </w:r>
          </w:p>
        </w:tc>
        <w:tc>
          <w:tcPr>
            <w:tcW w:type="dxa" w:w="7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Principal Security Activities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Preliminary</w:t>
            </w:r>
          </w:p>
        </w:tc>
        <w:tc>
          <w:tcPr>
            <w:tcW w:type="dxa" w:w="7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Establish security in practice; tailor ADM; adopt principles; configure SIB</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 — Vision</w:t>
            </w:r>
          </w:p>
        </w:tc>
        <w:tc>
          <w:tcPr>
            <w:tcW w:type="dxa" w:w="7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Identify security stakeholders, drivers, goals; risk appetite; initial threat model</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 — Business</w:t>
            </w:r>
          </w:p>
        </w:tc>
        <w:tc>
          <w:tcPr>
            <w:tcW w:type="dxa" w:w="7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Identify high-risk Capabilities; Risk Owners; SoD; regulatory obligations; STRIDE on processes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 — Data</w:t>
            </w:r>
          </w:p>
        </w:tc>
        <w:tc>
          <w:tcPr>
            <w:tcW w:type="dxa" w:w="7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Classification; encryption policy; retention; lineage; STRIDE on data flows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 — Application</w:t>
            </w:r>
          </w:p>
        </w:tc>
        <w:tc>
          <w:tcPr>
            <w:tcW w:type="dxa" w:w="7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AuthN/AuthZ; OWASP Top 10; AppSec testing; secrets; STRIDE on applications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 — Technology</w:t>
            </w:r>
          </w:p>
        </w:tc>
        <w:tc>
          <w:tcPr>
            <w:tcW w:type="dxa" w:w="7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Network architecture; hardening; key management; monitoring; Defence in Depth</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 — Opportunities</w:t>
            </w:r>
          </w:p>
        </w:tc>
        <w:tc>
          <w:tcPr>
            <w:tcW w:type="dxa" w:w="7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Security Work Packages in Roadmap; security Capability Increments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 — Migration</w:t>
            </w:r>
          </w:p>
        </w:tc>
        <w:tc>
          <w:tcPr>
            <w:tcW w:type="dxa" w:w="7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Security WP schedules; training; secure transition states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 — Governance</w:t>
            </w:r>
          </w:p>
        </w:tc>
        <w:tc>
          <w:tcPr>
            <w:tcW w:type="dxa" w:w="7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Compliance Reviews with security; OWASP/STRIDE/Zero Trust as criteria</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 — Change</w:t>
            </w:r>
          </w:p>
        </w:tc>
        <w:tc>
          <w:tcPr>
            <w:tcW w:type="dxa" w:w="7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Threat landscape monitoring; regulatory tracking; periodic reassessment</w:t>
            </w:r>
          </w:p>
        </w:tc>
      </w:tr>
    </w:tbl>
    <w:p>
      <w:r>
        <w:br w:type="page"/>
      </w:r>
    </w:p>
    <w:p>
      <w:pPr>
        <w:pStyle w:val="Heading1"/>
        <w:spacing w:after="200" w:before="360"/>
      </w:pPr>
      <w:r>
        <w:rPr>
          <w:b/>
          <w:bCs/>
          <w:color w:val="1F4E78"/>
        </w:rPr>
        <w:t xml:space="preserve">8. Security Architecture Building Blocks</w:t>
      </w:r>
    </w:p>
    <w:p>
      <w:pPr>
        <w:spacing w:after="120" w:line="300"/>
        <w:jc w:val="both"/>
      </w:pPr>
      <w:r>
        <w:t xml:space="preserve">As covered in Module 9, Architecture Building Blocks (ABBs) are reusable abstract specifications. Security ABBs are the standard reusable components of security architecture — defined once, fulfilled by SBBs (specific products) per engagement. Six Security ABBs recur across enterprises and are exam-relevant by name.</w:t>
      </w:r>
    </w:p>
    <w:p>
      <w:pPr>
        <w:pStyle w:val="Heading2"/>
        <w:spacing w:after="160" w:before="280"/>
      </w:pPr>
      <w:r>
        <w:rPr>
          <w:b/>
          <w:bCs/>
          <w:color w:val="2E75B6"/>
        </w:rPr>
        <w:t xml:space="preserve">8.1 The Six Standard Security ABBs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Standard Security ABBs: </w:t>
            </w:r>
            <w:r>
              <w:t xml:space="preserve">Six recurring Architecture Building Blocks for security: (1) Identity &amp; Access Management; (2) Cryptography; (3) Audit &amp; Logging; (4) Threat Detection; (5) Network Security; (6) Certificate Management. Each defines required capabilities, interfaces, and constraints in technology-agnostic terms; each is realised by specific SBBs (products) in any given enterprise.</w:t>
            </w:r>
          </w:p>
        </w:tc>
      </w:tr>
    </w:tbl>
    <w:p>
      <w:pPr>
        <w:pStyle w:val="Heading2"/>
        <w:spacing w:after="160" w:before="280"/>
      </w:pPr>
      <w:r>
        <w:rPr>
          <w:b/>
          <w:bCs/>
          <w:color w:val="2E75B6"/>
        </w:rPr>
        <w:t xml:space="preserve">8.2 Each ABB Described</w:t>
      </w:r>
    </w:p>
    <w:p>
      <w:pPr>
        <w:pStyle w:val="Heading3"/>
        <w:spacing w:after="120" w:before="220"/>
      </w:pPr>
      <w:r>
        <w:rPr>
          <w:b/>
          <w:bCs/>
          <w:color w:val="404040"/>
        </w:rPr>
        <w:t xml:space="preserve">ABB 1: Identity &amp; Access Management (IAM)</w:t>
      </w:r>
    </w:p>
    <w:p>
      <w:pPr>
        <w:spacing w:after="120" w:line="300"/>
        <w:jc w:val="both"/>
      </w:pPr>
      <w:r>
        <w:t xml:space="preserve">Defines the capability to identify, authenticate, and authorise users and services. Required functions: identity lifecycle (joiner-mover-leaver); authentication (MFA, federation, SSO); authorisation (RBAC, ABAC, ReBAC); identity governance (access reviews, certifications); privileged access management. Required interfaces: SAML, OIDC, SCIM, identity-aware proxy. Realised by SBBs such as Okta, Microsoft Entra ID, AWS IAM Identity Center, Auth0.</w:t>
      </w:r>
    </w:p>
    <w:p>
      <w:pPr>
        <w:pStyle w:val="Heading3"/>
        <w:spacing w:after="120" w:before="220"/>
      </w:pPr>
      <w:r>
        <w:rPr>
          <w:b/>
          <w:bCs/>
          <w:color w:val="404040"/>
        </w:rPr>
        <w:t xml:space="preserve">ABB 2: Cryptography</w:t>
      </w:r>
    </w:p>
    <w:p>
      <w:pPr>
        <w:spacing w:after="120" w:line="300"/>
        <w:jc w:val="both"/>
      </w:pPr>
      <w:r>
        <w:t xml:space="preserve">Defines the capability to protect data at rest and in transit through encryption, signing, and verification. Required functions: encryption services (symmetric and asymmetric); key management (generation, storage, rotation, retrieval, destruction); digital signature; hashing. Required interfaces: KMS APIs, HSM connectivity, PKCS#11. Realised by SBBs such as HashiCorp Vault, AWS KMS, Azure Key Vault, hardware HSMs (Thales, Entrust).</w:t>
      </w:r>
    </w:p>
    <w:p>
      <w:pPr>
        <w:pStyle w:val="Heading3"/>
        <w:spacing w:after="120" w:before="220"/>
      </w:pPr>
      <w:r>
        <w:rPr>
          <w:b/>
          <w:bCs/>
          <w:color w:val="404040"/>
        </w:rPr>
        <w:t xml:space="preserve">ABB 3: Audit &amp; Logging</w:t>
      </w:r>
    </w:p>
    <w:p>
      <w:pPr>
        <w:spacing w:after="120" w:line="300"/>
        <w:jc w:val="both"/>
      </w:pPr>
      <w:r>
        <w:t xml:space="preserve">Defines the capability to record security-relevant events, retain them, and make them available for analysis. Required functions: log capture from all sources (applications, infrastructure, identity systems); log aggregation; tamper-evident storage; long-term retention (typically 7+ years for regulated industries); search and analysis. Required interfaces: standard logging protocols (syslog, OpenTelemetry, JSON logs). Realised by SBBs such as Splunk, Elastic Stack, Datadog, AWS CloudTrail, Azure Monitor.</w:t>
      </w:r>
    </w:p>
    <w:p>
      <w:pPr>
        <w:pStyle w:val="Heading3"/>
        <w:spacing w:after="120" w:before="220"/>
      </w:pPr>
      <w:r>
        <w:rPr>
          <w:b/>
          <w:bCs/>
          <w:color w:val="404040"/>
        </w:rPr>
        <w:t xml:space="preserve">ABB 4: Threat Detection</w:t>
      </w:r>
    </w:p>
    <w:p>
      <w:pPr>
        <w:spacing w:after="120" w:line="300"/>
        <w:jc w:val="both"/>
      </w:pPr>
      <w:r>
        <w:t xml:space="preserve">Defines the capability to identify potential security incidents and respond to them. Required functions: signature-based detection; behavioural analytics; threat intelligence integration; incident response orchestration; SOAR (Security Orchestration, Automation and Response). Required interfaces: standardised alert formats (STIX/TAXII), webhook integration with response systems. Realised by SBBs such as Microsoft Sentinel, Splunk SIEM, Palo Alto Cortex XSOAR, Google Chronicle.</w:t>
      </w:r>
    </w:p>
    <w:p>
      <w:pPr>
        <w:pStyle w:val="Heading3"/>
        <w:spacing w:after="120" w:before="220"/>
      </w:pPr>
      <w:r>
        <w:rPr>
          <w:b/>
          <w:bCs/>
          <w:color w:val="404040"/>
        </w:rPr>
        <w:t xml:space="preserve">ABB 5: Network Security</w:t>
      </w:r>
    </w:p>
    <w:p>
      <w:pPr>
        <w:spacing w:after="120" w:line="300"/>
        <w:jc w:val="both"/>
      </w:pPr>
      <w:r>
        <w:t xml:space="preserve">Defines the capability to protect network communications and enforce segmentation. Required functions: perimeter firewalls; internal segmentation; micro-segmentation; intrusion detection/prevention; DDoS protection; secure remote access. Required interfaces: standard networking protocols, integration with IdP for identity-aware policies. Realised by SBBs such as Palo Alto firewalls, Cisco firewalls, Cloudflare, AWS Network Firewall, Istio service mesh, Illumio micro-segmentation.</w:t>
      </w:r>
    </w:p>
    <w:p>
      <w:pPr>
        <w:pStyle w:val="Heading3"/>
        <w:spacing w:after="120" w:before="220"/>
      </w:pPr>
      <w:r>
        <w:rPr>
          <w:b/>
          <w:bCs/>
          <w:color w:val="404040"/>
        </w:rPr>
        <w:t xml:space="preserve">ABB 6: Certificate Management</w:t>
      </w:r>
    </w:p>
    <w:p>
      <w:pPr>
        <w:spacing w:after="120" w:line="300"/>
        <w:jc w:val="both"/>
      </w:pPr>
      <w:r>
        <w:t xml:space="preserve">Defines the capability to issue, track, renew, and revoke digital certificates used for authentication, encryption, and signing. Required functions: certificate issuance (typically via PKI or ACME-protocol services); inventory and tracking; automated renewal; revocation. Required interfaces: ACME, SCEP, EST, REST APIs. Realised by SBBs such as Venafi, AWS Certificate Manager, Let's Encrypt, internal PKI.</w:t>
      </w:r>
    </w:p>
    <w:p>
      <w:pPr>
        <w:pStyle w:val="Heading2"/>
        <w:spacing w:after="160" w:before="280"/>
      </w:pPr>
      <w:r>
        <w:rPr>
          <w:b/>
          <w:bCs/>
          <w:color w:val="2E75B6"/>
        </w:rPr>
        <w:t xml:space="preserve">8.3 The Six Security ABBs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3500"/>
        <w:gridCol w:w="2760"/>
      </w:tblGrid>
      <w:tr>
        <w:trPr>
          <w:tblHeader/>
        </w:trPr>
        <w:tc>
          <w:tcPr>
            <w:tcW w:type="dxa" w:w="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ABB</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Defines</w:t>
            </w:r>
          </w:p>
        </w:tc>
        <w:tc>
          <w:tcPr>
            <w:tcW w:type="dxa" w:w="27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Common SBBs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Identity &amp; Access Management</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Identity, authentication, authorisation, governance</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Okta, Entra ID, Auth0, AWS IAM Identity Center</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Cryptography</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Encryption, key management, signing, hashing</w:t>
            </w:r>
          </w:p>
        </w:tc>
        <w:tc>
          <w:tcPr>
            <w:tcW w:type="dxa" w:w="2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HashiCorp Vault, AWS KMS, Azure Key Vault, HSMs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Audit &amp; Logging</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Log capture, aggregation, tamper-evident storage, search</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Splunk, Elastic, Datadog, CloudTrail</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Threat Detection</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Detection, SIEM, SOAR, threat intel integration</w:t>
            </w:r>
          </w:p>
        </w:tc>
        <w:tc>
          <w:tcPr>
            <w:tcW w:type="dxa" w:w="2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Sentinel, Splunk SIEM, Cortex XSOAR, Chronicle</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Network Security</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Firewalls, segmentation, micro-segmentation, IDS/IPS</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Palo Alto, Cisco, Cloudflare, Istio, Illumio</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Certificate Management</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Certificate issuance, tracking, renewal, revocation</w:t>
            </w:r>
          </w:p>
        </w:tc>
        <w:tc>
          <w:tcPr>
            <w:tcW w:type="dxa" w:w="2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Venafi, AWS Certificate Manager, Let's Encrypt, internal PKI</w:t>
            </w:r>
          </w:p>
        </w:tc>
      </w:tr>
    </w:tbl>
    <w:p>
      <w:pPr>
        <w:pStyle w:val="Heading2"/>
        <w:spacing w:after="160" w:before="280"/>
      </w:pPr>
      <w:r>
        <w:rPr>
          <w:b/>
          <w:bCs/>
          <w:color w:val="2E75B6"/>
        </w:rPr>
        <w:t xml:space="preserve">8.4 Security ABBs Across the Enterprise</w:t>
      </w:r>
    </w:p>
    <w:p>
      <w:pPr>
        <w:spacing w:after="120" w:line="300"/>
        <w:jc w:val="both"/>
      </w:pPr>
      <w:r>
        <w:t xml:space="preserve">In a mature TOGAF-aligned enterprise, the six Security ABBs are defined once at enterprise level and reused across every engagement. New engagements consume the existing IAM ABB rather than redesigning identity from scratch; consume the existing Cryptography ABB rather than choosing key management products independently; and so on. The reuse is what makes security architecture scalable — without it, every engagement reinvents security and produces inconsistencies that accumulate as enterprise-wide vulnerability.</w:t>
      </w:r>
    </w:p>
    <w:p>
      <w:r>
        <w:br w:type="page"/>
      </w:r>
    </w:p>
    <w:p>
      <w:pPr>
        <w:pStyle w:val="Heading1"/>
        <w:spacing w:after="200" w:before="360"/>
      </w:pPr>
      <w:r>
        <w:rPr>
          <w:b/>
          <w:bCs/>
          <w:color w:val="1F4E78"/>
        </w:rPr>
        <w:t xml:space="preserve">9. SABSA — Security-Depth Complement to TOGAF</w:t>
      </w:r>
    </w:p>
    <w:p>
      <w:pPr>
        <w:spacing w:after="120" w:line="300"/>
        <w:jc w:val="both"/>
      </w:pPr>
      <w:r>
        <w:t xml:space="preserve">SABSA — the Sherwood Applied Business Security Architecture — is the principal security-depth framework that complements TOGAF. Where TOGAF's Security Series Guide provides security integration with the architecture method, SABSA provides the deeper security-architecture-specific content. Many enterprises use both together: SABSA for security-architecture depth, TOGAF for the overall architecture method, with explicit alignment between the two.</w:t>
      </w:r>
    </w:p>
    <w:p>
      <w:pPr>
        <w:pStyle w:val="Heading2"/>
        <w:spacing w:after="160" w:before="280"/>
      </w:pPr>
      <w:r>
        <w:rPr>
          <w:b/>
          <w:bCs/>
          <w:color w:val="2E75B6"/>
        </w:rPr>
        <w:t xml:space="preserve">9.1 What SABSA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SABSA (Sherwood Applied Business Security Architecture): </w:t>
            </w:r>
            <w:r>
              <w:t xml:space="preserve">A risk-driven, business-focused security architecture framework. Maintained by The SABSA Institute. Provides a six-layer model of security architecture (Contextual, Conceptual, Logical, Physical, Component, Operational) with detailed templates and techniques. Aligned with TOGAF; many enterprises adopt both. Strong in regulated industries (financial services, healthcare, government).</w:t>
            </w:r>
          </w:p>
        </w:tc>
      </w:tr>
    </w:tbl>
    <w:p>
      <w:pPr>
        <w:pStyle w:val="Heading2"/>
        <w:spacing w:after="160" w:before="280"/>
      </w:pPr>
      <w:r>
        <w:rPr>
          <w:b/>
          <w:bCs/>
          <w:color w:val="2E75B6"/>
        </w:rPr>
        <w:t xml:space="preserve">9.2 SABSA's Six-Layer Model</w:t>
      </w:r>
    </w:p>
    <w:p>
      <w:pPr>
        <w:spacing w:after="120" w:line="300"/>
        <w:jc w:val="both"/>
      </w:pPr>
      <w:r>
        <w:t xml:space="preserve">SABSA structures security architecture across six layers, distinguished by perspective:</w:t>
      </w:r>
    </w:p>
    <w:p>
      <w:pPr>
        <w:pStyle w:val="ListParagraph"/>
        <w:numPr>
          <w:ilvl w:val="0"/>
          <w:numId w:val="3"/>
        </w:numPr>
        <w:spacing w:after="80" w:line="280"/>
      </w:pPr>
      <w:r>
        <w:t xml:space="preserve">Contextual — the business view: drivers, risks, regulatory context, business needs.</w:t>
      </w:r>
    </w:p>
    <w:p>
      <w:pPr>
        <w:pStyle w:val="ListParagraph"/>
        <w:numPr>
          <w:ilvl w:val="0"/>
          <w:numId w:val="3"/>
        </w:numPr>
        <w:spacing w:after="80" w:line="280"/>
      </w:pPr>
      <w:r>
        <w:t xml:space="preserve">Conceptual — the architect's view: principles, attributes, control objectives.</w:t>
      </w:r>
    </w:p>
    <w:p>
      <w:pPr>
        <w:pStyle w:val="ListParagraph"/>
        <w:numPr>
          <w:ilvl w:val="0"/>
          <w:numId w:val="3"/>
        </w:numPr>
        <w:spacing w:after="80" w:line="280"/>
      </w:pPr>
      <w:r>
        <w:t xml:space="preserve">Logical — the designer's view: how controls and capabilities fit together logically.</w:t>
      </w:r>
    </w:p>
    <w:p>
      <w:pPr>
        <w:pStyle w:val="ListParagraph"/>
        <w:numPr>
          <w:ilvl w:val="0"/>
          <w:numId w:val="3"/>
        </w:numPr>
        <w:spacing w:after="80" w:line="280"/>
      </w:pPr>
      <w:r>
        <w:t xml:space="preserve">Physical — the builder's view: specific technologies, platforms, and implementations.</w:t>
      </w:r>
    </w:p>
    <w:p>
      <w:pPr>
        <w:pStyle w:val="ListParagraph"/>
        <w:numPr>
          <w:ilvl w:val="0"/>
          <w:numId w:val="3"/>
        </w:numPr>
        <w:spacing w:after="80" w:line="280"/>
      </w:pPr>
      <w:r>
        <w:t xml:space="preserve">Component — the tradesman's view: specific products, configurations, and parameters.</w:t>
      </w:r>
    </w:p>
    <w:p>
      <w:pPr>
        <w:pStyle w:val="ListParagraph"/>
        <w:numPr>
          <w:ilvl w:val="0"/>
          <w:numId w:val="3"/>
        </w:numPr>
        <w:spacing w:after="80" w:line="280"/>
      </w:pPr>
      <w:r>
        <w:t xml:space="preserve">Operational — the operator's view: how the architecture is run day-to-day, monitored, maintained.</w:t>
      </w:r>
    </w:p>
    <w:p>
      <w:pPr>
        <w:spacing w:after="120" w:line="300"/>
        <w:jc w:val="both"/>
      </w:pPr>
      <w:r>
        <w:t xml:space="preserve">The six layers parallel the levels of architectural abstraction in TOGAF, with explicit specialisation for security concerns at each. SABSA materials provide detailed templates for each layer — what artefacts are produced, what questions are answered, what stakeholders are engaged.</w:t>
      </w:r>
    </w:p>
    <w:p>
      <w:pPr>
        <w:pStyle w:val="Heading2"/>
        <w:spacing w:after="160" w:before="280"/>
      </w:pPr>
      <w:r>
        <w:rPr>
          <w:b/>
          <w:bCs/>
          <w:color w:val="2E75B6"/>
        </w:rPr>
        <w:t xml:space="preserve">9.3 SABSA Business Attribute Profile</w:t>
      </w:r>
    </w:p>
    <w:p>
      <w:pPr>
        <w:spacing w:after="120" w:line="300"/>
        <w:jc w:val="both"/>
      </w:pPr>
      <w:r>
        <w:t xml:space="preserve">One of SABSA's most distinctive contributions is the Business Attribute Profile — a structured list of business attributes that security architectures should preserve. SABSA publishes around 80 business attributes organised into seven categories (User, Management, Operational, Risk Management, Legal/Regulatory, Technical, Business Strategy). Each attribute is the basis for a security control objective. The Profile gives security architects a rigorous business-driven starting point rather than a technology-driven one.</w:t>
      </w:r>
    </w:p>
    <w:p>
      <w:pPr>
        <w:pStyle w:val="Heading2"/>
        <w:spacing w:after="160" w:before="280"/>
      </w:pPr>
      <w:r>
        <w:rPr>
          <w:b/>
          <w:bCs/>
          <w:color w:val="2E75B6"/>
        </w:rPr>
        <w:t xml:space="preserve">9.4 SABSA and TOGAF Together</w:t>
      </w:r>
    </w:p>
    <w:p>
      <w:pPr>
        <w:spacing w:after="120" w:line="300"/>
        <w:jc w:val="both"/>
      </w:pPr>
      <w:r>
        <w:t xml:space="preserve">Three patterns of joint use:</w:t>
      </w:r>
    </w:p>
    <w:p>
      <w:pPr>
        <w:pStyle w:val="ListParagraph"/>
        <w:numPr>
          <w:ilvl w:val="0"/>
          <w:numId w:val="3"/>
        </w:numPr>
        <w:spacing w:after="80" w:line="280"/>
      </w:pPr>
      <w:r>
        <w:t xml:space="preserve">TOGAF as the master method; SABSA for security depth. The architecture practice runs the ADM; security architects use SABSA techniques within the security work that the ADM produces. The Security Series Guide explicitly supports this pattern.</w:t>
      </w:r>
    </w:p>
    <w:p>
      <w:pPr>
        <w:pStyle w:val="ListParagraph"/>
        <w:numPr>
          <w:ilvl w:val="0"/>
          <w:numId w:val="3"/>
        </w:numPr>
        <w:spacing w:after="80" w:line="280"/>
      </w:pPr>
      <w:r>
        <w:t xml:space="preserve">Mapping between SABSA layers and TOGAF phases. SABSA's Contextual layer aligns with TOGAF's Phase A; SABSA's Logical layer aligns with TOGAF's Phases B/C/D; SABSA's Physical layer aligns with Phases C/D/E; SABSA's Operational layer aligns with Phases G/H. The mapping is approximate but useful.</w:t>
      </w:r>
    </w:p>
    <w:p>
      <w:pPr>
        <w:pStyle w:val="ListParagraph"/>
        <w:numPr>
          <w:ilvl w:val="0"/>
          <w:numId w:val="3"/>
        </w:numPr>
        <w:spacing w:after="80" w:line="280"/>
      </w:pPr>
      <w:r>
        <w:t xml:space="preserve">Joint certification tracks. Security architects sometimes hold both TOGAF and SABSA certifications (SABSA Chartered Architect, with several levels). The combination is recognised in regulated industries as evidence of mature security architecture practice.</w:t>
      </w:r>
    </w:p>
    <w:p>
      <w:pPr>
        <w:pStyle w:val="Heading2"/>
        <w:spacing w:after="160" w:before="280"/>
      </w:pPr>
      <w:r>
        <w:rPr>
          <w:b/>
          <w:bCs/>
          <w:color w:val="2E75B6"/>
        </w:rPr>
        <w:t xml:space="preserve">9.5 Other Security Frameworks Worth Knowing</w:t>
      </w:r>
    </w:p>
    <w:p>
      <w:pPr>
        <w:pStyle w:val="ListParagraph"/>
        <w:numPr>
          <w:ilvl w:val="0"/>
          <w:numId w:val="2"/>
        </w:numPr>
        <w:spacing w:after="80" w:line="280"/>
      </w:pPr>
      <w:r>
        <w:t xml:space="preserve">NIST Cybersecurity Framework (NIST CSF) — the US government's cybersecurity reference framework; widely adopted globally.</w:t>
      </w:r>
    </w:p>
    <w:p>
      <w:pPr>
        <w:pStyle w:val="ListParagraph"/>
        <w:numPr>
          <w:ilvl w:val="0"/>
          <w:numId w:val="2"/>
        </w:numPr>
        <w:spacing w:after="80" w:line="280"/>
      </w:pPr>
      <w:r>
        <w:t xml:space="preserve">ISO/IEC 27001 — international standard for information security management systems; the basis for ISMS certification.</w:t>
      </w:r>
    </w:p>
    <w:p>
      <w:pPr>
        <w:pStyle w:val="ListParagraph"/>
        <w:numPr>
          <w:ilvl w:val="0"/>
          <w:numId w:val="2"/>
        </w:numPr>
        <w:spacing w:after="80" w:line="280"/>
      </w:pPr>
      <w:r>
        <w:t xml:space="preserve">ISO/IEC 27002 — companion to 27001 with detailed control guidance.</w:t>
      </w:r>
    </w:p>
    <w:p>
      <w:pPr>
        <w:pStyle w:val="ListParagraph"/>
        <w:numPr>
          <w:ilvl w:val="0"/>
          <w:numId w:val="2"/>
        </w:numPr>
        <w:spacing w:after="80" w:line="280"/>
      </w:pPr>
      <w:r>
        <w:t xml:space="preserve">CIS Controls — Centre for Internet Security's prioritised list of 18 critical controls.</w:t>
      </w:r>
    </w:p>
    <w:p>
      <w:pPr>
        <w:pStyle w:val="ListParagraph"/>
        <w:numPr>
          <w:ilvl w:val="0"/>
          <w:numId w:val="2"/>
        </w:numPr>
        <w:spacing w:after="80" w:line="280"/>
      </w:pPr>
      <w:r>
        <w:t xml:space="preserve">MITRE ATT&amp;CK — adversary tactics and techniques knowledge base used in threat modelling and detection engineering.</w:t>
      </w:r>
    </w:p>
    <w:p>
      <w:pPr>
        <w:pStyle w:val="ListParagraph"/>
        <w:numPr>
          <w:ilvl w:val="0"/>
          <w:numId w:val="2"/>
        </w:numPr>
        <w:spacing w:after="80" w:line="280"/>
      </w:pPr>
      <w:r>
        <w:t xml:space="preserve">ENISA frameworks — European cybersecurity agency frameworks particularly relevant under EU regulations.</w:t>
      </w:r>
    </w:p>
    <w:p>
      <w:r>
        <w:br w:type="page"/>
      </w:r>
    </w:p>
    <w:p>
      <w:pPr>
        <w:pStyle w:val="Heading1"/>
        <w:spacing w:after="200" w:before="360"/>
      </w:pPr>
      <w:r>
        <w:rPr>
          <w:b/>
          <w:bCs/>
          <w:color w:val="1F4E78"/>
        </w:rPr>
        <w:t xml:space="preserve">10. Summary and Review</w:t>
      </w:r>
    </w:p>
    <w:p>
      <w:pPr>
        <w:pStyle w:val="Heading2"/>
        <w:spacing w:after="160" w:before="280"/>
      </w:pPr>
      <w:r>
        <w:rPr>
          <w:b/>
          <w:bCs/>
          <w:color w:val="2E75B6"/>
        </w:rPr>
        <w:t xml:space="preserve">10.1 The Big Picture</w:t>
      </w:r>
    </w:p>
    <w:p>
      <w:pPr>
        <w:spacing w:after="120" w:line="300"/>
        <w:jc w:val="both"/>
      </w:pPr>
      <w:r>
        <w:t xml:space="preserve">The Security Architecture Series Guide treats security as a cross-cutting concern across all four BDAT domains — not as a Technology-only specialism. STRIDE provides the standard threat-modelling vocabulary: Spoofing, Tampering, Repudiation, Information Disclosure, Denial of Service, Elevation of Privilege. Zero Trust Architecture (NIST SP 800-207) is the modern security paradigm with its principle "never trust, always verify", realised through four components: IdP with MFA, Device Trust, Micro-segmentation, and Just-In-Time access. The OWASP Top 10 is the mandatory baseline for application security. Defense in Depth provides six independent layers — Perimeter, Network, Host, Application, Data, Identity — so that failure of any one layer does not produce complete breach. Security activities exist at every ADM phase from Preliminary through H. Six standard Security ABBs (IAM, Cryptography, Audit &amp; Logging, Threat Detection, Network Security, Certificate Management) recur across enterprises. SABSA is the principal security-depth complement to TOGAF, with its six-layer model and Business Attribute Profile providing depth that the TOGAF Security Series Guide does not.</w:t>
      </w:r>
    </w:p>
    <w:p>
      <w:pPr>
        <w:pStyle w:val="Heading2"/>
        <w:spacing w:after="160" w:before="280"/>
      </w:pPr>
      <w:r>
        <w:rPr>
          <w:b/>
          <w:bCs/>
          <w:color w:val="2E75B6"/>
        </w:rPr>
        <w:t xml:space="preserve">10.2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Security as cross-cutting</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Across all four BDAT domains, NOT just Technology. Each layer has distinct security concerns.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STRIDE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Spoofing, Tampering, Repudiation, Information Disclosure, Denial of Service, Elevation of Privilege.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STRIDE and CIA</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Maps to authenticity, integrity, non-repudiation, confidentiality, availability, authorisation.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Zero Trust principle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Never trust, always verify. Per-session access, dynamic policy, continuous monitoring.</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Zero Trust source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NIST SP 800-207 (2020). Five tenets defining the approach.</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Zero Trust components — four</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IdP+MFA, Device Trust, Micro-segmentation, Just-In-Time access.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OWASP Top 10</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Mandatory application security baseline. Updated approximately every four years; current version 2021.</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Defense in Depth — six layers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Perimeter, Network, Host, Application, Data, Identity. Independent layers; failure of one does not cause complete breach.</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Security across ADM phases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Activities at every phase: Preliminary establishes practice; A captures security drivers; B/C/D apply STRIDE and Defence in Depth; E/F sequence security work; G/H govern and monitor.</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Six security ABBs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IAM, Cryptography, Audit &amp; Logging, Threat Detection, Network Security, Certificate Management.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SABSA</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Sherwood Applied Business Security Architecture. Security-depth complement to TOGAF. Six-layer model. Business Attribute Profile (~80 attributes).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Other key frameworks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NIST CSF, ISO 27001/27002, CIS Controls, MITRE ATT&amp;CK, ENISA.</w:t>
            </w:r>
          </w:p>
        </w:tc>
      </w:tr>
    </w:tbl>
    <w:p>
      <w:pPr>
        <w:pStyle w:val="Heading2"/>
        <w:spacing w:after="160" w:before="280"/>
      </w:pPr>
      <w:r>
        <w:rPr>
          <w:b/>
          <w:bCs/>
          <w:color w:val="2E75B6"/>
        </w:rPr>
        <w:t xml:space="preserve">10.3 Self-Test Questions</w:t>
      </w:r>
    </w:p>
    <w:p>
      <w:pPr>
        <w:pStyle w:val="ListParagraph"/>
        <w:numPr>
          <w:ilvl w:val="0"/>
          <w:numId w:val="3"/>
        </w:numPr>
        <w:spacing w:after="80" w:line="280"/>
      </w:pPr>
      <w:r>
        <w:t xml:space="preserve">Why is security described as cross-cutting across all four BDAT domains? Give one security concern at each layer.</w:t>
      </w:r>
    </w:p>
    <w:p>
      <w:pPr>
        <w:pStyle w:val="ListParagraph"/>
        <w:numPr>
          <w:ilvl w:val="0"/>
          <w:numId w:val="3"/>
        </w:numPr>
        <w:spacing w:after="80" w:line="280"/>
      </w:pPr>
      <w:r>
        <w:t xml:space="preserve">Spell out the STRIDE acronym and define each category.</w:t>
      </w:r>
    </w:p>
    <w:p>
      <w:pPr>
        <w:pStyle w:val="ListParagraph"/>
        <w:numPr>
          <w:ilvl w:val="0"/>
          <w:numId w:val="3"/>
        </w:numPr>
        <w:spacing w:after="80" w:line="280"/>
      </w:pPr>
      <w:r>
        <w:t xml:space="preserve">State the Zero Trust principle in one phrase. What document is its standard reference?</w:t>
      </w:r>
    </w:p>
    <w:p>
      <w:pPr>
        <w:pStyle w:val="ListParagraph"/>
        <w:numPr>
          <w:ilvl w:val="0"/>
          <w:numId w:val="3"/>
        </w:numPr>
        <w:spacing w:after="80" w:line="280"/>
      </w:pPr>
      <w:r>
        <w:t xml:space="preserve">Name the four components of Zero Trust Architecture. What does each provide?</w:t>
      </w:r>
    </w:p>
    <w:p>
      <w:pPr>
        <w:pStyle w:val="ListParagraph"/>
        <w:numPr>
          <w:ilvl w:val="0"/>
          <w:numId w:val="3"/>
        </w:numPr>
        <w:spacing w:after="80" w:line="280"/>
      </w:pPr>
      <w:r>
        <w:t xml:space="preserve">What is the OWASP Top 10? Name three of its categories from the 2021 edition.</w:t>
      </w:r>
    </w:p>
    <w:p>
      <w:pPr>
        <w:pStyle w:val="ListParagraph"/>
        <w:numPr>
          <w:ilvl w:val="0"/>
          <w:numId w:val="3"/>
        </w:numPr>
        <w:spacing w:after="80" w:line="280"/>
      </w:pPr>
      <w:r>
        <w:t xml:space="preserve">Name the six layers of Defense in Depth in order from outside to inside-of-resource.</w:t>
      </w:r>
    </w:p>
    <w:p>
      <w:pPr>
        <w:pStyle w:val="ListParagraph"/>
        <w:numPr>
          <w:ilvl w:val="0"/>
          <w:numId w:val="3"/>
        </w:numPr>
        <w:spacing w:after="80" w:line="280"/>
      </w:pPr>
      <w:r>
        <w:t xml:space="preserve">Why are six independent layers used rather than one strong layer?</w:t>
      </w:r>
    </w:p>
    <w:p>
      <w:pPr>
        <w:pStyle w:val="ListParagraph"/>
        <w:numPr>
          <w:ilvl w:val="0"/>
          <w:numId w:val="3"/>
        </w:numPr>
        <w:spacing w:after="80" w:line="280"/>
      </w:pPr>
      <w:r>
        <w:t xml:space="preserve">Name three ADM phases and the principal security activity in each.</w:t>
      </w:r>
    </w:p>
    <w:p>
      <w:pPr>
        <w:pStyle w:val="ListParagraph"/>
        <w:numPr>
          <w:ilvl w:val="0"/>
          <w:numId w:val="3"/>
        </w:numPr>
        <w:spacing w:after="80" w:line="280"/>
      </w:pPr>
      <w:r>
        <w:t xml:space="preserve">Name the six standard Security ABBs and one common SBB for each.</w:t>
      </w:r>
    </w:p>
    <w:p>
      <w:pPr>
        <w:pStyle w:val="ListParagraph"/>
        <w:numPr>
          <w:ilvl w:val="0"/>
          <w:numId w:val="3"/>
        </w:numPr>
        <w:spacing w:after="80" w:line="280"/>
      </w:pPr>
      <w:r>
        <w:t xml:space="preserve">What is SABSA? How does it relate to TOGAF? How are the two used together?</w:t>
      </w:r>
    </w:p>
    <w:p>
      <w:pPr>
        <w:pStyle w:val="Heading2"/>
        <w:spacing w:after="160" w:before="280"/>
      </w:pPr>
      <w:r>
        <w:rPr>
          <w:b/>
          <w:bCs/>
          <w:color w:val="2E75B6"/>
        </w:rPr>
        <w:t xml:space="preserve">10.4 Closing Note</w:t>
      </w:r>
    </w:p>
    <w:p>
      <w:pPr>
        <w:spacing w:after="120" w:line="300"/>
        <w:jc w:val="both"/>
      </w:pPr>
      <w:r>
        <w:t xml:space="preserve">Module 19 has covered the Security Architecture Series Guide and its supporting frameworks. The remaining modules turn to other Series Guides (Risk, Agile, Digital Enterprise) and to certification preparation. Make sure you can recite: security as cross-cutting; the STRIDE acronym; the Zero Trust principle and four components; the OWASP Top 10's purpose; the six Defense in Depth layers; the principal security activities at each ADM phase; the six standard Security ABBs; and SABSA's role as a TOGAF complement, before moving on.</w:t>
      </w:r>
    </w:p>
    <w:p>
      <w:pPr>
        <w:spacing w:after="120"/>
      </w:pPr>
      <w:r>
        <w:t xml:space="preserve"/>
      </w:r>
    </w:p>
    <w:p>
      <w:pPr>
        <w:spacing w:before="400"/>
        <w:jc w:val="center"/>
      </w:pPr>
      <w:r>
        <w:rPr>
          <w:i/>
          <w:iCs/>
          <w:color w:val="808080"/>
        </w:rPr>
        <w:t xml:space="preserve">— End of Module 19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19: Security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19 Study Guide</dc:title>
  <dc:creator>Claude</dc:creator>
  <dc:description>Comprehensive study guide for the TOGAF Security Architecture Series Guide</dc:description>
  <cp:lastModifiedBy>Un-named</cp:lastModifiedBy>
  <cp:revision>1</cp:revision>
  <dcterms:created xsi:type="dcterms:W3CDTF">2026-05-02T17:41:58.197Z</dcterms:created>
  <dcterms:modified xsi:type="dcterms:W3CDTF">2026-05-02T17:41:58.212Z</dcterms:modified>
</cp:coreProperties>
</file>

<file path=docProps/custom.xml><?xml version="1.0" encoding="utf-8"?>
<Properties xmlns="http://schemas.openxmlformats.org/officeDocument/2006/custom-properties" xmlns:vt="http://schemas.openxmlformats.org/officeDocument/2006/docPropsVTypes"/>
</file>