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20: Digital Transformation &amp; Cloud</w:t>
      </w:r>
    </w:p>
    <w:p>
      <w:pPr>
        <w:spacing w:after="200"/>
        <w:jc w:val="center"/>
      </w:pPr>
      <w:r>
        <w:rPr>
          <w:color w:val="595959"/>
          <w:sz w:val="28"/>
          <w:szCs w:val="28"/>
        </w:rPr>
        <w:t xml:space="preserve">TOGAF Series Guide on Digital Enterprise Architecture</w:t>
      </w:r>
    </w:p>
    <w:p>
      <w:pPr>
        <w:spacing w:after="200"/>
        <w:jc w:val="center"/>
      </w:pPr>
      <w:r>
        <w:rPr>
          <w:color w:val="808080"/>
          <w:sz w:val="22"/>
          <w:szCs w:val="22"/>
        </w:rPr>
        <w:t xml:space="preserve">Cloud · Microservices · Event-Driven · Data Mesh · AI/ML · Modern Architecture</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20</w:t>
      </w:r>
    </w:p>
    <w:p>
      <w:pPr>
        <w:spacing w:after="120" w:line="300"/>
        <w:jc w:val="both"/>
      </w:pPr>
      <w:r>
        <w:t xml:space="preserve">Module 20 covers the TOGAF Series Guide content concerned with Digital Transformation, Cloud, and the modern architectural patterns that have come to dominate enterprise IT over the past decade. Where Module 18 covered Business Architecture and Module 19 covered Security Architecture as recognised specialisms, this module covers the cluster of modern architectural concerns — cloud, microservices, event-driven systems, data platforms, AI/ML — that together constitute what "digital transformation" means in architectural terms.</w:t>
      </w:r>
    </w:p>
    <w:p>
      <w:pPr>
        <w:spacing w:after="120" w:line="300"/>
        <w:jc w:val="both"/>
      </w:pPr>
      <w:r>
        <w:t xml:space="preserve">This is the longest and most varied module in the syllabus. It covers more vocabulary, more frameworks, more reference patterns than any of its predecessors, because modern enterprise architecture genuinely involves more moving parts than the architecture of twenty years ago. The exam tests recognition of the named patterns and frameworks; understanding why each exists and how they fit together is what makes the practical work of modern architecture coherent rather than fragmented.</w:t>
      </w:r>
    </w:p>
    <w:p>
      <w:pPr>
        <w:spacing w:after="120" w:line="300"/>
        <w:jc w:val="both"/>
      </w:pPr>
      <w:r>
        <w:t xml:space="preserve">Twelve points anchor the exam-relevant content. First, the cloud service models (IaaS, PaaS, SaaS, FaaS, CaaS) and how each maps to TOGAF domains. Second, the four cloud deployment models. Third, Cloud-First as an Architecture Principle. Fourth, the Internal Developer Platform pattern. Fifth, the Cloud Landing Zone components. Sixth, the API economy architecture. Seventh, microservices migration patterns including the Strangler Fig. Eighth, the 6 Rs of cloud migration (covered briefly in Module 6 and elaborated here). Ninth, the modern data platform structure. Tenth, Data Mesh principles. Eleventh, event-driven architecture patterns. Twelfth, AI/ML architecture across the BDAT domains.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closer to a reference catalogue of modern architecture patterns than the more focused earlier modules. Each section names a pattern or framework that you should be able to recognise on the exam and engage with in practice. After working through this module, the modern architecture vocabulary that has been used throughout the previous modules — landing zones, microservices, event-driven, data platforms, MLOps — has its proper context. Read this once for breadth; return to specific sections when working on related architecture engagements.</w:t>
            </w:r>
          </w:p>
        </w:tc>
      </w:tr>
    </w:tbl>
    <w:p>
      <w:r>
        <w:br w:type="page"/>
      </w:r>
    </w:p>
    <w:p>
      <w:pPr>
        <w:pStyle w:val="Heading1"/>
        <w:spacing w:after="200" w:before="360"/>
      </w:pPr>
      <w:r>
        <w:rPr>
          <w:b/>
          <w:bCs/>
          <w:color w:val="1F4E78"/>
        </w:rPr>
        <w:t xml:space="preserve">1. Cloud Service Models — IaaS, PaaS, SaaS, FaaS, CaaS</w:t>
      </w:r>
    </w:p>
    <w:p>
      <w:pPr>
        <w:spacing w:after="120" w:line="300"/>
        <w:jc w:val="both"/>
      </w:pPr>
      <w:r>
        <w:t xml:space="preserve">Cloud service models distinguish what level of abstraction a cloud service offers. The traditional three (IaaS, PaaS, SaaS) defined cloud computing in its early years; FaaS and CaaS are more recent additions that fill specific gaps. The exam tests recognition of all five and the architectural implications of each — particularly which TOGAF domain (Application or Technology) is most affected by each.</w:t>
      </w:r>
    </w:p>
    <w:p>
      <w:pPr>
        <w:pStyle w:val="Heading2"/>
        <w:spacing w:after="160" w:before="280"/>
      </w:pPr>
      <w:r>
        <w:rPr>
          <w:b/>
          <w:bCs/>
          <w:color w:val="2E75B6"/>
        </w:rPr>
        <w:t xml:space="preserve">1.1 The Five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Cloud Service Models: </w:t>
            </w:r>
            <w:r>
              <w:t xml:space="preserve">Five named models distinguishing the abstraction level of cloud services: IaaS (Infrastructure-as-a-Service — virtual machines, storage, networks); PaaS (Platform-as-a-Service — managed runtimes); SaaS (Software-as-a-Service — complete applications); FaaS (Function-as-a-Service — event-triggered code execution); CaaS (Container-as-a-Service — managed container orchestration). Each model differs in what the cloud provider manages versus what the consumer manages.</w:t>
            </w:r>
          </w:p>
        </w:tc>
      </w:tr>
    </w:tbl>
    <w:p>
      <w:pPr>
        <w:pStyle w:val="Heading2"/>
        <w:spacing w:after="160" w:before="280"/>
      </w:pPr>
      <w:r>
        <w:rPr>
          <w:b/>
          <w:bCs/>
          <w:color w:val="2E75B6"/>
        </w:rPr>
        <w:t xml:space="preserve">1.2 Each Model Defined</w:t>
      </w:r>
    </w:p>
    <w:p>
      <w:pPr>
        <w:pStyle w:val="Heading3"/>
        <w:spacing w:after="120" w:before="220"/>
      </w:pPr>
      <w:r>
        <w:rPr>
          <w:b/>
          <w:bCs/>
          <w:color w:val="404040"/>
        </w:rPr>
        <w:t xml:space="preserve">IaaS — Infrastructure-as-a-Service</w:t>
      </w:r>
    </w:p>
    <w:p>
      <w:pPr>
        <w:spacing w:after="120" w:line="300"/>
        <w:jc w:val="both"/>
      </w:pPr>
      <w:r>
        <w:t xml:space="preserve">The cloud provider manages the physical infrastructure (data centres, hardware, hypervisors, networking) and offers virtual machines, storage volumes, virtual networks, and load balancers as consumable services. The customer manages everything from the operating system upward. Examples: AWS EC2 + EBS + VPC; Azure Virtual Machines + Managed Disks + Virtual Networks; Google Compute Engine + Persistent Disks + VPC. Most affected TOGAF domain: Technology Architecture (Phase D).</w:t>
      </w:r>
    </w:p>
    <w:p>
      <w:pPr>
        <w:pStyle w:val="Heading3"/>
        <w:spacing w:after="120" w:before="220"/>
      </w:pPr>
      <w:r>
        <w:rPr>
          <w:b/>
          <w:bCs/>
          <w:color w:val="404040"/>
        </w:rPr>
        <w:t xml:space="preserve">PaaS — Platform-as-a-Service</w:t>
      </w:r>
    </w:p>
    <w:p>
      <w:pPr>
        <w:spacing w:after="120" w:line="300"/>
        <w:jc w:val="both"/>
      </w:pPr>
      <w:r>
        <w:t xml:space="preserve">The cloud provider manages infrastructure, OS, middleware, and runtime; the customer manages only the application and data. Customers deploy code; the platform handles servers, scaling, patching. Examples: AWS Elastic Beanstalk; Azure App Service; Google App Engine; Heroku; managed databases (AWS RDS, Azure SQL Database). Most affected TOGAF domains: Application Architecture (Phase C-App) and Technology Architecture (Phase D) — the boundary blurs because the platform spans both.</w:t>
      </w:r>
    </w:p>
    <w:p>
      <w:pPr>
        <w:pStyle w:val="Heading3"/>
        <w:spacing w:after="120" w:before="220"/>
      </w:pPr>
      <w:r>
        <w:rPr>
          <w:b/>
          <w:bCs/>
          <w:color w:val="404040"/>
        </w:rPr>
        <w:t xml:space="preserve">SaaS — Software-as-a-Service</w:t>
      </w:r>
    </w:p>
    <w:p>
      <w:pPr>
        <w:spacing w:after="120" w:line="300"/>
        <w:jc w:val="both"/>
      </w:pPr>
      <w:r>
        <w:t xml:space="preserve">The cloud provider manages everything including the application; the customer simply uses the application via a browser or API. Examples: Salesforce CRM; Workday HR; Microsoft 365; Slack; Okta; GitHub. Most affected TOGAF domain: Application Architecture (Phase C-App) — the SaaS application itself is the application; Technology Architecture is the vendor's concern, not the customer's.</w:t>
      </w:r>
    </w:p>
    <w:p>
      <w:pPr>
        <w:pStyle w:val="Heading3"/>
        <w:spacing w:after="120" w:before="220"/>
      </w:pPr>
      <w:r>
        <w:rPr>
          <w:b/>
          <w:bCs/>
          <w:color w:val="404040"/>
        </w:rPr>
        <w:t xml:space="preserve">FaaS — Function-as-a-Service</w:t>
      </w:r>
    </w:p>
    <w:p>
      <w:pPr>
        <w:spacing w:after="120" w:line="300"/>
        <w:jc w:val="both"/>
      </w:pPr>
      <w:r>
        <w:t xml:space="preserve">The cloud provider executes individual functions (small units of code) in response to events, with no concept of long-running servers. The customer writes functions; the platform handles everything else including invocation, scaling, and resource management. Examples: AWS Lambda; Azure Functions; Google Cloud Functions; Cloudflare Workers. Sometimes called "serverless". Most affected TOGAF domains: Application (the functions) and Technology (the underlying platform) — though FaaS effectively eliminates Technology architecture concerns at the runtime level.</w:t>
      </w:r>
    </w:p>
    <w:p>
      <w:pPr>
        <w:pStyle w:val="Heading3"/>
        <w:spacing w:after="120" w:before="220"/>
      </w:pPr>
      <w:r>
        <w:rPr>
          <w:b/>
          <w:bCs/>
          <w:color w:val="404040"/>
        </w:rPr>
        <w:t xml:space="preserve">CaaS — Container-as-a-Service</w:t>
      </w:r>
    </w:p>
    <w:p>
      <w:pPr>
        <w:spacing w:after="120" w:line="300"/>
        <w:jc w:val="both"/>
      </w:pPr>
      <w:r>
        <w:t xml:space="preserve">The cloud provider runs container orchestration (Kubernetes, typically) as a managed service; the customer deploys containerised workloads. The orchestrator manages scheduling, scaling, networking, and lifecycle. Examples: AWS EKS; Azure AKS; Google GKE; Red Hat OpenShift. Most affected TOGAF domains: Technology (the cluster) and Application (the workloads on it). CaaS sits between IaaS and PaaS in abstraction level.</w:t>
      </w:r>
    </w:p>
    <w:p>
      <w:pPr>
        <w:pStyle w:val="Heading2"/>
        <w:spacing w:after="160" w:before="280"/>
      </w:pPr>
      <w:r>
        <w:rPr>
          <w:b/>
          <w:bCs/>
          <w:color w:val="2E75B6"/>
        </w:rPr>
        <w:t xml:space="preserve">1.3 The Five Models Compared and Mapped to TOGAF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2960"/>
      </w:tblGrid>
      <w:tr>
        <w:trPr>
          <w:tblHeader/>
        </w:trPr>
        <w:tc>
          <w:tcPr>
            <w:tcW w:type="dxa" w:w="8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Model</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Provider Manages</w:t>
            </w:r>
          </w:p>
        </w:tc>
        <w:tc>
          <w:tcPr>
            <w:tcW w:type="dxa" w:w="2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Customer Manages</w:t>
            </w:r>
          </w:p>
        </w:tc>
        <w:tc>
          <w:tcPr>
            <w:tcW w:type="dxa" w:w="2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TOGAF Domain Most Affected</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IaaS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Hardware, hypervisor, network</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OS upward (OS, middleware, runtime, app, data)</w:t>
            </w:r>
          </w:p>
        </w:tc>
        <w:tc>
          <w:tcPr>
            <w:tcW w:type="dxa" w:w="2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(Phase D)</w:t>
            </w:r>
          </w:p>
        </w:tc>
      </w:tr>
      <w:tr>
        <w:tc>
          <w:tcPr>
            <w:tcW w:type="dxa" w:w="8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PaaS</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Through to runtime</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and data only</w:t>
            </w:r>
          </w:p>
        </w:tc>
        <w:tc>
          <w:tcPr>
            <w:tcW w:type="dxa" w:w="2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 Technology (boundary)</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SaaS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Everything</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Configuration and data within the app</w:t>
            </w:r>
          </w:p>
        </w:tc>
        <w:tc>
          <w:tcPr>
            <w:tcW w:type="dxa" w:w="2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(Phase C-App)</w:t>
            </w:r>
          </w:p>
        </w:tc>
      </w:tr>
      <w:tr>
        <w:tc>
          <w:tcPr>
            <w:tcW w:type="dxa" w:w="8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FaaS</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Everything except function code</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Function code (and triggers)</w:t>
            </w:r>
          </w:p>
        </w:tc>
        <w:tc>
          <w:tcPr>
            <w:tcW w:type="dxa" w:w="2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 Technology</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CaaS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Cluster (orchestrator and infrastructure)</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Containers and their content</w:t>
            </w:r>
          </w:p>
        </w:tc>
        <w:tc>
          <w:tcPr>
            <w:tcW w:type="dxa" w:w="2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 + Application</w:t>
            </w:r>
          </w:p>
        </w:tc>
      </w:tr>
    </w:tbl>
    <w:p>
      <w:pPr>
        <w:pStyle w:val="Heading2"/>
        <w:spacing w:after="160" w:before="280"/>
      </w:pPr>
      <w:r>
        <w:rPr>
          <w:b/>
          <w:bCs/>
          <w:color w:val="2E75B6"/>
        </w:rPr>
        <w:t xml:space="preserve">1.4 Architectural Implications</w:t>
      </w:r>
    </w:p>
    <w:p>
      <w:pPr>
        <w:spacing w:after="120" w:line="300"/>
        <w:jc w:val="both"/>
      </w:pPr>
      <w:r>
        <w:t xml:space="preserve">The choice of service model shapes architectural responsibility:</w:t>
      </w:r>
    </w:p>
    <w:p>
      <w:pPr>
        <w:pStyle w:val="ListParagraph"/>
        <w:numPr>
          <w:ilvl w:val="0"/>
          <w:numId w:val="2"/>
        </w:numPr>
        <w:spacing w:after="80" w:line="280"/>
      </w:pPr>
      <w:r>
        <w:t xml:space="preserve">IaaS gives maximum control but requires maximum operational responsibility — patching, scaling, monitoring all fall to the customer.</w:t>
      </w:r>
    </w:p>
    <w:p>
      <w:pPr>
        <w:pStyle w:val="ListParagraph"/>
        <w:numPr>
          <w:ilvl w:val="0"/>
          <w:numId w:val="2"/>
        </w:numPr>
        <w:spacing w:after="80" w:line="280"/>
      </w:pPr>
      <w:r>
        <w:t xml:space="preserve">PaaS reduces operational burden but constrains technical choices — you accept the platform's runtimes, frameworks, and limitations.</w:t>
      </w:r>
    </w:p>
    <w:p>
      <w:pPr>
        <w:pStyle w:val="ListParagraph"/>
        <w:numPr>
          <w:ilvl w:val="0"/>
          <w:numId w:val="2"/>
        </w:numPr>
        <w:spacing w:after="80" w:line="280"/>
      </w:pPr>
      <w:r>
        <w:t xml:space="preserve">SaaS removes operational burden entirely but cedes architectural control — the application's data model, integration patterns, and capability boundaries are determined by the vendor.</w:t>
      </w:r>
    </w:p>
    <w:p>
      <w:pPr>
        <w:pStyle w:val="ListParagraph"/>
        <w:numPr>
          <w:ilvl w:val="0"/>
          <w:numId w:val="2"/>
        </w:numPr>
        <w:spacing w:after="80" w:line="280"/>
      </w:pPr>
      <w:r>
        <w:t xml:space="preserve">FaaS minimises operational concern at the cost of architectural patterns that fit the model (event-driven, short-lived functions, no shared state).</w:t>
      </w:r>
    </w:p>
    <w:p>
      <w:pPr>
        <w:pStyle w:val="ListParagraph"/>
        <w:numPr>
          <w:ilvl w:val="0"/>
          <w:numId w:val="2"/>
        </w:numPr>
        <w:spacing w:after="80" w:line="280"/>
      </w:pPr>
      <w:r>
        <w:t xml:space="preserve">CaaS balances control and convenience — control over containers, convenience of managed orchestration.</w:t>
      </w:r>
    </w:p>
    <w:p>
      <w:pPr>
        <w:spacing w:after="120" w:line="300"/>
        <w:jc w:val="both"/>
      </w:pPr>
      <w:r>
        <w:t xml:space="preserve">Modern enterprise architectures typically use a mix of all five, with the choice driven by capability requirements, operational tolerance, and strategic differentiation considerations.</w:t>
      </w:r>
    </w:p>
    <w:p>
      <w:r>
        <w:br w:type="page"/>
      </w:r>
    </w:p>
    <w:p>
      <w:pPr>
        <w:pStyle w:val="Heading1"/>
        <w:spacing w:after="200" w:before="360"/>
      </w:pPr>
      <w:r>
        <w:rPr>
          <w:b/>
          <w:bCs/>
          <w:color w:val="1F4E78"/>
        </w:rPr>
        <w:t xml:space="preserve">2. Cloud Deployment Models — Public, Private, Hybrid, Multi-Cloud</w:t>
      </w:r>
    </w:p>
    <w:p>
      <w:pPr>
        <w:spacing w:after="120" w:line="300"/>
        <w:jc w:val="both"/>
      </w:pPr>
      <w:r>
        <w:t xml:space="preserve">Where service models distinguish abstraction level, deployment models distinguish where the cloud runs and who controls it. Four deployment models recur across enterprises; each has different cost, control, and resilience trade-offs.</w:t>
      </w:r>
    </w:p>
    <w:p>
      <w:pPr>
        <w:pStyle w:val="Heading2"/>
        <w:spacing w:after="160" w:before="280"/>
      </w:pPr>
      <w:r>
        <w:rPr>
          <w:b/>
          <w:bCs/>
          <w:color w:val="2E75B6"/>
        </w:rPr>
        <w:t xml:space="preserve">2.1 The Four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Cloud Deployment Models: </w:t>
            </w:r>
            <w:r>
              <w:t xml:space="preserve">Four named models: Public Cloud (provider runs infrastructure shared across customers); Private Cloud (infrastructure dedicated to one organisation, on-premise or hosted); Hybrid Cloud (combination of public and private with workload portability); Multi-Cloud (use of multiple public cloud providers concurrently).</w:t>
            </w:r>
          </w:p>
        </w:tc>
      </w:tr>
    </w:tbl>
    <w:p>
      <w:pPr>
        <w:pStyle w:val="Heading2"/>
        <w:spacing w:after="160" w:before="280"/>
      </w:pPr>
      <w:r>
        <w:rPr>
          <w:b/>
          <w:bCs/>
          <w:color w:val="2E75B6"/>
        </w:rPr>
        <w:t xml:space="preserve">2.2 Each Defined</w:t>
      </w:r>
    </w:p>
    <w:p>
      <w:pPr>
        <w:pStyle w:val="Heading3"/>
        <w:spacing w:after="120" w:before="220"/>
      </w:pPr>
      <w:r>
        <w:rPr>
          <w:b/>
          <w:bCs/>
          <w:color w:val="404040"/>
        </w:rPr>
        <w:t xml:space="preserve">Public Cloud</w:t>
      </w:r>
    </w:p>
    <w:p>
      <w:pPr>
        <w:spacing w:after="120" w:line="300"/>
        <w:jc w:val="both"/>
      </w:pPr>
      <w:r>
        <w:t xml:space="preserve">Cloud infrastructure shared across many customers, owned and operated by a third-party provider. AWS, Azure, Google Cloud, Oracle Cloud, IBM Cloud, Alibaba Cloud are the principal public providers. Customers consume services without owning the underlying infrastructure. The default model for most modern workloads.</w:t>
      </w:r>
    </w:p>
    <w:p>
      <w:pPr>
        <w:pStyle w:val="Heading3"/>
        <w:spacing w:after="120" w:before="220"/>
      </w:pPr>
      <w:r>
        <w:rPr>
          <w:b/>
          <w:bCs/>
          <w:color w:val="404040"/>
        </w:rPr>
        <w:t xml:space="preserve">Private Cloud</w:t>
      </w:r>
    </w:p>
    <w:p>
      <w:pPr>
        <w:spacing w:after="120" w:line="300"/>
        <w:jc w:val="both"/>
      </w:pPr>
      <w:r>
        <w:t xml:space="preserve">Cloud infrastructure dedicated to a single organisation. May be operated in the organisation's own data centres or hosted by a third party (managed private cloud). Provides the elasticity and self-service of cloud while meeting requirements (regulatory, sovereignty, sensitivity) that public cloud cannot address. Commonly implemented using OpenStack, VMware Cloud Foundation, or hyperscale providers' on-premise offerings (AWS Outposts, Azure Stack, Google Distributed Cloud).</w:t>
      </w:r>
    </w:p>
    <w:p>
      <w:pPr>
        <w:pStyle w:val="Heading3"/>
        <w:spacing w:after="120" w:before="220"/>
      </w:pPr>
      <w:r>
        <w:rPr>
          <w:b/>
          <w:bCs/>
          <w:color w:val="404040"/>
        </w:rPr>
        <w:t xml:space="preserve">Hybrid Cloud</w:t>
      </w:r>
    </w:p>
    <w:p>
      <w:pPr>
        <w:spacing w:after="120" w:line="300"/>
        <w:jc w:val="both"/>
      </w:pPr>
      <w:r>
        <w:t xml:space="preserve">Combination of public and private cloud with workload portability between them. Workloads can run on private cloud and burst to public cloud for capacity, or run on public cloud for development and private cloud for production, or be split based on regulatory or sovereignty constraints. Requires substantial integration work to make the two halves operate as a single platform.</w:t>
      </w:r>
    </w:p>
    <w:p>
      <w:pPr>
        <w:pStyle w:val="Heading3"/>
        <w:spacing w:after="120" w:before="220"/>
      </w:pPr>
      <w:r>
        <w:rPr>
          <w:b/>
          <w:bCs/>
          <w:color w:val="404040"/>
        </w:rPr>
        <w:t xml:space="preserve">Multi-Cloud</w:t>
      </w:r>
    </w:p>
    <w:p>
      <w:pPr>
        <w:spacing w:after="120" w:line="300"/>
        <w:jc w:val="both"/>
      </w:pPr>
      <w:r>
        <w:t xml:space="preserve">Use of multiple public cloud providers concurrently. May be done deliberately (using best-of-breed services from each) or as a result of acquisitions and historical decisions. Provides resilience against provider-specific outages and reduces dependency on a single vendor, at the cost of operational complexity and inconsistency. Most large enterprises are de facto multi-cloud (with one primary provider and significant secondary use of others).</w:t>
      </w:r>
    </w:p>
    <w:p>
      <w:pPr>
        <w:pStyle w:val="Heading2"/>
        <w:spacing w:after="160" w:before="280"/>
      </w:pPr>
      <w:r>
        <w:rPr>
          <w:b/>
          <w:bCs/>
          <w:color w:val="2E75B6"/>
        </w:rPr>
        <w:t xml:space="preserve">2.3 The Four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5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Model</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Where It Runs</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Strengths</w:t>
            </w:r>
          </w:p>
        </w:tc>
        <w:tc>
          <w:tcPr>
            <w:tcW w:type="dxa" w:w="25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Weaknesses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Public</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Shared infrastructure of one provider</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Elasticity, breadth of services, low capex</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Vendor concentration, data sovereignty concerns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Private</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Dedicated infrastructure (own DC or hosted)</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Control, sovereignty, regulatory fit</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High capex, slower innovation, smaller service catalogue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Hybrid</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Mix of public and private with portability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Best of both; workload placement flexibility</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Integration complexity; consistency challenges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Multi-Cloud</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Multiple public providers concurrently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Resilience, best-of-breed selection, vendor leverage</w:t>
            </w:r>
          </w:p>
        </w:tc>
        <w:tc>
          <w:tcPr>
            <w:tcW w:type="dxa" w:w="25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 complexity, inconsistent practices, harder to optimise</w:t>
            </w:r>
          </w:p>
        </w:tc>
      </w:tr>
    </w:tbl>
    <w:p>
      <w:r>
        <w:br w:type="page"/>
      </w:r>
    </w:p>
    <w:p>
      <w:pPr>
        <w:pStyle w:val="Heading1"/>
        <w:spacing w:after="200" w:before="360"/>
      </w:pPr>
      <w:r>
        <w:rPr>
          <w:b/>
          <w:bCs/>
          <w:color w:val="1F4E78"/>
        </w:rPr>
        <w:t xml:space="preserve">3. Cloud-First as an Architecture Principle</w:t>
      </w:r>
    </w:p>
    <w:p>
      <w:pPr>
        <w:spacing w:after="120" w:line="300"/>
        <w:jc w:val="both"/>
      </w:pPr>
      <w:r>
        <w:t xml:space="preserve">Cloud-First is the principle that new development defaults to cloud-native deployment unless specific reasons require otherwise. It is established in the Preliminary Phase as one of the enterprise's Architecture Principles (Module 15) and shapes Phase D defaults thereafter.</w:t>
      </w:r>
    </w:p>
    <w:p>
      <w:pPr>
        <w:pStyle w:val="Heading2"/>
        <w:spacing w:after="160" w:before="280"/>
      </w:pPr>
      <w:r>
        <w:rPr>
          <w:b/>
          <w:bCs/>
          <w:color w:val="2E75B6"/>
        </w:rPr>
        <w:t xml:space="preserve">3.1 What Cloud-First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Cloud-First Principle: </w:t>
            </w:r>
            <w:r>
              <w:t xml:space="preserve">An enterprise Architecture Principle establishing that new workloads default to cloud (typically public cloud) deployment using cloud-native patterns, unless a specific case for alternative deployment is approved. Drives Phase D defaults: cloud landing zones, managed services, container orchestration, infrastructure-as-code. Replaces the older "build and run our own data centres" default that many enterprises operated on into the 2010s.</w:t>
            </w:r>
          </w:p>
        </w:tc>
      </w:tr>
    </w:tbl>
    <w:p>
      <w:pPr>
        <w:pStyle w:val="Heading2"/>
        <w:spacing w:after="160" w:before="280"/>
      </w:pPr>
      <w:r>
        <w:rPr>
          <w:b/>
          <w:bCs/>
          <w:color w:val="2E75B6"/>
        </w:rPr>
        <w:t xml:space="preserve">3.2 Cloud-First in Standard Principle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Cloud-First as a Principle (Module 15 four-part format)</w:t>
            </w:r>
          </w:p>
          <w:p>
            <w:pPr>
              <w:spacing w:after="60" w:line="280"/>
              <w:jc w:val="both"/>
            </w:pPr>
            <w:r>
              <w:t xml:space="preserve">Name: Cloud-First.</w:t>
            </w:r>
          </w:p>
          <w:p>
            <w:pPr>
              <w:spacing w:after="60" w:line="280"/>
              <w:jc w:val="both"/>
            </w:pPr>
            <w:r>
              <w:t xml:space="preserve">Statement: New workloads will be designed for and deployed to cloud-native managed platforms. Alternative deployments require explicit approval based on a documented case for exception.</w:t>
            </w:r>
          </w:p>
          <w:p>
            <w:pPr>
              <w:spacing w:after="60" w:line="280"/>
              <w:jc w:val="both"/>
            </w:pPr>
            <w:r>
              <w:t xml:space="preserve">Rationale: Cloud-native platforms deliver elasticity, operational efficiency, modern feature sets, and cost models that are not achievable with traditional on-premise infrastructure. Defaulting to cloud avoids the per-engagement debate and ensures the enterprise consistently captures cloud benefits.</w:t>
            </w:r>
          </w:p>
          <w:p>
            <w:pPr>
              <w:spacing w:after="60" w:line="280"/>
              <w:jc w:val="both"/>
            </w:pPr>
            <w:r>
              <w:t xml:space="preserve">Implications: (1) Architecture engagements design for cloud-native patterns by default. (2) Phase D references the corporate cloud landing zone as the deployment target. (3) Workloads not designed for cloud-native operation (legacy applications without an obvious cloud equivalent) trigger explicit Phase E disposition decisions (Refactor / Replatform / Retire — see Section 8). (4) Operational practices (DevOps, observability, FinOps) align with cloud-native delivery. (5) Skills development emphasises cloud-native engineering. (6) Sovereignty or regulatory exceptions require explicit approval and documented mitigations.</w:t>
            </w:r>
          </w:p>
          <w:p>
            <w:pPr>
              <w:spacing w:after="60" w:line="280"/>
              <w:jc w:val="both"/>
            </w:pPr>
            <w:r>
              <w:t xml:space="preserve">Each part populated; the principle survives all five quality criteria from Module 15.</w:t>
            </w:r>
          </w:p>
        </w:tc>
      </w:tr>
    </w:tbl>
    <w:p>
      <w:pPr>
        <w:pStyle w:val="Heading2"/>
        <w:spacing w:after="160" w:before="280"/>
      </w:pPr>
      <w:r>
        <w:rPr>
          <w:b/>
          <w:bCs/>
          <w:color w:val="2E75B6"/>
        </w:rPr>
        <w:t xml:space="preserve">3.3 How Cloud-First Drives Phase D Defaults</w:t>
      </w:r>
    </w:p>
    <w:p>
      <w:pPr>
        <w:spacing w:after="120" w:line="300"/>
        <w:jc w:val="both"/>
      </w:pPr>
      <w:r>
        <w:t xml:space="preserve">With Cloud-First adopted, Phase D begins from a different starting point than it did when on-premise was the default:</w:t>
      </w:r>
    </w:p>
    <w:p>
      <w:pPr>
        <w:pStyle w:val="ListParagraph"/>
        <w:numPr>
          <w:ilvl w:val="0"/>
          <w:numId w:val="2"/>
        </w:numPr>
        <w:spacing w:after="80" w:line="280"/>
      </w:pPr>
      <w:r>
        <w:t xml:space="preserve">The Technology Architecture target is the cloud landing zone (Section 5) not a data centre design.</w:t>
      </w:r>
    </w:p>
    <w:p>
      <w:pPr>
        <w:pStyle w:val="ListParagraph"/>
        <w:numPr>
          <w:ilvl w:val="0"/>
          <w:numId w:val="2"/>
        </w:numPr>
        <w:spacing w:after="80" w:line="280"/>
      </w:pPr>
      <w:r>
        <w:t xml:space="preserve">Compute is containers and serverless functions rather than virtual machines.</w:t>
      </w:r>
    </w:p>
    <w:p>
      <w:pPr>
        <w:pStyle w:val="ListParagraph"/>
        <w:numPr>
          <w:ilvl w:val="0"/>
          <w:numId w:val="2"/>
        </w:numPr>
        <w:spacing w:after="80" w:line="280"/>
      </w:pPr>
      <w:r>
        <w:t xml:space="preserve">Storage is managed object stores and managed databases rather than provisioned arrays.</w:t>
      </w:r>
    </w:p>
    <w:p>
      <w:pPr>
        <w:pStyle w:val="ListParagraph"/>
        <w:numPr>
          <w:ilvl w:val="0"/>
          <w:numId w:val="2"/>
        </w:numPr>
        <w:spacing w:after="80" w:line="280"/>
      </w:pPr>
      <w:r>
        <w:t xml:space="preserve">Networking is software-defined within the cloud rather than hardware-centric.</w:t>
      </w:r>
    </w:p>
    <w:p>
      <w:pPr>
        <w:pStyle w:val="ListParagraph"/>
        <w:numPr>
          <w:ilvl w:val="0"/>
          <w:numId w:val="2"/>
        </w:numPr>
        <w:spacing w:after="80" w:line="280"/>
      </w:pPr>
      <w:r>
        <w:t xml:space="preserve">Security is identity-centric rather than perimeter-centric.</w:t>
      </w:r>
    </w:p>
    <w:p>
      <w:pPr>
        <w:pStyle w:val="ListParagraph"/>
        <w:numPr>
          <w:ilvl w:val="0"/>
          <w:numId w:val="2"/>
        </w:numPr>
        <w:spacing w:after="80" w:line="280"/>
      </w:pPr>
      <w:r>
        <w:t xml:space="preserve">Operational concerns shift from infrastructure operation to platform consumption — the architecture's job is to use cloud platforms well, not to build alternative infrastructure.</w:t>
      </w:r>
    </w:p>
    <w:p>
      <w:r>
        <w:br w:type="page"/>
      </w:r>
    </w:p>
    <w:p>
      <w:pPr>
        <w:pStyle w:val="Heading1"/>
        <w:spacing w:after="200" w:before="360"/>
      </w:pPr>
      <w:r>
        <w:rPr>
          <w:b/>
          <w:bCs/>
          <w:color w:val="1F4E78"/>
        </w:rPr>
        <w:t xml:space="preserve">4. Internal Developer Platform (IDP)</w:t>
      </w:r>
    </w:p>
    <w:p>
      <w:pPr>
        <w:spacing w:after="120" w:line="300"/>
        <w:jc w:val="both"/>
      </w:pPr>
      <w:r>
        <w:t xml:space="preserve">The Internal Developer Platform — confusingly abbreviated IDP, the same as Identity Provider in Module 19; context disambiguates — is the modern pattern for how enterprises provide cloud services to their development teams. It is a deliberate architectural pattern that produces consistent, governed, productive developer experiences without requiring every team to learn the underlying cloud primitives. Modern Phase D outputs typically include an IDP architecture as the operating model for cloud consumption.</w:t>
      </w:r>
    </w:p>
    <w:p>
      <w:pPr>
        <w:pStyle w:val="Heading2"/>
        <w:spacing w:after="160" w:before="280"/>
      </w:pPr>
      <w:r>
        <w:rPr>
          <w:b/>
          <w:bCs/>
          <w:color w:val="2E75B6"/>
        </w:rPr>
        <w:t xml:space="preserve">4.1 What an IDP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Internal Developer Platform (IDP): </w:t>
            </w:r>
            <w:r>
              <w:t xml:space="preserve">A curated platform built on top of cloud infrastructure that provides developers with self-service access to consistent, governed paths for delivering software. Abstracts cloud primitives behind enterprise-specific interfaces, golden paths, and pre-configured templates. Modern Phase D output for cloud-native enterprises. Delivered through tools like Backstage (originally from Spotify, now CNCF), Humanitec, Port, or custom implementations.</w:t>
            </w:r>
          </w:p>
        </w:tc>
      </w:tr>
    </w:tbl>
    <w:p>
      <w:pPr>
        <w:pStyle w:val="Heading2"/>
        <w:spacing w:after="160" w:before="280"/>
      </w:pPr>
      <w:r>
        <w:rPr>
          <w:b/>
          <w:bCs/>
          <w:color w:val="2E75B6"/>
        </w:rPr>
        <w:t xml:space="preserve">4.2 Why IDPs Exist</w:t>
      </w:r>
    </w:p>
    <w:p>
      <w:pPr>
        <w:spacing w:after="120" w:line="300"/>
        <w:jc w:val="both"/>
      </w:pPr>
      <w:r>
        <w:t xml:space="preserve">Three reasons modern enterprises invest in IDP rather than letting teams use cloud services directly:</w:t>
      </w:r>
    </w:p>
    <w:p>
      <w:pPr>
        <w:pStyle w:val="ListParagraph"/>
        <w:numPr>
          <w:ilvl w:val="0"/>
          <w:numId w:val="3"/>
        </w:numPr>
        <w:spacing w:after="80" w:line="280"/>
      </w:pPr>
      <w:r>
        <w:t xml:space="preserve">Cognitive load reduction. Modern cloud has hundreds of services; understanding even a working subset takes months. Most developers should be writing application code, not learning cloud primitives. The IDP hides the primitives behind enterprise-specific interfaces — "deploy a service" rather than "create an EKS task definition, configure ALB, set up service discovery, attach IAM policies, configure CloudWatch logs".</w:t>
      </w:r>
    </w:p>
    <w:p>
      <w:pPr>
        <w:pStyle w:val="ListParagraph"/>
        <w:numPr>
          <w:ilvl w:val="0"/>
          <w:numId w:val="3"/>
        </w:numPr>
        <w:spacing w:after="80" w:line="280"/>
      </w:pPr>
      <w:r>
        <w:t xml:space="preserve">Consistency and governance. Without a platform, every team makes different choices: different observability tools, different deployment patterns, different security configurations. The platform provides golden paths that bake in the governed choices, so consistency is the default rather than something to enforce per-engagement.</w:t>
      </w:r>
    </w:p>
    <w:p>
      <w:pPr>
        <w:pStyle w:val="ListParagraph"/>
        <w:numPr>
          <w:ilvl w:val="0"/>
          <w:numId w:val="3"/>
        </w:numPr>
        <w:spacing w:after="80" w:line="280"/>
      </w:pPr>
      <w:r>
        <w:t xml:space="preserve">Productivity. Self-service delivery is faster than tickets to a central platform team. The IDP gives teams the autonomy of self-service while preserving the consistency of central control.</w:t>
      </w:r>
    </w:p>
    <w:p>
      <w:pPr>
        <w:pStyle w:val="Heading2"/>
        <w:spacing w:after="160" w:before="280"/>
      </w:pPr>
      <w:r>
        <w:rPr>
          <w:b/>
          <w:bCs/>
          <w:color w:val="2E75B6"/>
        </w:rPr>
        <w:t xml:space="preserve">4.3 IDP Components</w:t>
      </w:r>
    </w:p>
    <w:p>
      <w:pPr>
        <w:spacing w:after="120" w:line="300"/>
        <w:jc w:val="both"/>
      </w:pPr>
      <w:r>
        <w:t xml:space="preserve">A typical IDP contains:</w:t>
      </w:r>
    </w:p>
    <w:p>
      <w:pPr>
        <w:pStyle w:val="ListParagraph"/>
        <w:numPr>
          <w:ilvl w:val="0"/>
          <w:numId w:val="2"/>
        </w:numPr>
        <w:spacing w:after="80" w:line="280"/>
      </w:pPr>
      <w:r>
        <w:t xml:space="preserve">Service Catalogue — a self-service catalogue of golden paths ("new microservice", "new web app", "new ML training pipeline"), each backed by templates and automation.</w:t>
      </w:r>
    </w:p>
    <w:p>
      <w:pPr>
        <w:pStyle w:val="ListParagraph"/>
        <w:numPr>
          <w:ilvl w:val="0"/>
          <w:numId w:val="2"/>
        </w:numPr>
        <w:spacing w:after="80" w:line="280"/>
      </w:pPr>
      <w:r>
        <w:t xml:space="preserve">Software Templates — pre-configured starters that scaffold a new project with all enterprise standards already in place (CI/CD, observability, security, secret management, deployment).</w:t>
      </w:r>
    </w:p>
    <w:p>
      <w:pPr>
        <w:pStyle w:val="ListParagraph"/>
        <w:numPr>
          <w:ilvl w:val="0"/>
          <w:numId w:val="2"/>
        </w:numPr>
        <w:spacing w:after="80" w:line="280"/>
      </w:pPr>
      <w:r>
        <w:t xml:space="preserve">Developer Portal — the single UI through which developers interact with the platform; lists their services, dependencies, runbooks, on-call rotations, deployments.</w:t>
      </w:r>
    </w:p>
    <w:p>
      <w:pPr>
        <w:pStyle w:val="ListParagraph"/>
        <w:numPr>
          <w:ilvl w:val="0"/>
          <w:numId w:val="2"/>
        </w:numPr>
        <w:spacing w:after="80" w:line="280"/>
      </w:pPr>
      <w:r>
        <w:t xml:space="preserve">Service Catalogue / TechDocs — central catalogue of all services with ownership, status, and documentation.</w:t>
      </w:r>
    </w:p>
    <w:p>
      <w:pPr>
        <w:pStyle w:val="ListParagraph"/>
        <w:numPr>
          <w:ilvl w:val="0"/>
          <w:numId w:val="2"/>
        </w:numPr>
        <w:spacing w:after="80" w:line="280"/>
      </w:pPr>
      <w:r>
        <w:t xml:space="preserve">Workflow Automation — orchestration of the steps from "I want to create a new service" to "the service is in production" without manual platform-team intervention.</w:t>
      </w:r>
    </w:p>
    <w:p>
      <w:pPr>
        <w:pStyle w:val="Heading2"/>
        <w:spacing w:after="160" w:before="280"/>
      </w:pPr>
      <w:r>
        <w:rPr>
          <w:b/>
          <w:bCs/>
          <w:color w:val="2E75B6"/>
        </w:rPr>
        <w:t xml:space="preserve">4.4 How an IDP Maps to TOGAF Phases</w:t>
      </w:r>
    </w:p>
    <w:p>
      <w:pPr>
        <w:pStyle w:val="ListParagraph"/>
        <w:numPr>
          <w:ilvl w:val="0"/>
          <w:numId w:val="2"/>
        </w:numPr>
        <w:spacing w:after="80" w:line="280"/>
      </w:pPr>
      <w:r>
        <w:t xml:space="preserve">Phase D — the IDP is the architectural pattern for the technology layer; the landing zone (Section 5) provides infrastructure, the IDP provides consumable abstraction over it.</w:t>
      </w:r>
    </w:p>
    <w:p>
      <w:pPr>
        <w:pStyle w:val="ListParagraph"/>
        <w:numPr>
          <w:ilvl w:val="0"/>
          <w:numId w:val="2"/>
        </w:numPr>
        <w:spacing w:after="80" w:line="280"/>
      </w:pPr>
      <w:r>
        <w:t xml:space="preserve">Phase E — adopting an IDP is typically a major Work Package, often delivered as its own programme over 12–24 months.</w:t>
      </w:r>
    </w:p>
    <w:p>
      <w:pPr>
        <w:pStyle w:val="ListParagraph"/>
        <w:numPr>
          <w:ilvl w:val="0"/>
          <w:numId w:val="2"/>
        </w:numPr>
        <w:spacing w:after="80" w:line="280"/>
      </w:pPr>
      <w:r>
        <w:t xml:space="preserve">Phase G — the IDP itself is governed; the golden paths it offers are the "approved" patterns, and projects deploying outside golden paths require dispensation.</w:t>
      </w:r>
    </w:p>
    <w:p>
      <w:pPr>
        <w:pStyle w:val="ListParagraph"/>
        <w:numPr>
          <w:ilvl w:val="0"/>
          <w:numId w:val="2"/>
        </w:numPr>
        <w:spacing w:after="80" w:line="280"/>
      </w:pPr>
      <w:r>
        <w:t xml:space="preserve">Phase H — the IDP evolves continuously, with new templates added, deprecated patterns removed, and integration improved over time.</w:t>
      </w:r>
    </w:p>
    <w:p>
      <w:r>
        <w:br w:type="page"/>
      </w:r>
    </w:p>
    <w:p>
      <w:pPr>
        <w:pStyle w:val="Heading1"/>
        <w:spacing w:after="200" w:before="360"/>
      </w:pPr>
      <w:r>
        <w:rPr>
          <w:b/>
          <w:bCs/>
          <w:color w:val="1F4E78"/>
        </w:rPr>
        <w:t xml:space="preserve">5. Cloud Landing Zone</w:t>
      </w:r>
    </w:p>
    <w:p>
      <w:pPr>
        <w:spacing w:after="120" w:line="300"/>
        <w:jc w:val="both"/>
      </w:pPr>
      <w:r>
        <w:t xml:space="preserve">The Cloud Landing Zone is the foundational pattern for how an enterprise organises and operates its cloud presence. It is what an enterprise builds first when adopting cloud — the structure into which all subsequent cloud workloads are deployed. Every modern cloud-adopted enterprise has either a deliberate landing zone or an accidental landing-zone-shaped problem produced by the lack of one.</w:t>
      </w:r>
    </w:p>
    <w:p>
      <w:pPr>
        <w:pStyle w:val="Heading2"/>
        <w:spacing w:after="160" w:before="280"/>
      </w:pPr>
      <w:r>
        <w:rPr>
          <w:b/>
          <w:bCs/>
          <w:color w:val="2E75B6"/>
        </w:rPr>
        <w:t xml:space="preserve">5.1 What a Landing Zone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Cloud Landing Zone: </w:t>
            </w:r>
            <w:r>
              <w:t xml:space="preserve">The foundational organisational structure of an enterprise's cloud presence. Comprises a hierarchy of accounts (or subscriptions, or projects, depending on cloud provider) with defined purposes, governance, and connectivity. Provides isolation, governance, and standardisation for all subsequent cloud workloads. Established before substantial cloud workload migration; expanded as the enterprise's cloud presence grows.</w:t>
            </w:r>
          </w:p>
        </w:tc>
      </w:tr>
    </w:tbl>
    <w:p>
      <w:pPr>
        <w:pStyle w:val="Heading2"/>
        <w:spacing w:after="160" w:before="280"/>
      </w:pPr>
      <w:r>
        <w:rPr>
          <w:b/>
          <w:bCs/>
          <w:color w:val="2E75B6"/>
        </w:rPr>
        <w:t xml:space="preserve">5.2 The Five Standard Account Categories</w:t>
      </w:r>
    </w:p>
    <w:p>
      <w:pPr>
        <w:spacing w:after="120" w:line="300"/>
        <w:jc w:val="both"/>
      </w:pPr>
      <w:r>
        <w:t xml:space="preserve">A standard landing zone organises cloud accounts into five categories, each with a specific purpose:</w:t>
      </w:r>
    </w:p>
    <w:p>
      <w:pPr>
        <w:pStyle w:val="Heading3"/>
        <w:spacing w:after="120" w:before="220"/>
      </w:pPr>
      <w:r>
        <w:rPr>
          <w:b/>
          <w:bCs/>
          <w:color w:val="404040"/>
        </w:rPr>
        <w:t xml:space="preserve">Category 1: Management Accounts</w:t>
      </w:r>
    </w:p>
    <w:p>
      <w:pPr>
        <w:spacing w:after="120" w:line="300"/>
        <w:jc w:val="both"/>
      </w:pPr>
      <w:r>
        <w:t xml:space="preserve">The accounts that govern the rest. Includes: the master payer / billing account; the organisations management account; identity and access governance account; service control policy enforcement. The Management accounts establish the parent control plane; everything else operates under their constraints.</w:t>
      </w:r>
    </w:p>
    <w:p>
      <w:pPr>
        <w:pStyle w:val="Heading3"/>
        <w:spacing w:after="120" w:before="220"/>
      </w:pPr>
      <w:r>
        <w:rPr>
          <w:b/>
          <w:bCs/>
          <w:color w:val="404040"/>
        </w:rPr>
        <w:t xml:space="preserve">Category 2: Security Accounts</w:t>
      </w:r>
    </w:p>
    <w:p>
      <w:pPr>
        <w:spacing w:after="120" w:line="300"/>
        <w:jc w:val="both"/>
      </w:pPr>
      <w:r>
        <w:t xml:space="preserve">Accounts dedicated to security and compliance functions. Includes: a centralised security tooling account (where SIEM aggregates logs from everywhere else); a security audit account (with read-only access to other accounts for compliance verification); a centralised IAM account if not in Management. Isolating security tooling into its own account prevents the security tooling from being compromised when a workload account is compromised.</w:t>
      </w:r>
    </w:p>
    <w:p>
      <w:pPr>
        <w:pStyle w:val="Heading3"/>
        <w:spacing w:after="120" w:before="220"/>
      </w:pPr>
      <w:r>
        <w:rPr>
          <w:b/>
          <w:bCs/>
          <w:color w:val="404040"/>
        </w:rPr>
        <w:t xml:space="preserve">Category 3: Logging Accounts</w:t>
      </w:r>
    </w:p>
    <w:p>
      <w:pPr>
        <w:spacing w:after="120" w:line="300"/>
        <w:jc w:val="both"/>
      </w:pPr>
      <w:r>
        <w:t xml:space="preserve">Accounts dedicated to log aggregation and retention. Includes: a centralised logging account that receives logs from every other account; long-term archival storage with WORM (write-once-read-many) properties to prevent log tampering; the SIEM ingestion infrastructure. Isolating logging accounts ensures that an attacker who compromises a workload cannot also delete the evidence of the compromise.</w:t>
      </w:r>
    </w:p>
    <w:p>
      <w:pPr>
        <w:pStyle w:val="Heading3"/>
        <w:spacing w:after="120" w:before="220"/>
      </w:pPr>
      <w:r>
        <w:rPr>
          <w:b/>
          <w:bCs/>
          <w:color w:val="404040"/>
        </w:rPr>
        <w:t xml:space="preserve">Category 4: Network Accounts</w:t>
      </w:r>
    </w:p>
    <w:p>
      <w:pPr>
        <w:spacing w:after="120" w:line="300"/>
        <w:jc w:val="both"/>
      </w:pPr>
      <w:r>
        <w:t xml:space="preserve">Accounts dedicated to shared network infrastructure. Includes: transit gateways or hub VPCs that connect workload accounts; on-premise connectivity (Direct Connect / ExpressRoute / Partner Interconnect); shared services such as DNS, certificate authorities, network appliances. The Network accounts provide the connective tissue without burdening each workload account with managing its own connectivity.</w:t>
      </w:r>
    </w:p>
    <w:p>
      <w:pPr>
        <w:pStyle w:val="Heading3"/>
        <w:spacing w:after="120" w:before="220"/>
      </w:pPr>
      <w:r>
        <w:rPr>
          <w:b/>
          <w:bCs/>
          <w:color w:val="404040"/>
        </w:rPr>
        <w:t xml:space="preserve">Category 5: Workload Accounts</w:t>
      </w:r>
    </w:p>
    <w:p>
      <w:pPr>
        <w:spacing w:after="120" w:line="300"/>
        <w:jc w:val="both"/>
      </w:pPr>
      <w:r>
        <w:t xml:space="preserve">The accounts where actual application workloads run. Typically organised by environment (dev/test/preprod/prod), by business unit, or by capability. Workload accounts are the consumers of the rest of the landing zone — they consume Network connectivity, send logs to Logging accounts, are governed by Security accounts, and are billed by Management accounts.</w:t>
      </w:r>
    </w:p>
    <w:p>
      <w:pPr>
        <w:pStyle w:val="Heading2"/>
        <w:spacing w:after="160" w:before="280"/>
      </w:pPr>
      <w:r>
        <w:rPr>
          <w:b/>
          <w:bCs/>
          <w:color w:val="2E75B6"/>
        </w:rPr>
        <w:t xml:space="preserve">5.3 The Five Categories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Category</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Purpose</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 Contents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Management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Govern the rest of the landing zone</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Master payer, org management, SCPs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Security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Dedicated security and compliance functions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SIEM aggregation, audit access, security tooling</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Logging</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Centralised log aggregation and retention</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Log archival, SIEM ingestion, WORM storage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Network</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Shared network infrastructure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Transit gateways, on-premise connectivity, DNS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Workload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Where actual applications run</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Per-environment / per-BU / per-capability accounts</w:t>
            </w:r>
          </w:p>
        </w:tc>
      </w:tr>
    </w:tbl>
    <w:p>
      <w:pPr>
        <w:pStyle w:val="Heading2"/>
        <w:spacing w:after="160" w:before="280"/>
      </w:pPr>
      <w:r>
        <w:rPr>
          <w:b/>
          <w:bCs/>
          <w:color w:val="2E75B6"/>
        </w:rPr>
        <w:t xml:space="preserve">5.4 Why Account Separation</w:t>
      </w:r>
    </w:p>
    <w:p>
      <w:pPr>
        <w:spacing w:after="120" w:line="300"/>
        <w:jc w:val="both"/>
      </w:pPr>
      <w:r>
        <w:t xml:space="preserve">Three reasons the landing zone uses separate accounts rather than a single account with internal divisions:</w:t>
      </w:r>
    </w:p>
    <w:p>
      <w:pPr>
        <w:pStyle w:val="ListParagraph"/>
        <w:numPr>
          <w:ilvl w:val="0"/>
          <w:numId w:val="3"/>
        </w:numPr>
        <w:spacing w:after="80" w:line="280"/>
      </w:pPr>
      <w:r>
        <w:t xml:space="preserve">Blast radius. A compromise (or misconfiguration, or out-of-control resource consumption) in one account does not affect the others. Accounts are the strongest available isolation boundary in modern cloud.</w:t>
      </w:r>
    </w:p>
    <w:p>
      <w:pPr>
        <w:pStyle w:val="ListParagraph"/>
        <w:numPr>
          <w:ilvl w:val="0"/>
          <w:numId w:val="3"/>
        </w:numPr>
        <w:spacing w:after="80" w:line="280"/>
      </w:pPr>
      <w:r>
        <w:t xml:space="preserve">Governance. Cloud governance (service control policies, organisation-level policies, billing) operates at account level. Separating concerns into separate accounts gives finer-grained governance.</w:t>
      </w:r>
    </w:p>
    <w:p>
      <w:pPr>
        <w:pStyle w:val="ListParagraph"/>
        <w:numPr>
          <w:ilvl w:val="0"/>
          <w:numId w:val="3"/>
        </w:numPr>
        <w:spacing w:after="80" w:line="280"/>
      </w:pPr>
      <w:r>
        <w:t xml:space="preserve">Cost transparency. Per-account billing surfaces what each capability or business unit actually costs without complex cost-allocation work.</w:t>
      </w:r>
    </w:p>
    <w:p>
      <w:pPr>
        <w:pStyle w:val="Heading2"/>
        <w:spacing w:after="160" w:before="280"/>
      </w:pPr>
      <w:r>
        <w:rPr>
          <w:b/>
          <w:bCs/>
          <w:color w:val="2E75B6"/>
        </w:rPr>
        <w:t xml:space="preserve">5.5 Cloud-Provider Implementations</w:t>
      </w:r>
    </w:p>
    <w:p>
      <w:pPr>
        <w:spacing w:after="120" w:line="300"/>
        <w:jc w:val="both"/>
      </w:pPr>
      <w:r>
        <w:t xml:space="preserve">The landing zone pattern is implemented by each major cloud provider with provider-specific tooling:</w:t>
      </w:r>
    </w:p>
    <w:p>
      <w:pPr>
        <w:pStyle w:val="ListParagraph"/>
        <w:numPr>
          <w:ilvl w:val="0"/>
          <w:numId w:val="2"/>
        </w:numPr>
        <w:spacing w:after="80" w:line="280"/>
      </w:pPr>
      <w:r>
        <w:t xml:space="preserve">AWS Control Tower + AWS Organizations + Service Control Policies + AWS Config + Security Hub.</w:t>
      </w:r>
    </w:p>
    <w:p>
      <w:pPr>
        <w:pStyle w:val="ListParagraph"/>
        <w:numPr>
          <w:ilvl w:val="0"/>
          <w:numId w:val="2"/>
        </w:numPr>
        <w:spacing w:after="80" w:line="280"/>
      </w:pPr>
      <w:r>
        <w:t xml:space="preserve">Azure Landing Zones (Microsoft's reference implementation) + Azure Policy + Azure Lighthouse + Microsoft Defender for Cloud.</w:t>
      </w:r>
    </w:p>
    <w:p>
      <w:pPr>
        <w:pStyle w:val="ListParagraph"/>
        <w:numPr>
          <w:ilvl w:val="0"/>
          <w:numId w:val="2"/>
        </w:numPr>
        <w:spacing w:after="80" w:line="280"/>
      </w:pPr>
      <w:r>
        <w:t xml:space="preserve">Google Cloud Foundation Toolkit + Resource Manager + Organization Policies + Security Command Center.</w:t>
      </w:r>
    </w:p>
    <w:p>
      <w:pPr>
        <w:spacing w:after="120" w:line="300"/>
        <w:jc w:val="both"/>
      </w:pPr>
      <w:r>
        <w:t xml:space="preserve">Each provider's reference architecture maps to the same five-category structure with different naming. The pattern is universal; the implementation is provider-specific.</w:t>
      </w:r>
    </w:p>
    <w:p>
      <w:r>
        <w:br w:type="page"/>
      </w:r>
    </w:p>
    <w:p>
      <w:pPr>
        <w:pStyle w:val="Heading1"/>
        <w:spacing w:after="200" w:before="360"/>
      </w:pPr>
      <w:r>
        <w:rPr>
          <w:b/>
          <w:bCs/>
          <w:color w:val="1F4E78"/>
        </w:rPr>
        <w:t xml:space="preserve">6. API Economy Architecture</w:t>
      </w:r>
    </w:p>
    <w:p>
      <w:pPr>
        <w:spacing w:after="120" w:line="300"/>
        <w:jc w:val="both"/>
      </w:pPr>
      <w:r>
        <w:t xml:space="preserve">The API economy refers to the architectural and business pattern in which capabilities are exposed as APIs that internal and external consumers can integrate with programmatically. The standard architectural shape — API Gateway → Microservices → Event Bus → Data Platform — recurs across modern enterprises and is the reference structure for digital architecture.</w:t>
      </w:r>
    </w:p>
    <w:p>
      <w:pPr>
        <w:pStyle w:val="Heading2"/>
        <w:spacing w:after="160" w:before="280"/>
      </w:pPr>
      <w:r>
        <w:rPr>
          <w:b/>
          <w:bCs/>
          <w:color w:val="2E75B6"/>
        </w:rPr>
        <w:t xml:space="preserve">6.1 The Four-Layer Reference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API Economy Architecture: </w:t>
            </w:r>
            <w:r>
              <w:t xml:space="preserve">The four-layer reference structure of modern digital architecture: (1) API Gateway — the entry point that policies, rate limits, authenticates, transforms; (2) Microservices — the layer of fine-grained services that implement business logic; (3) Event Bus — the asynchronous integration backbone connecting services; (4) Data Platform — the analytical and operational data infrastructure. The four layers together provide the complete shape of a modern, API-led architecture.</w:t>
            </w:r>
          </w:p>
        </w:tc>
      </w:tr>
    </w:tbl>
    <w:p>
      <w:pPr>
        <w:pStyle w:val="Heading2"/>
        <w:spacing w:after="160" w:before="280"/>
      </w:pPr>
      <w:r>
        <w:rPr>
          <w:b/>
          <w:bCs/>
          <w:color w:val="2E75B6"/>
        </w:rPr>
        <w:t xml:space="preserve">6.2 Each Layer Defined</w:t>
      </w:r>
    </w:p>
    <w:p>
      <w:pPr>
        <w:pStyle w:val="Heading3"/>
        <w:spacing w:after="120" w:before="220"/>
      </w:pPr>
      <w:r>
        <w:rPr>
          <w:b/>
          <w:bCs/>
          <w:color w:val="404040"/>
        </w:rPr>
        <w:t xml:space="preserve">Layer 1: API Gateway</w:t>
      </w:r>
    </w:p>
    <w:p>
      <w:pPr>
        <w:spacing w:after="120" w:line="300"/>
        <w:jc w:val="both"/>
      </w:pPr>
      <w:r>
        <w:t xml:space="preserve">The traffic-management entry point for synchronous API traffic. Functions: rate limiting; authentication and authorisation; request validation; response transformation; logging and observability; consumer management; quota enforcement; SLA monitoring. Examples: Apigee, Kong, AWS API Gateway, Azure API Management, Mulesoft Anypoint, Tyk. The Gateway is what makes APIs into a managed product rather than a raw exposure.</w:t>
      </w:r>
    </w:p>
    <w:p>
      <w:pPr>
        <w:pStyle w:val="Heading3"/>
        <w:spacing w:after="120" w:before="220"/>
      </w:pPr>
      <w:r>
        <w:rPr>
          <w:b/>
          <w:bCs/>
          <w:color w:val="404040"/>
        </w:rPr>
        <w:t xml:space="preserve">Layer 2: Microservices</w:t>
      </w:r>
    </w:p>
    <w:p>
      <w:pPr>
        <w:spacing w:after="120" w:line="300"/>
        <w:jc w:val="both"/>
      </w:pPr>
      <w:r>
        <w:t xml:space="preserve">Fine-grained services that implement business capabilities behind the Gateway. Each microservice owns a bounded business concern; services communicate via APIs (gateway-mediated for external, often direct or service-mesh-mediated for internal). Modern microservices typically follow Domain-Driven Design (Section 7) bounded contexts. Examples: containerised services on Kubernetes, FaaS functions, managed services with custom code.</w:t>
      </w:r>
    </w:p>
    <w:p>
      <w:pPr>
        <w:pStyle w:val="Heading3"/>
        <w:spacing w:after="120" w:before="220"/>
      </w:pPr>
      <w:r>
        <w:rPr>
          <w:b/>
          <w:bCs/>
          <w:color w:val="404040"/>
        </w:rPr>
        <w:t xml:space="preserve">Layer 3: Event Bus</w:t>
      </w:r>
    </w:p>
    <w:p>
      <w:pPr>
        <w:spacing w:after="120" w:line="300"/>
        <w:jc w:val="both"/>
      </w:pPr>
      <w:r>
        <w:t xml:space="preserve">The asynchronous integration backbone. Where API gateways handle synchronous request-response, the event bus handles asynchronous event flows — services publish events about things that have happened; other services subscribe and react. Examples: Apache Kafka, Apache Pulsar, AWS EventBridge / Kinesis, Azure Event Hubs / Event Grid, Google Pub/Sub. Section 11 covers event-driven patterns in detail.</w:t>
      </w:r>
    </w:p>
    <w:p>
      <w:pPr>
        <w:pStyle w:val="Heading3"/>
        <w:spacing w:after="120" w:before="220"/>
      </w:pPr>
      <w:r>
        <w:rPr>
          <w:b/>
          <w:bCs/>
          <w:color w:val="404040"/>
        </w:rPr>
        <w:t xml:space="preserve">Layer 4: Data Platform</w:t>
      </w:r>
    </w:p>
    <w:p>
      <w:pPr>
        <w:spacing w:after="120" w:line="300"/>
        <w:jc w:val="both"/>
      </w:pPr>
      <w:r>
        <w:t xml:space="preserve">The data infrastructure that supports both operational and analytical use. Operational data lives in transactional databases owned by microservices; analytical data flows from those databases (typically via change-data-capture or event-stream copies) into a centralised analytical platform. Section 9 covers the modern data platform structure in detail.</w:t>
      </w:r>
    </w:p>
    <w:p>
      <w:pPr>
        <w:pStyle w:val="Heading2"/>
        <w:spacing w:after="160" w:before="280"/>
      </w:pPr>
      <w:r>
        <w:rPr>
          <w:b/>
          <w:bCs/>
          <w:color w:val="2E75B6"/>
        </w:rPr>
        <w:t xml:space="preserve">6.3 The Layers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00"/>
        <w:gridCol w:w="1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Layer</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Purpose</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 Implementations</w:t>
            </w:r>
          </w:p>
        </w:tc>
        <w:tc>
          <w:tcPr>
            <w:tcW w:type="dxa" w:w="1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Modern Standards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API Gateway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Synchronous traffic management and policy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Apigee, Kong, AWS API Gateway</w:t>
            </w:r>
          </w:p>
        </w:tc>
        <w:tc>
          <w:tcPr>
            <w:tcW w:type="dxa" w:w="1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OpenAPI 3.x, OAuth 2.0, mTLS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Microservices</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Fine-grained business logic services</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Kubernetes containers, FaaS, managed services</w:t>
            </w:r>
          </w:p>
        </w:tc>
        <w:tc>
          <w:tcPr>
            <w:tcW w:type="dxa" w:w="1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12-factor, DDD bounded contexts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 Bus</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Asynchronous integration backbone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Kafka, EventBridge, Pub/Sub</w:t>
            </w:r>
          </w:p>
        </w:tc>
        <w:tc>
          <w:tcPr>
            <w:tcW w:type="dxa" w:w="1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AsyncAPI, CloudEvents, Avro/Protobuf</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Platform</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 and analytical data infrastructure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Snowflake, BigQuery, Databricks, modern data lake</w:t>
            </w:r>
          </w:p>
        </w:tc>
        <w:tc>
          <w:tcPr>
            <w:tcW w:type="dxa" w:w="1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Iceberg, Delta Lake, dbt</w:t>
            </w:r>
          </w:p>
        </w:tc>
      </w:tr>
    </w:tbl>
    <w:p>
      <w:pPr>
        <w:pStyle w:val="Heading2"/>
        <w:spacing w:after="160" w:before="280"/>
      </w:pPr>
      <w:r>
        <w:rPr>
          <w:b/>
          <w:bCs/>
          <w:color w:val="2E75B6"/>
        </w:rPr>
        <w:t xml:space="preserve">6.4 Why This Structure</w:t>
      </w:r>
    </w:p>
    <w:p>
      <w:pPr>
        <w:spacing w:after="120" w:line="300"/>
        <w:jc w:val="both"/>
      </w:pPr>
      <w:r>
        <w:t xml:space="preserve">The four-layer structure works because each layer has a distinct concern that benefits from explicit separation:</w:t>
      </w:r>
    </w:p>
    <w:p>
      <w:pPr>
        <w:pStyle w:val="ListParagraph"/>
        <w:numPr>
          <w:ilvl w:val="0"/>
          <w:numId w:val="2"/>
        </w:numPr>
        <w:spacing w:after="80" w:line="280"/>
      </w:pPr>
      <w:r>
        <w:t xml:space="preserve">Synchronous traffic (Gateway) and asynchronous traffic (Event Bus) have different performance, reliability, and governance properties; mixing them produces architectures that degrade poorly.</w:t>
      </w:r>
    </w:p>
    <w:p>
      <w:pPr>
        <w:pStyle w:val="ListParagraph"/>
        <w:numPr>
          <w:ilvl w:val="0"/>
          <w:numId w:val="2"/>
        </w:numPr>
        <w:spacing w:after="80" w:line="280"/>
      </w:pPr>
      <w:r>
        <w:t xml:space="preserve">Service logic (Microservices) and data analysis (Data Platform) have different access patterns and consistency requirements; mixing them produces transactional databases overloaded with analytical queries (the classic "reporting on production" antipattern).</w:t>
      </w:r>
    </w:p>
    <w:p>
      <w:pPr>
        <w:pStyle w:val="ListParagraph"/>
        <w:numPr>
          <w:ilvl w:val="0"/>
          <w:numId w:val="2"/>
        </w:numPr>
        <w:spacing w:after="80" w:line="280"/>
      </w:pPr>
      <w:r>
        <w:t xml:space="preserve">The four layers together provide complete coverage — every request, every event, every data flow has a layer that owns it.</w:t>
      </w:r>
    </w:p>
    <w:p>
      <w:r>
        <w:br w:type="page"/>
      </w:r>
    </w:p>
    <w:p>
      <w:pPr>
        <w:pStyle w:val="Heading1"/>
        <w:spacing w:after="200" w:before="360"/>
      </w:pPr>
      <w:r>
        <w:rPr>
          <w:b/>
          <w:bCs/>
          <w:color w:val="1F4E78"/>
        </w:rPr>
        <w:t xml:space="preserve">7. Microservices Migration — Strangler Fig, ACL, DDD</w:t>
      </w:r>
    </w:p>
    <w:p>
      <w:pPr>
        <w:spacing w:after="120" w:line="300"/>
        <w:jc w:val="both"/>
      </w:pPr>
      <w:r>
        <w:t xml:space="preserve">Most enterprises adopt microservices not by greenfield design but by migration from existing monolithic applications. The migration patterns — Strangler Fig, Anti-Corruption Layer, Domain-Driven Design bounded contexts — are exam-relevant because they recur across migration engagements and shape Phase E and F planning.</w:t>
      </w:r>
    </w:p>
    <w:p>
      <w:pPr>
        <w:pStyle w:val="Heading2"/>
        <w:spacing w:after="160" w:before="280"/>
      </w:pPr>
      <w:r>
        <w:rPr>
          <w:b/>
          <w:bCs/>
          <w:color w:val="2E75B6"/>
        </w:rPr>
        <w:t xml:space="preserve">7.1 The Strangler Fig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Strangler Fig Pattern: </w:t>
            </w:r>
            <w:r>
              <w:t xml:space="preserve">A migration pattern in which a new system is gradually grown around an existing legacy system, taking over functionality piece by piece, until the legacy can be retired. Named after the strangler fig tree, which grows around its host until the host eventually disappears. Coined by Martin Fowler in 2004; remains the canonical pattern for safely migrating monolithic applications to microservices.</w:t>
            </w:r>
          </w:p>
        </w:tc>
      </w:tr>
    </w:tbl>
    <w:p>
      <w:pPr>
        <w:pStyle w:val="Heading3"/>
        <w:spacing w:after="120" w:before="220"/>
      </w:pPr>
      <w:r>
        <w:rPr>
          <w:b/>
          <w:bCs/>
          <w:color w:val="404040"/>
        </w:rPr>
        <w:t xml:space="preserve">How It Works</w:t>
      </w:r>
    </w:p>
    <w:p>
      <w:pPr>
        <w:spacing w:after="120" w:line="300"/>
        <w:jc w:val="both"/>
      </w:pPr>
      <w:r>
        <w:t xml:space="preserve">The pattern works in three phases:</w:t>
      </w:r>
    </w:p>
    <w:p>
      <w:pPr>
        <w:pStyle w:val="ListParagraph"/>
        <w:numPr>
          <w:ilvl w:val="0"/>
          <w:numId w:val="3"/>
        </w:numPr>
        <w:spacing w:after="80" w:line="280"/>
      </w:pPr>
      <w:r>
        <w:t xml:space="preserve">Identify a slice of the legacy system's functionality that can be extracted (typically a bounded context — see Section 7.4).</w:t>
      </w:r>
    </w:p>
    <w:p>
      <w:pPr>
        <w:pStyle w:val="ListParagraph"/>
        <w:numPr>
          <w:ilvl w:val="0"/>
          <w:numId w:val="3"/>
        </w:numPr>
        <w:spacing w:after="80" w:line="280"/>
      </w:pPr>
      <w:r>
        <w:t xml:space="preserve">Build a new microservice that implements that slice, with a routing layer that intercepts requests and routes them to the new service for the migrated functionality and to the legacy system for everything else.</w:t>
      </w:r>
    </w:p>
    <w:p>
      <w:pPr>
        <w:pStyle w:val="ListParagraph"/>
        <w:numPr>
          <w:ilvl w:val="0"/>
          <w:numId w:val="3"/>
        </w:numPr>
        <w:spacing w:after="80" w:line="280"/>
      </w:pPr>
      <w:r>
        <w:t xml:space="preserve">Once the new service is verified, decommission the corresponding parts of the legacy. Repeat for the next slice.</w:t>
      </w:r>
    </w:p>
    <w:p>
      <w:pPr>
        <w:spacing w:after="120" w:line="300"/>
        <w:jc w:val="both"/>
      </w:pPr>
      <w:r>
        <w:t xml:space="preserve">Over time — typically months to years — the legacy is hollowed out as functionality migrates piece by piece. Eventually the legacy's last functionality is migrated and the legacy can be retired entirely.</w:t>
      </w:r>
    </w:p>
    <w:p>
      <w:pPr>
        <w:pStyle w:val="Heading3"/>
        <w:spacing w:after="120" w:before="220"/>
      </w:pPr>
      <w:r>
        <w:rPr>
          <w:b/>
          <w:bCs/>
          <w:color w:val="404040"/>
        </w:rPr>
        <w:t xml:space="preserve">Why It's Used</w:t>
      </w:r>
    </w:p>
    <w:p>
      <w:pPr>
        <w:pStyle w:val="ListParagraph"/>
        <w:numPr>
          <w:ilvl w:val="0"/>
          <w:numId w:val="2"/>
        </w:numPr>
        <w:spacing w:after="80" w:line="280"/>
      </w:pPr>
      <w:r>
        <w:t xml:space="preserve">Risk management. Big-bang migrations are notoriously failure-prone; gradual migration preserves the ability to roll back at each step.</w:t>
      </w:r>
    </w:p>
    <w:p>
      <w:pPr>
        <w:pStyle w:val="ListParagraph"/>
        <w:numPr>
          <w:ilvl w:val="0"/>
          <w:numId w:val="2"/>
        </w:numPr>
        <w:spacing w:after="80" w:line="280"/>
      </w:pPr>
      <w:r>
        <w:t xml:space="preserve">Continuous value. Each migrated slice delivers value (improved performance, new capability, reduced cost) immediately rather than waiting for the entire migration to complete.</w:t>
      </w:r>
    </w:p>
    <w:p>
      <w:pPr>
        <w:pStyle w:val="ListParagraph"/>
        <w:numPr>
          <w:ilvl w:val="0"/>
          <w:numId w:val="2"/>
        </w:numPr>
        <w:spacing w:after="80" w:line="280"/>
      </w:pPr>
      <w:r>
        <w:t xml:space="preserve">Learning. Early slices teach the team about the legacy's hidden complexities; later slices benefit from the lessons.</w:t>
      </w:r>
    </w:p>
    <w:p>
      <w:pPr>
        <w:pStyle w:val="Heading2"/>
        <w:spacing w:after="160" w:before="280"/>
      </w:pPr>
      <w:r>
        <w:rPr>
          <w:b/>
          <w:bCs/>
          <w:color w:val="2E75B6"/>
        </w:rPr>
        <w:t xml:space="preserve">7.2 Anti-Corruption Layer (ACL)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Anti-Corruption Layer (ACL): </w:t>
            </w:r>
            <w:r>
              <w:t xml:space="preserve">A pattern from Domain-Driven Design in which a translation layer sits between a new system (or new bounded context) and a legacy system, translating the legacy's data model and conventions into terms that the new system can use without inheriting the legacy's complexity. Prevents the new system from being "corrupted" by the legacy's idioms.</w:t>
            </w:r>
          </w:p>
        </w:tc>
      </w:tr>
    </w:tbl>
    <w:p>
      <w:pPr>
        <w:pStyle w:val="Heading3"/>
        <w:spacing w:after="120" w:before="220"/>
      </w:pPr>
      <w:r>
        <w:rPr>
          <w:b/>
          <w:bCs/>
          <w:color w:val="404040"/>
        </w:rPr>
        <w:t xml:space="preserve">Why It's Used</w:t>
      </w:r>
    </w:p>
    <w:p>
      <w:pPr>
        <w:spacing w:after="120" w:line="300"/>
        <w:jc w:val="both"/>
      </w:pPr>
      <w:r>
        <w:t xml:space="preserve">Legacy systems often have data models, terminology, and conventions that reflect historical accidents rather than current business reality. A naive integration would replicate the legacy's confused vocabulary throughout the new system, defeating the purpose of building anew. The ACL translates: legacy concepts become clean concepts in the new system; legacy data structures become well-designed data structures; legacy quirks are absorbed by the layer rather than propagated.</w:t>
      </w:r>
    </w:p>
    <w:p>
      <w:pPr>
        <w:spacing w:after="120" w:line="300"/>
        <w:jc w:val="both"/>
      </w:pPr>
      <w:r>
        <w:t xml:space="preserve">In practice, the ACL is typically implemented as a translation service or library that the new microservices use to communicate with the legacy. Once the legacy is retired, the ACL can be retired with it.</w:t>
      </w:r>
    </w:p>
    <w:p>
      <w:pPr>
        <w:pStyle w:val="Heading2"/>
        <w:spacing w:after="160" w:before="280"/>
      </w:pPr>
      <w:r>
        <w:rPr>
          <w:b/>
          <w:bCs/>
          <w:color w:val="2E75B6"/>
        </w:rPr>
        <w:t xml:space="preserve">7.3 Domain-Driven Design Bounded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DDD Bounded Context: </w:t>
            </w:r>
            <w:r>
              <w:t xml:space="preserve">A core concept from Domain-Driven Design (Eric Evans, 2003): a defined boundary within which a particular domain model applies, with its own ubiquitous language and consistent vocabulary. Different bounded contexts may have different definitions of the same word ("Customer" in Sales differs from "Customer" in Operations) without conflict. The principal heuristic for identifying microservice boundaries.</w:t>
            </w:r>
          </w:p>
        </w:tc>
      </w:tr>
    </w:tbl>
    <w:p>
      <w:pPr>
        <w:pStyle w:val="Heading3"/>
        <w:spacing w:after="120" w:before="220"/>
      </w:pPr>
      <w:r>
        <w:rPr>
          <w:b/>
          <w:bCs/>
          <w:color w:val="404040"/>
        </w:rPr>
        <w:t xml:space="preserve">Why Bounded Contexts Matter for Microservices</w:t>
      </w:r>
    </w:p>
    <w:p>
      <w:pPr>
        <w:spacing w:after="120" w:line="300"/>
        <w:jc w:val="both"/>
      </w:pPr>
      <w:r>
        <w:t xml:space="preserve">The hardest question in microservices design is where to draw the boundaries — what functionality belongs in service A versus service B. DDD's bounded context concept provides the answer: each bounded context becomes a microservice. The bounded context's data model is the service's data model; the bounded context's ubiquitous language is the service's API vocabulary; the bounded context's owning team owns the service.</w:t>
      </w:r>
    </w:p>
    <w:p>
      <w:pPr>
        <w:spacing w:after="120" w:line="300"/>
        <w:jc w:val="both"/>
      </w:pPr>
      <w:r>
        <w:t xml:space="preserve">This is why DDD has become essential vocabulary for microservices architecture: it provides the principled basis for the otherwise arbitrary-seeming question of service boundaries.</w:t>
      </w:r>
    </w:p>
    <w:p>
      <w:pPr>
        <w:pStyle w:val="Heading2"/>
        <w:spacing w:after="160" w:before="280"/>
      </w:pPr>
      <w:r>
        <w:rPr>
          <w:b/>
          <w:bCs/>
          <w:color w:val="2E75B6"/>
        </w:rPr>
        <w:t xml:space="preserve">7.4 The Three Patterns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Migrating a Monolith to Microservices</w:t>
            </w:r>
          </w:p>
          <w:p>
            <w:pPr>
              <w:spacing w:after="60" w:line="280"/>
              <w:jc w:val="both"/>
            </w:pPr>
            <w:r>
              <w:t xml:space="preserve">Starting state: a monolithic core banking application that has grown over 15 years to encompass customer management, account management, transactions, lending, and reporting.</w:t>
            </w:r>
          </w:p>
          <w:p>
            <w:pPr>
              <w:spacing w:after="60" w:line="280"/>
              <w:jc w:val="both"/>
            </w:pPr>
            <w:r>
              <w:t xml:space="preserve">Step 1 — Identify bounded contexts (DDD): the monolith decomposes naturally into Customer, Account, Transaction, Lending, and Reporting bounded contexts. Each is a candidate for extraction.</w:t>
            </w:r>
          </w:p>
          <w:p>
            <w:pPr>
              <w:spacing w:after="60" w:line="280"/>
              <w:jc w:val="both"/>
            </w:pPr>
            <w:r>
              <w:t xml:space="preserve">Step 2 — Apply Strangler Fig: extract Customer first (lowest dependency on others). Build a Customer microservice; route Customer-related requests to it; verify; decommission the monolith's Customer logic.</w:t>
            </w:r>
          </w:p>
          <w:p>
            <w:pPr>
              <w:spacing w:after="60" w:line="280"/>
              <w:jc w:val="both"/>
            </w:pPr>
            <w:r>
              <w:t xml:space="preserve">Step 3 — Apply Anti-Corruption Layer: as Customer is extracted, the monolith's quirky internal Customer representation (split across three tables, with confused field names from a 2010 acquisition) is translated by an ACL into the new clean Customer model. The new microservice does not inherit the legacy's confusion.</w:t>
            </w:r>
          </w:p>
          <w:p>
            <w:pPr>
              <w:spacing w:after="60" w:line="280"/>
              <w:jc w:val="both"/>
            </w:pPr>
            <w:r>
              <w:t xml:space="preserve">Step 4 — Repeat: extract Account next, then Transaction, then Lending, then Reporting. Each extraction follows the same pattern: identify bounded context, build new service, deploy with strangler routing, decommission corresponding monolith functionality, retire the ACL when no longer needed.</w:t>
            </w:r>
          </w:p>
          <w:p>
            <w:pPr>
              <w:spacing w:after="60" w:line="280"/>
              <w:jc w:val="both"/>
            </w:pPr>
            <w:r>
              <w:t xml:space="preserve">Step 5 — After all five contexts are extracted, the monolith has nothing left and can be retired. The migration has taken three years; each year delivered standalone value (each context's extraction was its own Capability Increment from Module 7); the bank now operates on a microservices architecture without ever having taken big-bang risk.</w:t>
            </w:r>
          </w:p>
          <w:p>
            <w:pPr>
              <w:spacing w:after="60" w:line="280"/>
              <w:jc w:val="both"/>
            </w:pPr>
            <w:r>
              <w:t xml:space="preserve">Three patterns; one migration; the canonical modern approach.</w:t>
            </w:r>
          </w:p>
        </w:tc>
      </w:tr>
    </w:tbl>
    <w:p>
      <w:r>
        <w:br w:type="page"/>
      </w:r>
    </w:p>
    <w:p>
      <w:pPr>
        <w:pStyle w:val="Heading1"/>
        <w:spacing w:after="200" w:before="360"/>
      </w:pPr>
      <w:r>
        <w:rPr>
          <w:b/>
          <w:bCs/>
          <w:color w:val="1F4E78"/>
        </w:rPr>
        <w:t xml:space="preserve">8. The 6 Rs of Cloud Migration</w:t>
      </w:r>
    </w:p>
    <w:p>
      <w:pPr>
        <w:spacing w:after="120" w:line="300"/>
        <w:jc w:val="both"/>
      </w:pPr>
      <w:r>
        <w:t xml:space="preserve">Module 6 introduced the 6 Rs in the context of Phase C-Application work for cloud migration. This section reprises them with the slight elaboration appropriate to the Digital Series Guide and provides the canonical mnemonic for the cloud-migration disposition framework.</w:t>
      </w:r>
    </w:p>
    <w:p>
      <w:pPr>
        <w:pStyle w:val="Heading2"/>
        <w:spacing w:after="160" w:before="280"/>
      </w:pPr>
      <w:r>
        <w:rPr>
          <w:b/>
          <w:bCs/>
          <w:color w:val="2E75B6"/>
        </w:rPr>
        <w:t xml:space="preserve">8.1 The Six Disposition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The 6 Rs of Cloud Migration: </w:t>
            </w:r>
            <w:r>
              <w:t xml:space="preserve">A framework for classifying each application in a portfolio for cloud migration: Retain (leave on-premise), Retire (decommission), Rehost (lift-and-shift), Replatform (lift-tinker-shift), Refactor (re-architect), Repurchase (replace with SaaS). Each application receives one disposition; the portfolio of dispositions drives the cloud migration plan. Originally articulated by Gartner; widely adopted across cloud migration practice.</w:t>
            </w:r>
          </w:p>
        </w:tc>
      </w:tr>
    </w:tbl>
    <w:p>
      <w:pPr>
        <w:pStyle w:val="Heading2"/>
        <w:spacing w:after="160" w:before="280"/>
      </w:pPr>
      <w:r>
        <w:rPr>
          <w:b/>
          <w:bCs/>
          <w:color w:val="2E75B6"/>
        </w:rPr>
        <w:t xml:space="preserve">8.2 Each R Defined</w:t>
      </w:r>
    </w:p>
    <w:p>
      <w:pPr>
        <w:pStyle w:val="Heading3"/>
        <w:spacing w:after="120" w:before="220"/>
      </w:pPr>
      <w:r>
        <w:rPr>
          <w:b/>
          <w:bCs/>
          <w:color w:val="404040"/>
        </w:rPr>
        <w:t xml:space="preserve">R1: Retain</w:t>
      </w:r>
    </w:p>
    <w:p>
      <w:pPr>
        <w:spacing w:after="120" w:line="300"/>
        <w:jc w:val="both"/>
      </w:pPr>
      <w:r>
        <w:t xml:space="preserve">The application stays where it is. Reasons may include: regulatory requirement to keep data in a specific location; integration with on-premise systems that aren't being migrated; recently-completed investment that should be allowed to amortise; legitimate technical reason cloud cannot meet (very high or very specialised performance requirements). Retain is the option chosen for the minority of portfolio that genuinely cannot or should not move.</w:t>
      </w:r>
    </w:p>
    <w:p>
      <w:pPr>
        <w:pStyle w:val="Heading3"/>
        <w:spacing w:after="120" w:before="220"/>
      </w:pPr>
      <w:r>
        <w:rPr>
          <w:b/>
          <w:bCs/>
          <w:color w:val="404040"/>
        </w:rPr>
        <w:t xml:space="preserve">R2: Retire</w:t>
      </w:r>
    </w:p>
    <w:p>
      <w:pPr>
        <w:spacing w:after="120" w:line="300"/>
        <w:jc w:val="both"/>
      </w:pPr>
      <w:r>
        <w:t xml:space="preserve">The application is decommissioned. The functionality may already be redundant, no longer used, or replaceable by another application that is being migrated. Retiring applications during cloud migration is one of the largest sources of value — every retired application eliminates ongoing operational, licensing, and support cost.</w:t>
      </w:r>
    </w:p>
    <w:p>
      <w:pPr>
        <w:pStyle w:val="Heading3"/>
        <w:spacing w:after="120" w:before="220"/>
      </w:pPr>
      <w:r>
        <w:rPr>
          <w:b/>
          <w:bCs/>
          <w:color w:val="404040"/>
        </w:rPr>
        <w:t xml:space="preserve">R3: Rehost (Lift-and-Shift)</w:t>
      </w:r>
    </w:p>
    <w:p>
      <w:pPr>
        <w:spacing w:after="120" w:line="300"/>
        <w:jc w:val="both"/>
      </w:pPr>
      <w:r>
        <w:t xml:space="preserve">The application is moved to cloud infrastructure (typically IaaS) with no significant changes. The application that ran on-premise virtual machines now runs on cloud virtual machines. Fast and low-risk; captures the cost benefits of cloud infrastructure but none of the architectural benefits of cloud-native patterns. Often a stepping stone — applications are rehosted first to leave the data centre, then refactored later.</w:t>
      </w:r>
    </w:p>
    <w:p>
      <w:pPr>
        <w:pStyle w:val="Heading3"/>
        <w:spacing w:after="120" w:before="220"/>
      </w:pPr>
      <w:r>
        <w:rPr>
          <w:b/>
          <w:bCs/>
          <w:color w:val="404040"/>
        </w:rPr>
        <w:t xml:space="preserve">R4: Replatform (Lift-Tinker-Shift)</w:t>
      </w:r>
    </w:p>
    <w:p>
      <w:pPr>
        <w:spacing w:after="120" w:line="300"/>
        <w:jc w:val="both"/>
      </w:pPr>
      <w:r>
        <w:t xml:space="preserve">The application is moved to cloud with some minor changes that capture immediate cloud benefits without redesigning the application. Example: migrate from self-managed PostgreSQL to AWS RDS for PostgreSQL — same application logic, much less operational burden. Replatforming sits between Rehost and Refactor in effort and reward.</w:t>
      </w:r>
    </w:p>
    <w:p>
      <w:pPr>
        <w:pStyle w:val="Heading3"/>
        <w:spacing w:after="120" w:before="220"/>
      </w:pPr>
      <w:r>
        <w:rPr>
          <w:b/>
          <w:bCs/>
          <w:color w:val="404040"/>
        </w:rPr>
        <w:t xml:space="preserve">R5: Refactor (Re-architect)</w:t>
      </w:r>
    </w:p>
    <w:p>
      <w:pPr>
        <w:spacing w:after="120" w:line="300"/>
        <w:jc w:val="both"/>
      </w:pPr>
      <w:r>
        <w:t xml:space="preserve">The application is significantly redesigned to be cloud-native. Monolith becomes microservices; relational database becomes a mix of operational and analytical stores; infrastructure becomes managed services. The most expensive disposition but the one that captures the full architectural benefits of cloud.</w:t>
      </w:r>
    </w:p>
    <w:p>
      <w:pPr>
        <w:pStyle w:val="Heading3"/>
        <w:spacing w:after="120" w:before="220"/>
      </w:pPr>
      <w:r>
        <w:rPr>
          <w:b/>
          <w:bCs/>
          <w:color w:val="404040"/>
        </w:rPr>
        <w:t xml:space="preserve">R6: Repurchase</w:t>
      </w:r>
    </w:p>
    <w:p>
      <w:pPr>
        <w:spacing w:after="120" w:line="300"/>
        <w:jc w:val="both"/>
      </w:pPr>
      <w:r>
        <w:t xml:space="preserve">The application is retired and replaced with a SaaS equivalent. Common for commodity functions that have become well-served by SaaS markets — CRM, HR, ITSM, collaboration tools. Repurchase is often the lowest-effort path to a modern outcome but requires accepting the SaaS vendor's data model and integration patterns.</w:t>
      </w:r>
    </w:p>
    <w:p>
      <w:pPr>
        <w:pStyle w:val="Heading2"/>
        <w:spacing w:after="160" w:before="280"/>
      </w:pPr>
      <w:r>
        <w:rPr>
          <w:b/>
          <w:bCs/>
          <w:color w:val="2E75B6"/>
        </w:rPr>
        <w:t xml:space="preserve">8.3 The 6 Rs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200"/>
        <w:gridCol w:w="50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Disposition</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Effort</w:t>
            </w:r>
          </w:p>
        </w:tc>
        <w:tc>
          <w:tcPr>
            <w:tcW w:type="dxa" w:w="50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Cloud Benefit Captured</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Retain</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Zero</w:t>
            </w:r>
          </w:p>
        </w:tc>
        <w:tc>
          <w:tcPr>
            <w:tcW w:type="dxa" w:w="5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None — stays on-premise</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Retire</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Low (decommissioning)</w:t>
            </w:r>
          </w:p>
        </w:tc>
        <w:tc>
          <w:tcPr>
            <w:tcW w:type="dxa" w:w="5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Negative — eliminates the application entirely</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Rehost</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Low — VM migration</w:t>
            </w:r>
          </w:p>
        </w:tc>
        <w:tc>
          <w:tcPr>
            <w:tcW w:type="dxa" w:w="5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Limited — IaaS cost benefits only</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Replatform</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Medium</w:t>
            </w:r>
          </w:p>
        </w:tc>
        <w:tc>
          <w:tcPr>
            <w:tcW w:type="dxa" w:w="5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Moderate — managed services for some components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Refactor</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 — significant rework</w:t>
            </w:r>
          </w:p>
        </w:tc>
        <w:tc>
          <w:tcPr>
            <w:tcW w:type="dxa" w:w="5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Full — cloud-native patterns throughout</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Repurchase</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Medium — implementation and migration of data</w:t>
            </w:r>
          </w:p>
        </w:tc>
        <w:tc>
          <w:tcPr>
            <w:tcW w:type="dxa" w:w="5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Full — SaaS captures all cloud benefits</w:t>
            </w:r>
          </w:p>
        </w:tc>
      </w:tr>
    </w:tbl>
    <w:p>
      <w:pPr>
        <w:pStyle w:val="Heading2"/>
        <w:spacing w:after="160" w:before="280"/>
      </w:pPr>
      <w:r>
        <w:rPr>
          <w:b/>
          <w:bCs/>
          <w:color w:val="2E75B6"/>
        </w:rPr>
        <w:t xml:space="preserve">8.4 Applying the 6 Rs</w:t>
      </w:r>
    </w:p>
    <w:p>
      <w:pPr>
        <w:spacing w:after="120" w:line="300"/>
        <w:jc w:val="both"/>
      </w:pPr>
      <w:r>
        <w:t xml:space="preserve">In a typical cloud migration engagement of an enterprise with hundreds of applications, the 6 Rs are applied as follows:</w:t>
      </w:r>
    </w:p>
    <w:p>
      <w:pPr>
        <w:pStyle w:val="ListParagraph"/>
        <w:numPr>
          <w:ilvl w:val="0"/>
          <w:numId w:val="3"/>
        </w:numPr>
        <w:spacing w:after="80" w:line="280"/>
      </w:pPr>
      <w:r>
        <w:t xml:space="preserve">Inventory all applications and assess each for fit with each R.</w:t>
      </w:r>
    </w:p>
    <w:p>
      <w:pPr>
        <w:pStyle w:val="ListParagraph"/>
        <w:numPr>
          <w:ilvl w:val="0"/>
          <w:numId w:val="3"/>
        </w:numPr>
        <w:spacing w:after="80" w:line="280"/>
      </w:pPr>
      <w:r>
        <w:t xml:space="preserve">Apply Pareto thinking: most applications fall into a few patterns. Many will be Retired (no longer needed), many will be Rehosted (low-effort first move), some will be Refactored (the strategic ones worth the investment), some will be Repurchased (the commodity functions).</w:t>
      </w:r>
    </w:p>
    <w:p>
      <w:pPr>
        <w:pStyle w:val="ListParagraph"/>
        <w:numPr>
          <w:ilvl w:val="0"/>
          <w:numId w:val="3"/>
        </w:numPr>
        <w:spacing w:after="80" w:line="280"/>
      </w:pPr>
      <w:r>
        <w:t xml:space="preserve">Sequence dispositions over time. Typical sequence: Retire first (immediate savings), then Rehost (clear the data centre), then Replatform/Refactor in waves (capture cloud-native benefits incrementally).</w:t>
      </w:r>
    </w:p>
    <w:p>
      <w:pPr>
        <w:pStyle w:val="ListParagraph"/>
        <w:numPr>
          <w:ilvl w:val="0"/>
          <w:numId w:val="3"/>
        </w:numPr>
        <w:spacing w:after="80" w:line="280"/>
      </w:pPr>
      <w:r>
        <w:t xml:space="preserve">Accept that the disposition mix is portfolio-specific. Different enterprises have different mixes; what matters is that every application has a disposition decision rather than drifting without one.</w:t>
      </w:r>
    </w:p>
    <w:p>
      <w:r>
        <w:br w:type="page"/>
      </w:r>
    </w:p>
    <w:p>
      <w:pPr>
        <w:pStyle w:val="Heading1"/>
        <w:spacing w:after="200" w:before="360"/>
      </w:pPr>
      <w:r>
        <w:rPr>
          <w:b/>
          <w:bCs/>
          <w:color w:val="1F4E78"/>
        </w:rPr>
        <w:t xml:space="preserve">9. Modern Data Platform</w:t>
      </w:r>
    </w:p>
    <w:p>
      <w:pPr>
        <w:spacing w:after="120" w:line="300"/>
        <w:jc w:val="both"/>
      </w:pPr>
      <w:r>
        <w:t xml:space="preserve">The modern data platform is the architectural pattern for handling data at enterprise scale, replacing the older split between operational databases and a monolithic data warehouse with a layered platform that supports both operational integration and analytical workloads. Knowing the four-layer structure is exam-relevant.</w:t>
      </w:r>
    </w:p>
    <w:p>
      <w:pPr>
        <w:pStyle w:val="Heading2"/>
        <w:spacing w:after="160" w:before="280"/>
      </w:pPr>
      <w:r>
        <w:rPr>
          <w:b/>
          <w:bCs/>
          <w:color w:val="2E75B6"/>
        </w:rPr>
        <w:t xml:space="preserve">9.1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Modern Data Platform — Four Layers: </w:t>
            </w:r>
            <w:r>
              <w:t xml:space="preserve">(1) Ingestion — bringing data in from operational systems and external sources; (2) Storage — combining a data lake (cheap, flexible) with a data warehouse (structured, queryable); (3) Processing — transformation, enrichment, modelling; (4) Serving — making data available to consumers (analysts, ML, applications).</w:t>
            </w:r>
          </w:p>
        </w:tc>
      </w:tr>
    </w:tbl>
    <w:p>
      <w:pPr>
        <w:pStyle w:val="Heading2"/>
        <w:spacing w:after="160" w:before="280"/>
      </w:pPr>
      <w:r>
        <w:rPr>
          <w:b/>
          <w:bCs/>
          <w:color w:val="2E75B6"/>
        </w:rPr>
        <w:t xml:space="preserve">9.2 Each Layer Defined</w:t>
      </w:r>
    </w:p>
    <w:p>
      <w:pPr>
        <w:pStyle w:val="Heading3"/>
        <w:spacing w:after="120" w:before="220"/>
      </w:pPr>
      <w:r>
        <w:rPr>
          <w:b/>
          <w:bCs/>
          <w:color w:val="404040"/>
        </w:rPr>
        <w:t xml:space="preserve">Layer 1: Ingestion</w:t>
      </w:r>
    </w:p>
    <w:p>
      <w:pPr>
        <w:spacing w:after="120" w:line="300"/>
        <w:jc w:val="both"/>
      </w:pPr>
      <w:r>
        <w:t xml:space="preserve">Brings data into the platform from sources: operational databases (typically via change-data-capture); event streams (from the Event Bus, Section 6); third-party APIs; file-based sources (FTP, SFTP, cloud storage); user uploads. Modern ingestion tools include Debezium (CDC), Fivetran (managed connectors), Airbyte (open-source connectors), Kafka Connect, AWS DMS / Azure Data Factory / Google Datastream.</w:t>
      </w:r>
    </w:p>
    <w:p>
      <w:pPr>
        <w:pStyle w:val="Heading3"/>
        <w:spacing w:after="120" w:before="220"/>
      </w:pPr>
      <w:r>
        <w:rPr>
          <w:b/>
          <w:bCs/>
          <w:color w:val="404040"/>
        </w:rPr>
        <w:t xml:space="preserve">Layer 2: Storage</w:t>
      </w:r>
    </w:p>
    <w:p>
      <w:pPr>
        <w:spacing w:after="120" w:line="300"/>
        <w:jc w:val="both"/>
      </w:pPr>
      <w:r>
        <w:t xml:space="preserve">Stores data at scale. Modern platforms typically combine two storage technologies:</w:t>
      </w:r>
    </w:p>
    <w:p>
      <w:pPr>
        <w:pStyle w:val="ListParagraph"/>
        <w:numPr>
          <w:ilvl w:val="0"/>
          <w:numId w:val="2"/>
        </w:numPr>
        <w:spacing w:after="80" w:line="280"/>
      </w:pPr>
      <w:r>
        <w:t xml:space="preserve">Data Lake — cheap, flexible storage that can hold any data in any format (JSON, Parquet, Avro, ORC, raw files). Object stores (S3, ADLS, GCS) are the foundation. Modern lakes use table formats (Apache Iceberg, Delta Lake, Apache Hudi) that add transactional and schema-evolution capabilities to the underlying object storage.</w:t>
      </w:r>
    </w:p>
    <w:p>
      <w:pPr>
        <w:pStyle w:val="ListParagraph"/>
        <w:numPr>
          <w:ilvl w:val="0"/>
          <w:numId w:val="2"/>
        </w:numPr>
        <w:spacing w:after="80" w:line="280"/>
      </w:pPr>
      <w:r>
        <w:t xml:space="preserve">Data Warehouse — structured, queryable storage optimised for SQL analytics at scale. Modern warehouses are cloud-native: Snowflake, BigQuery, Amazon Redshift, Azure Synapse, Databricks SQL. The boundary between lake and warehouse is increasingly blurred — the term "lakehouse" describes platforms that combine both.</w:t>
      </w:r>
    </w:p>
    <w:p>
      <w:pPr>
        <w:pStyle w:val="Heading3"/>
        <w:spacing w:after="120" w:before="220"/>
      </w:pPr>
      <w:r>
        <w:rPr>
          <w:b/>
          <w:bCs/>
          <w:color w:val="404040"/>
        </w:rPr>
        <w:t xml:space="preserve">Layer 3: Processing</w:t>
      </w:r>
    </w:p>
    <w:p>
      <w:pPr>
        <w:spacing w:after="120" w:line="300"/>
        <w:jc w:val="both"/>
      </w:pPr>
      <w:r>
        <w:t xml:space="preserve">Transforms, enriches, and models the data. Includes batch processing (Spark, dbt, BigQuery SQL), streaming processing (Flink, Spark Streaming, Beam, Kafka Streams), and orchestration (Airflow, Dagster, Prefect). Modern data platforms increasingly use SQL-based transformation tools (dbt being dominant) for batch processing because they integrate naturally with the warehouse and bring software engineering practices (version control, testing, CI/CD) to data work.</w:t>
      </w:r>
    </w:p>
    <w:p>
      <w:pPr>
        <w:pStyle w:val="Heading3"/>
        <w:spacing w:after="120" w:before="220"/>
      </w:pPr>
      <w:r>
        <w:rPr>
          <w:b/>
          <w:bCs/>
          <w:color w:val="404040"/>
        </w:rPr>
        <w:t xml:space="preserve">Layer 4: Serving</w:t>
      </w:r>
    </w:p>
    <w:p>
      <w:pPr>
        <w:spacing w:after="120" w:line="300"/>
        <w:jc w:val="both"/>
      </w:pPr>
      <w:r>
        <w:t xml:space="preserve">Makes data available to consumers. Includes: analytical query engines (the warehouse itself); BI tools (Tableau, Power BI, Looker); semantic layers (Cube, Looker semantic models); reverse-ETL tools that push transformed data back into operational systems (Hightouch, Census); ML feature stores (Section 12); APIs over data.</w:t>
      </w:r>
    </w:p>
    <w:p>
      <w:pPr>
        <w:pStyle w:val="Heading2"/>
        <w:spacing w:after="160" w:before="280"/>
      </w:pPr>
      <w:r>
        <w:rPr>
          <w:b/>
          <w:bCs/>
          <w:color w:val="2E75B6"/>
        </w:rPr>
        <w:t xml:space="preserve">9.3 The Four Layers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Layer</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Purpose</w:t>
            </w:r>
          </w:p>
        </w:tc>
        <w:tc>
          <w:tcPr>
            <w:tcW w:type="dxa" w:w="4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Modern Implementations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Ingestion</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Bring data into the platform</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Debezium, Fivetran, Airbyte, Kafka Connect, AWS DMS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Storage</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Store data at scale: Data Lake + Data Warehouse</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S3/ADLS/GCS + Iceberg/Delta + Snowflake/BigQuery/Databricks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Processing</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Transform, enrich, model</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Spark, dbt, Flink, Airflow, Beam</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Serving</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Make data available to consumers</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Snowflake/BigQuery, Tableau/Power BI, Hightouch, feature stores</w:t>
            </w:r>
          </w:p>
        </w:tc>
      </w:tr>
    </w:tbl>
    <w:p>
      <w:pPr>
        <w:pStyle w:val="Heading2"/>
        <w:spacing w:after="160" w:before="280"/>
      </w:pPr>
      <w:r>
        <w:rPr>
          <w:b/>
          <w:bCs/>
          <w:color w:val="2E75B6"/>
        </w:rPr>
        <w:t xml:space="preserve">9.4 Why This Structure</w:t>
      </w:r>
    </w:p>
    <w:p>
      <w:pPr>
        <w:spacing w:after="120" w:line="300"/>
        <w:jc w:val="both"/>
      </w:pPr>
      <w:r>
        <w:t xml:space="preserve">The four-layer separation reflects fundamental differences in concerns:</w:t>
      </w:r>
    </w:p>
    <w:p>
      <w:pPr>
        <w:pStyle w:val="ListParagraph"/>
        <w:numPr>
          <w:ilvl w:val="0"/>
          <w:numId w:val="2"/>
        </w:numPr>
        <w:spacing w:after="80" w:line="280"/>
      </w:pPr>
      <w:r>
        <w:t xml:space="preserve">Ingestion is about connectivity and reliability — getting data in despite source systems' quirks.</w:t>
      </w:r>
    </w:p>
    <w:p>
      <w:pPr>
        <w:pStyle w:val="ListParagraph"/>
        <w:numPr>
          <w:ilvl w:val="0"/>
          <w:numId w:val="2"/>
        </w:numPr>
        <w:spacing w:after="80" w:line="280"/>
      </w:pPr>
      <w:r>
        <w:t xml:space="preserve">Storage is about cost and access patterns — different storage technologies suit different workloads.</w:t>
      </w:r>
    </w:p>
    <w:p>
      <w:pPr>
        <w:pStyle w:val="ListParagraph"/>
        <w:numPr>
          <w:ilvl w:val="0"/>
          <w:numId w:val="2"/>
        </w:numPr>
        <w:spacing w:after="80" w:line="280"/>
      </w:pPr>
      <w:r>
        <w:t xml:space="preserve">Processing is about correctness and timeliness — turning raw data into useful data through reliable transformations.</w:t>
      </w:r>
    </w:p>
    <w:p>
      <w:pPr>
        <w:pStyle w:val="ListParagraph"/>
        <w:numPr>
          <w:ilvl w:val="0"/>
          <w:numId w:val="2"/>
        </w:numPr>
        <w:spacing w:after="80" w:line="280"/>
      </w:pPr>
      <w:r>
        <w:t xml:space="preserve">Serving is about consumption — different consumers need different shapes of data with different latency.</w:t>
      </w:r>
    </w:p>
    <w:p>
      <w:pPr>
        <w:spacing w:after="120" w:line="300"/>
        <w:jc w:val="both"/>
      </w:pPr>
      <w:r>
        <w:t xml:space="preserve">Conflating the layers (e.g., trying to serve analytics directly from operational databases, or building transformations into ingestion) produces architectures that fail on at least one of cost, performance, or correctness. The four-layer structure is what makes scale tractable.</w:t>
      </w:r>
    </w:p>
    <w:p>
      <w:r>
        <w:br w:type="page"/>
      </w:r>
    </w:p>
    <w:p>
      <w:pPr>
        <w:pStyle w:val="Heading1"/>
        <w:spacing w:after="200" w:before="360"/>
      </w:pPr>
      <w:r>
        <w:rPr>
          <w:b/>
          <w:bCs/>
          <w:color w:val="1F4E78"/>
        </w:rPr>
        <w:t xml:space="preserve">10. Data Mesh</w:t>
      </w:r>
    </w:p>
    <w:p>
      <w:pPr>
        <w:spacing w:after="120" w:line="300"/>
        <w:jc w:val="both"/>
      </w:pPr>
      <w:r>
        <w:t xml:space="preserve">Data Mesh is the modern paradigm for organising data work at scale, articulated by Zhamak Dehghani in 2019 and now widely influential. Where the modern data platform (Section 9) describes the technology shape, Data Mesh describes the operating model — who owns what, how governance works, how scale is achieved without central bottlenecks.</w:t>
      </w:r>
    </w:p>
    <w:p>
      <w:pPr>
        <w:pStyle w:val="Heading2"/>
        <w:spacing w:after="160" w:before="280"/>
      </w:pPr>
      <w:r>
        <w:rPr>
          <w:b/>
          <w:bCs/>
          <w:color w:val="2E75B6"/>
        </w:rPr>
        <w:t xml:space="preserve">10.1 What Data Mesh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Data Mesh: </w:t>
            </w:r>
            <w:r>
              <w:t xml:space="preserve">An operating-model paradigm for enterprise data, articulated by Zhamak Dehghani (2019). Rests on four principles: domain-oriented decentralised ownership; data as a product; self-serve data infrastructure as a platform; federated computational governance. Replaces the centralised data warehouse model with distributed data ownership at the source domains, supported by central platform and governance functions.</w:t>
            </w:r>
          </w:p>
        </w:tc>
      </w:tr>
    </w:tbl>
    <w:p>
      <w:pPr>
        <w:pStyle w:val="Heading2"/>
        <w:spacing w:after="160" w:before="280"/>
      </w:pPr>
      <w:r>
        <w:rPr>
          <w:b/>
          <w:bCs/>
          <w:color w:val="2E75B6"/>
        </w:rPr>
        <w:t xml:space="preserve">10.2 The Four Principles</w:t>
      </w:r>
    </w:p>
    <w:p>
      <w:pPr>
        <w:pStyle w:val="Heading3"/>
        <w:spacing w:after="120" w:before="220"/>
      </w:pPr>
      <w:r>
        <w:rPr>
          <w:b/>
          <w:bCs/>
          <w:color w:val="404040"/>
        </w:rPr>
        <w:t xml:space="preserve">Principle 1: Domain-Oriented Decentralised Ownership</w:t>
      </w:r>
    </w:p>
    <w:p>
      <w:pPr>
        <w:spacing w:after="120" w:line="300"/>
        <w:jc w:val="both"/>
      </w:pPr>
      <w:r>
        <w:t xml:space="preserve">Data is owned by the domains that produce it. The Customer domain owns customer data; the Order domain owns order data; the Inventory domain owns inventory data. Each domain takes responsibility for the quality, schema, and lifecycle of its own data. This replaces the centralised model in which a central data team mediates between source systems and consumers.</w:t>
      </w:r>
    </w:p>
    <w:p>
      <w:pPr>
        <w:pStyle w:val="Heading3"/>
        <w:spacing w:after="120" w:before="220"/>
      </w:pPr>
      <w:r>
        <w:rPr>
          <w:b/>
          <w:bCs/>
          <w:color w:val="404040"/>
        </w:rPr>
        <w:t xml:space="preserve">Principle 2: Data as a Product</w:t>
      </w:r>
    </w:p>
    <w:p>
      <w:pPr>
        <w:spacing w:after="120" w:line="300"/>
        <w:jc w:val="both"/>
      </w:pPr>
      <w:r>
        <w:t xml:space="preserve">Each domain treats its data as a product with named owners, defined consumers, quality SLAs, documentation, and a feedback loop. The data is not a byproduct of the operational system; it is a deliberate output, designed for consumption.</w:t>
      </w:r>
    </w:p>
    <w:p>
      <w:pPr>
        <w:pStyle w:val="Heading3"/>
        <w:spacing w:after="120" w:before="220"/>
      </w:pPr>
      <w:r>
        <w:rPr>
          <w:b/>
          <w:bCs/>
          <w:color w:val="404040"/>
        </w:rPr>
        <w:t xml:space="preserve">Principle 3: Self-Serve Data Infrastructure as a Platform</w:t>
      </w:r>
    </w:p>
    <w:p>
      <w:pPr>
        <w:spacing w:after="120" w:line="300"/>
        <w:jc w:val="both"/>
      </w:pPr>
      <w:r>
        <w:t xml:space="preserve">A central platform team provides the infrastructure (storage, processing, catalogue, governance tooling) on which domain teams build their data products. Domain teams do not have to operate their own data infrastructure; they consume the platform. This is the data equivalent of the IDP pattern (Section 4).</w:t>
      </w:r>
    </w:p>
    <w:p>
      <w:pPr>
        <w:pStyle w:val="Heading3"/>
        <w:spacing w:after="120" w:before="220"/>
      </w:pPr>
      <w:r>
        <w:rPr>
          <w:b/>
          <w:bCs/>
          <w:color w:val="404040"/>
        </w:rPr>
        <w:t xml:space="preserve">Principle 4: Federated Computational Governance</w:t>
      </w:r>
    </w:p>
    <w:p>
      <w:pPr>
        <w:spacing w:after="120" w:line="300"/>
        <w:jc w:val="both"/>
      </w:pPr>
      <w:r>
        <w:t xml:space="preserve">Governance (data classification, privacy controls, schema standards, interoperability requirements) is defined centrally as policy and enforced computationally — through the platform — rather than through human review processes. Domain teams operate within governance constraints automatically rather than via approval workflows.</w:t>
      </w:r>
    </w:p>
    <w:p>
      <w:pPr>
        <w:pStyle w:val="Heading2"/>
        <w:spacing w:after="160" w:before="280"/>
      </w:pPr>
      <w:r>
        <w:rPr>
          <w:b/>
          <w:bCs/>
          <w:color w:val="2E75B6"/>
        </w:rPr>
        <w:t xml:space="preserve">10.3 The Four Principles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Principle</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Means</w:t>
            </w:r>
          </w:p>
        </w:tc>
        <w:tc>
          <w:tcPr>
            <w:tcW w:type="dxa" w:w="2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Replaces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Domain-oriented decentralised ownership</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owned by source domains</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Centralised data team owning everything</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as a product</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is a deliberate output with SLAs and consumers</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as byproduct of operational systems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Self-serve infrastructure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Central platform; domains consume rather than build</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Each domain or team building its own data stack</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Federated computational governance</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Policy enforced through the platform</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Manual review and approval processes</w:t>
            </w:r>
          </w:p>
        </w:tc>
      </w:tr>
    </w:tbl>
    <w:p>
      <w:pPr>
        <w:pStyle w:val="Heading2"/>
        <w:spacing w:after="160" w:before="280"/>
      </w:pPr>
      <w:r>
        <w:rPr>
          <w:b/>
          <w:bCs/>
          <w:color w:val="2E75B6"/>
        </w:rPr>
        <w:t xml:space="preserve">10.4 Data Mesh and the Modern Data Platform</w:t>
      </w:r>
    </w:p>
    <w:p>
      <w:pPr>
        <w:spacing w:after="120" w:line="300"/>
        <w:jc w:val="both"/>
      </w:pPr>
      <w:r>
        <w:t xml:space="preserve">Data Mesh is not an alternative to the modern data platform (Section 9) — it is an operating model layered on top. The modern data platform's four layers (Ingestion, Storage, Processing, Serving) provide the technology; Data Mesh defines who operates each layer and how responsibility is distributed. A modern enterprise typically adopts both: the modern data platform as the technology and Data Mesh as the operating model.</w:t>
      </w:r>
    </w:p>
    <w:p>
      <w:r>
        <w:br w:type="page"/>
      </w:r>
    </w:p>
    <w:p>
      <w:pPr>
        <w:pStyle w:val="Heading1"/>
        <w:spacing w:after="200" w:before="360"/>
      </w:pPr>
      <w:r>
        <w:rPr>
          <w:b/>
          <w:bCs/>
          <w:color w:val="1F4E78"/>
        </w:rPr>
        <w:t xml:space="preserve">11. Event-Driven Architecture Patterns</w:t>
      </w:r>
    </w:p>
    <w:p>
      <w:pPr>
        <w:spacing w:after="120" w:line="300"/>
        <w:jc w:val="both"/>
      </w:pPr>
      <w:r>
        <w:t xml:space="preserve">Event-driven architecture (EDA) is the pattern in which services communicate primarily through events rather than direct synchronous calls. Five named patterns recur across modern EDA implementations and are exam-relevant by name.</w:t>
      </w:r>
    </w:p>
    <w:p>
      <w:pPr>
        <w:pStyle w:val="Heading2"/>
        <w:spacing w:after="160" w:before="280"/>
      </w:pPr>
      <w:r>
        <w:rPr>
          <w:b/>
          <w:bCs/>
          <w:color w:val="2E75B6"/>
        </w:rPr>
        <w:t xml:space="preserve">11.1 The Five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Event-Driven Architecture Patterns: </w:t>
            </w:r>
            <w:r>
              <w:t xml:space="preserve">Five named patterns: (1) Event Notification — minimal events that trigger consumers to act; (2) Event-Carried State Transfer — events carry sufficient state for consumers to update local copies; (3) Event Sourcing — the system's state is the sequence of events that produced it; (4) CQRS (Command Query Responsibility Segregation) — separate models for commands and queries; (5) Saga — distributed transaction pattern using events to coordinate.</w:t>
            </w:r>
          </w:p>
        </w:tc>
      </w:tr>
    </w:tbl>
    <w:p>
      <w:pPr>
        <w:pStyle w:val="Heading2"/>
        <w:spacing w:after="160" w:before="280"/>
      </w:pPr>
      <w:r>
        <w:rPr>
          <w:b/>
          <w:bCs/>
          <w:color w:val="2E75B6"/>
        </w:rPr>
        <w:t xml:space="preserve">11.2 Each Pattern Defined</w:t>
      </w:r>
    </w:p>
    <w:p>
      <w:pPr>
        <w:pStyle w:val="Heading3"/>
        <w:spacing w:after="120" w:before="220"/>
      </w:pPr>
      <w:r>
        <w:rPr>
          <w:b/>
          <w:bCs/>
          <w:color w:val="404040"/>
        </w:rPr>
        <w:t xml:space="preserve">Pattern 1: Event Notification</w:t>
      </w:r>
    </w:p>
    <w:p>
      <w:pPr>
        <w:spacing w:after="120" w:line="300"/>
        <w:jc w:val="both"/>
      </w:pPr>
      <w:r>
        <w:t xml:space="preserve">The simplest event pattern: events are minimal notifications that something has happened, leaving consumers to call back to the source for any state they need. Example: an OrderCreated event carries just an order ID; consumers wanting more detail call back to the Order service. Strengths: simple, decoupled. Weaknesses: requires source system to remain available for callbacks; potentially chatty.</w:t>
      </w:r>
    </w:p>
    <w:p>
      <w:pPr>
        <w:pStyle w:val="Heading3"/>
        <w:spacing w:after="120" w:before="220"/>
      </w:pPr>
      <w:r>
        <w:rPr>
          <w:b/>
          <w:bCs/>
          <w:color w:val="404040"/>
        </w:rPr>
        <w:t xml:space="preserve">Pattern 2: Event-Carried State Transfer</w:t>
      </w:r>
    </w:p>
    <w:p>
      <w:pPr>
        <w:spacing w:after="120" w:line="300"/>
        <w:jc w:val="both"/>
      </w:pPr>
      <w:r>
        <w:t xml:space="preserve">Events carry enough state for consumers to maintain their own local copy without calling back. Example: an OrderCreated event carries the full order details. Consumers can then process the event independently of the source system's availability. Strengths: high decoupling; consumers can process autonomously. Weaknesses: events are larger; eventual consistency complications; schema evolution becomes harder.</w:t>
      </w:r>
    </w:p>
    <w:p>
      <w:pPr>
        <w:pStyle w:val="Heading3"/>
        <w:spacing w:after="120" w:before="220"/>
      </w:pPr>
      <w:r>
        <w:rPr>
          <w:b/>
          <w:bCs/>
          <w:color w:val="404040"/>
        </w:rPr>
        <w:t xml:space="preserve">Pattern 3: Event Sourcing</w:t>
      </w:r>
    </w:p>
    <w:p>
      <w:pPr>
        <w:spacing w:after="120" w:line="300"/>
        <w:jc w:val="both"/>
      </w:pPr>
      <w:r>
        <w:t xml:space="preserve">The system's state is the sequence of events that produced it; the current state is computed by replaying events. Rather than storing the current state in a database, the system stores every event that ever occurred; current state is derived. Strengths: complete audit trail; ability to replay history (for debugging, for new projections, for compliance); strong support for temporal queries. Weaknesses: substantial complexity; event versioning is hard; queries against current state require projection layers.</w:t>
      </w:r>
    </w:p>
    <w:p>
      <w:pPr>
        <w:pStyle w:val="Heading3"/>
        <w:spacing w:after="120" w:before="220"/>
      </w:pPr>
      <w:r>
        <w:rPr>
          <w:b/>
          <w:bCs/>
          <w:color w:val="404040"/>
        </w:rPr>
        <w:t xml:space="preserve">Pattern 4: CQRS (Command Query Responsibility Segregation)</w:t>
      </w:r>
    </w:p>
    <w:p>
      <w:pPr>
        <w:spacing w:after="120" w:line="300"/>
        <w:jc w:val="both"/>
      </w:pPr>
      <w:r>
        <w:t xml:space="preserve">Separate models for commands (write operations) and queries (read operations), often with different storage technologies. Commands flow through one path optimised for transactional integrity; queries flow through a separate read-optimised store often updated asynchronously from commands via events. Strengths: each side optimised for its purpose; scale read and write independently. Weaknesses: complexity; eventual consistency between command and query sides; harder to debug. Often combined with Event Sourcing.</w:t>
      </w:r>
    </w:p>
    <w:p>
      <w:pPr>
        <w:pStyle w:val="Heading3"/>
        <w:spacing w:after="120" w:before="220"/>
      </w:pPr>
      <w:r>
        <w:rPr>
          <w:b/>
          <w:bCs/>
          <w:color w:val="404040"/>
        </w:rPr>
        <w:t xml:space="preserve">Pattern 5: Saga</w:t>
      </w:r>
    </w:p>
    <w:p>
      <w:pPr>
        <w:spacing w:after="120" w:line="300"/>
        <w:jc w:val="both"/>
      </w:pPr>
      <w:r>
        <w:t xml:space="preserve">A distributed-transaction pattern in which a long-running business transaction is decomposed into a sequence of local transactions in different services, with compensating transactions to undo earlier steps if a later step fails. Used when traditional ACID transactions across services are not feasible (which they generally are not in microservices). Two implementation variants: choreography (each service reacts to events from others) and orchestration (a central coordinator drives the saga). Strengths: enables long-running, multi-service transactions in a microservice architecture. Weaknesses: every step needs a defined compensating action; reasoning about correctness is hard.</w:t>
      </w:r>
    </w:p>
    <w:p>
      <w:pPr>
        <w:pStyle w:val="Heading2"/>
        <w:spacing w:after="160" w:before="280"/>
      </w:pPr>
      <w:r>
        <w:rPr>
          <w:b/>
          <w:bCs/>
          <w:color w:val="2E75B6"/>
        </w:rPr>
        <w:t xml:space="preserve">11.3 The Five Patterns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Pattern</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Core Idea</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Trade-off</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 Notification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Minimal events; consumers call back for state</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Simple; requires source availability for callbacks</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Event-Carried State Transfer</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Events carry state; consumers stay autonomous</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More decoupled; larger events; schema evolution harder</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 Sourcing</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State = sequence of events; current is derived</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Complete history; substantial complexity</w:t>
            </w:r>
          </w:p>
        </w:tc>
      </w:tr>
      <w:tr>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CQRS</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Separate command and query models</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Optimised both sides; eventual consistency between them</w:t>
            </w:r>
          </w:p>
        </w:tc>
      </w:tr>
      <w:tr>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Saga</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Distributed transaction via local steps + compensations</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Multi-service transactions; complex correctness reasoning</w:t>
            </w:r>
          </w:p>
        </w:tc>
      </w:tr>
    </w:tbl>
    <w:p>
      <w:r>
        <w:br w:type="page"/>
      </w:r>
    </w:p>
    <w:p>
      <w:pPr>
        <w:pStyle w:val="Heading1"/>
        <w:spacing w:after="200" w:before="360"/>
      </w:pPr>
      <w:r>
        <w:rPr>
          <w:b/>
          <w:bCs/>
          <w:color w:val="1F4E78"/>
        </w:rPr>
        <w:t xml:space="preserve">12. AI/ML Architecture Across BDAT</w:t>
      </w:r>
    </w:p>
    <w:p>
      <w:pPr>
        <w:spacing w:after="120" w:line="300"/>
        <w:jc w:val="both"/>
      </w:pPr>
      <w:r>
        <w:t xml:space="preserve">Machine learning and AI integration is now a core architectural concern across enterprises. The patterns are still evolving rapidly, but several reference structures have emerged that the exam expects recognition of: feature stores, model registries, MLOps pipelines, and (most recently) vector databases for retrieval-augmented generation. Like security (Module 19), AI/ML is cross-cutting across the BDAT domains.</w:t>
      </w:r>
    </w:p>
    <w:p>
      <w:pPr>
        <w:pStyle w:val="Heading2"/>
        <w:spacing w:after="160" w:before="280"/>
      </w:pPr>
      <w:r>
        <w:rPr>
          <w:b/>
          <w:bCs/>
          <w:color w:val="2E75B6"/>
        </w:rPr>
        <w:t xml:space="preserve">12.1 ML Across the BDAT Domains</w:t>
      </w:r>
    </w:p>
    <w:p>
      <w:pPr>
        <w:pStyle w:val="Heading3"/>
        <w:spacing w:after="120" w:before="220"/>
      </w:pPr>
      <w:r>
        <w:rPr>
          <w:b/>
          <w:bCs/>
          <w:color w:val="404040"/>
        </w:rPr>
        <w:t xml:space="preserve">Business Architecture (Phase B)</w:t>
      </w:r>
    </w:p>
    <w:p>
      <w:pPr>
        <w:spacing w:after="120" w:line="300"/>
        <w:jc w:val="both"/>
      </w:pPr>
      <w:r>
        <w:t xml:space="preserve">Identify high-value AI/ML opportunities mapped to Capabilities. Designate Risk Owners for AI-affected Capabilities. Address AI ethics and governance: which decisions can be automated; what human-in-the-loop is required; how bias is monitored. Map regulatory obligations (EU AI Act, sector-specific AI regulation).</w:t>
      </w:r>
    </w:p>
    <w:p>
      <w:pPr>
        <w:pStyle w:val="Heading3"/>
        <w:spacing w:after="120" w:before="220"/>
      </w:pPr>
      <w:r>
        <w:rPr>
          <w:b/>
          <w:bCs/>
          <w:color w:val="404040"/>
        </w:rPr>
        <w:t xml:space="preserve">Data Architecture (Phase C-Data)</w:t>
      </w:r>
    </w:p>
    <w:p>
      <w:pPr>
        <w:spacing w:after="120" w:line="300"/>
        <w:jc w:val="both"/>
      </w:pPr>
      <w:r>
        <w:t xml:space="preserve">Define data quality standards for ML training and inference. Define feature store architecture (Section 12.2). Define data lineage including derived ML features. Address bias and fairness in training data. Define data retention for ML artefacts.</w:t>
      </w:r>
    </w:p>
    <w:p>
      <w:pPr>
        <w:pStyle w:val="Heading3"/>
        <w:spacing w:after="120" w:before="220"/>
      </w:pPr>
      <w:r>
        <w:rPr>
          <w:b/>
          <w:bCs/>
          <w:color w:val="404040"/>
        </w:rPr>
        <w:t xml:space="preserve">Application Architecture (Phase C-App)</w:t>
      </w:r>
    </w:p>
    <w:p>
      <w:pPr>
        <w:spacing w:after="120" w:line="300"/>
        <w:jc w:val="both"/>
      </w:pPr>
      <w:r>
        <w:t xml:space="preserve">Define how ML models integrate with applications: real-time scoring APIs, batch scoring pipelines, embedding-based features. Define model registries (Section 12.3). Define MLOps pipelines (Section 12.4). For generative AI, define LLM gateways, prompt management, vector databases (Section 12.5).</w:t>
      </w:r>
    </w:p>
    <w:p>
      <w:pPr>
        <w:pStyle w:val="Heading3"/>
        <w:spacing w:after="120" w:before="220"/>
      </w:pPr>
      <w:r>
        <w:rPr>
          <w:b/>
          <w:bCs/>
          <w:color w:val="404040"/>
        </w:rPr>
        <w:t xml:space="preserve">Technology Architecture (Phase D)</w:t>
      </w:r>
    </w:p>
    <w:p>
      <w:pPr>
        <w:spacing w:after="120" w:line="300"/>
        <w:jc w:val="both"/>
      </w:pPr>
      <w:r>
        <w:t xml:space="preserve">Define ML platform infrastructure: GPU/TPU compute, training infrastructure, inference infrastructure (typically autoscaling, often containerised). Define MLOps tooling. For generative AI, define LLM serving infrastructure or LLM API gateway integration.</w:t>
      </w:r>
    </w:p>
    <w:p>
      <w:pPr>
        <w:pStyle w:val="Heading2"/>
        <w:spacing w:after="160" w:before="280"/>
      </w:pPr>
      <w:r>
        <w:rPr>
          <w:b/>
          <w:bCs/>
          <w:color w:val="2E75B6"/>
        </w:rPr>
        <w:t xml:space="preserve">12.2 Feature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Feature Store: </w:t>
            </w:r>
            <w:r>
              <w:t xml:space="preserve">A specialised data infrastructure for ML features: standardised, versioned, reusable representations of data prepared for use in ML models. Sits between the modern data platform (Section 9) and ML training/inference. Provides feature definitions, feature serving (low-latency for real-time inference), and feature governance. Examples: Tecton, Feast, AWS SageMaker Feature Store, Databricks Feature Store, Vertex AI Feature Store.</w:t>
            </w:r>
          </w:p>
        </w:tc>
      </w:tr>
    </w:tbl>
    <w:p>
      <w:pPr>
        <w:pStyle w:val="Heading2"/>
        <w:spacing w:after="160" w:before="280"/>
      </w:pPr>
      <w:r>
        <w:rPr>
          <w:b/>
          <w:bCs/>
          <w:color w:val="2E75B6"/>
        </w:rPr>
        <w:t xml:space="preserve">12.3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Model Registry: </w:t>
            </w:r>
            <w:r>
              <w:t xml:space="preserve">A specialised catalogue for ML models: metadata, lineage, version history, deployment status, and approval state for every model. Functions for ML what the Architecture Repository (Module 11) does for architecture artefacts. Examples: MLflow Model Registry, AWS SageMaker Model Registry, Azure ML Registry, Vertex AI Model Registry, Weights &amp; Biases Models.</w:t>
            </w:r>
          </w:p>
        </w:tc>
      </w:tr>
    </w:tbl>
    <w:p>
      <w:pPr>
        <w:pStyle w:val="Heading2"/>
        <w:spacing w:after="160" w:before="280"/>
      </w:pPr>
      <w:r>
        <w:rPr>
          <w:b/>
          <w:bCs/>
          <w:color w:val="2E75B6"/>
        </w:rPr>
        <w:t xml:space="preserve">12.4 MLOps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MLOps: </w:t>
            </w:r>
            <w:r>
              <w:t xml:space="preserve">The discipline of operating ML in production: continuous training, continuous deployment, continuous monitoring of models. Combines DevOps practices with ML-specific concerns (model drift, feature drift, retraining cadence, model approval). Implemented through MLOps platforms (MLflow, Kubeflow, AWS SageMaker, Azure ML, Vertex AI Pipelines) integrated with the rest of the modern engineering stack.</w:t>
            </w:r>
          </w:p>
        </w:tc>
      </w:tr>
    </w:tbl>
    <w:p>
      <w:pPr>
        <w:pStyle w:val="Heading2"/>
        <w:spacing w:after="160" w:before="280"/>
      </w:pPr>
      <w:r>
        <w:rPr>
          <w:b/>
          <w:bCs/>
          <w:color w:val="2E75B6"/>
        </w:rPr>
        <w:t xml:space="preserve">12.5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Vector Database: </w:t>
            </w:r>
            <w:r>
              <w:t xml:space="preserve">A database optimised for storing and searching high-dimensional vector embeddings — the numerical representations used by modern AI models. Essential for retrieval-augmented generation (RAG) with large language models, semantic search, recommendation systems, and similarity-based applications. Examples: Pinecone, Weaviate, Qdrant, Milvus, AWS OpenSearch with vector engine, PostgreSQL with pgvector, Azure AI Search.</w:t>
            </w:r>
          </w:p>
        </w:tc>
      </w:tr>
    </w:tbl>
    <w:p>
      <w:pPr>
        <w:pStyle w:val="Heading2"/>
        <w:spacing w:after="160" w:before="280"/>
      </w:pPr>
      <w:r>
        <w:rPr>
          <w:b/>
          <w:bCs/>
          <w:color w:val="2E75B6"/>
        </w:rPr>
        <w:t xml:space="preserve">12.6 The Five AI/ML Components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Component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Purpose</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Feature Store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Standardised, reusable ML features</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Tecton, Feast, SageMaker FS, Databricks FS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Model Registry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Catalogue of ML models with lineage</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MLflow Registry, SageMaker Model Registry, Vertex AI</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MLOps Pipeline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 training, deployment, monitoring</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MLflow, Kubeflow, SageMaker Pipelines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Vector Database</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Storage and search of vector embeddings</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Pinecone, Weaviate, Qdrant, pgvector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LLM Gateway / API Layer</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Managed access to large language models</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Azure OpenAI, AWS Bedrock, custom gateways</w:t>
            </w:r>
          </w:p>
        </w:tc>
      </w:tr>
    </w:tbl>
    <w:p>
      <w:r>
        <w:br w:type="page"/>
      </w:r>
    </w:p>
    <w:p>
      <w:pPr>
        <w:pStyle w:val="Heading1"/>
        <w:spacing w:after="200" w:before="360"/>
      </w:pPr>
      <w:r>
        <w:rPr>
          <w:b/>
          <w:bCs/>
          <w:color w:val="1F4E78"/>
        </w:rPr>
        <w:t xml:space="preserve">13. Summary and Review</w:t>
      </w:r>
    </w:p>
    <w:p>
      <w:pPr>
        <w:pStyle w:val="Heading2"/>
        <w:spacing w:after="160" w:before="280"/>
      </w:pPr>
      <w:r>
        <w:rPr>
          <w:b/>
          <w:bCs/>
          <w:color w:val="2E75B6"/>
        </w:rPr>
        <w:t xml:space="preserve">13.1 The Big Picture</w:t>
      </w:r>
    </w:p>
    <w:p>
      <w:pPr>
        <w:spacing w:after="120" w:line="300"/>
        <w:jc w:val="both"/>
      </w:pPr>
      <w:r>
        <w:t xml:space="preserve">Module 20 has covered the cluster of modern architectural patterns that constitute digital transformation: cloud service models (IaaS, PaaS, SaaS, FaaS, CaaS) and deployment models (Public, Private, Hybrid, Multi-Cloud); Cloud-First as an Architecture Principle that drives Phase D defaults; the Internal Developer Platform pattern for cloud consumption; the five-category Cloud Landing Zone (Management, Security, Logging, Network, Workload accounts); the four-layer API Economy Architecture (API Gateway → Microservices → Event Bus → Data Platform); microservices migration patterns including the Strangler Fig, Anti-Corruption Layer, and DDD bounded contexts; the 6 Rs of cloud migration disposition (Retain, Retire, Rehost, Replatform, Refactor, Repurchase); the four-layer modern data platform (Ingestion, Storage, Processing, Serving); Data Mesh's four principles; the five event-driven architecture patterns (Event Notification, Event-Carried State, Event Sourcing, CQRS, Saga); and AI/ML architecture across BDAT including feature stores, model registries, MLOps, and vector databases.</w:t>
      </w:r>
    </w:p>
    <w:p>
      <w:pPr>
        <w:pStyle w:val="Heading2"/>
        <w:spacing w:after="160" w:before="280"/>
      </w:pPr>
      <w:r>
        <w:rPr>
          <w:b/>
          <w:bCs/>
          <w:color w:val="2E75B6"/>
        </w:rPr>
        <w:t xml:space="preserve">13.2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 service models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IaaS (infrastructure), PaaS (platform), SaaS (full app), FaaS (functions), CaaS (container orchestration).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Cloud deployment models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Public, Private, Hybrid, Multi-Cloud.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Cloud-First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 establishing cloud as the deployment default. Drives Phase 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Internal Developer Platform</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Curated platform on top of cloud providing self-service paths to delivery. Reduces cognitive load, ensures consistency, increases productivity.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 Landing Zone — five categories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Management, Security, Logging, Network, Workload accounts.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API Economy — four layers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API Gateway → Microservices → Event Bus → Data Platform.</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Strangler Fig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Gradual migration pattern; new system grows around legacy until legacy can be retired.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Anti-Corruption Layer (ACL)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Translation layer protecting new system from legacy idioms.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DDD bounded contexts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Heuristic for identifying microservice boundaries. Each bounded context = one microservice.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The 6 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Retain, Retire, Rehost, Replatform, Refactor, Repurchase.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Modern data platform — 4 layers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Ingestion → Storage (lake + warehouse) → Processing → Serving.</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Mesh — 4 principles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Domain-oriented ownership; Data as a product; Self-serve infrastructure; Federated computational governance.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Event-driven patterns — 5</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Event Notification, Event-Carried State Transfer, Event Sourcing, CQRS, Saga.</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AI/ML components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Feature Store, Model Registry, MLOps Pipeline, Vector Database, LLM Gateway.</w:t>
            </w:r>
          </w:p>
        </w:tc>
      </w:tr>
    </w:tbl>
    <w:p>
      <w:pPr>
        <w:pStyle w:val="Heading2"/>
        <w:spacing w:after="160" w:before="280"/>
      </w:pPr>
      <w:r>
        <w:rPr>
          <w:b/>
          <w:bCs/>
          <w:color w:val="2E75B6"/>
        </w:rPr>
        <w:t xml:space="preserve">13.3 Self-Test Questions</w:t>
      </w:r>
    </w:p>
    <w:p>
      <w:pPr>
        <w:pStyle w:val="ListParagraph"/>
        <w:numPr>
          <w:ilvl w:val="0"/>
          <w:numId w:val="3"/>
        </w:numPr>
        <w:spacing w:after="80" w:line="280"/>
      </w:pPr>
      <w:r>
        <w:t xml:space="preserve">Name the five cloud service models with one sentence on each. Which TOGAF domain is most affected by SaaS?</w:t>
      </w:r>
    </w:p>
    <w:p>
      <w:pPr>
        <w:pStyle w:val="ListParagraph"/>
        <w:numPr>
          <w:ilvl w:val="0"/>
          <w:numId w:val="3"/>
        </w:numPr>
        <w:spacing w:after="80" w:line="280"/>
      </w:pPr>
      <w:r>
        <w:t xml:space="preserve">Name the four cloud deployment models. Which is the modern default for new workloads, and why?</w:t>
      </w:r>
    </w:p>
    <w:p>
      <w:pPr>
        <w:pStyle w:val="ListParagraph"/>
        <w:numPr>
          <w:ilvl w:val="0"/>
          <w:numId w:val="3"/>
        </w:numPr>
        <w:spacing w:after="80" w:line="280"/>
      </w:pPr>
      <w:r>
        <w:t xml:space="preserve">State Cloud-First as an Architecture Principle in the four-part format from Module 15.</w:t>
      </w:r>
    </w:p>
    <w:p>
      <w:pPr>
        <w:pStyle w:val="ListParagraph"/>
        <w:numPr>
          <w:ilvl w:val="0"/>
          <w:numId w:val="3"/>
        </w:numPr>
        <w:spacing w:after="80" w:line="280"/>
      </w:pPr>
      <w:r>
        <w:t xml:space="preserve">What is an Internal Developer Platform? Name three reasons modern enterprises invest in one.</w:t>
      </w:r>
    </w:p>
    <w:p>
      <w:pPr>
        <w:pStyle w:val="ListParagraph"/>
        <w:numPr>
          <w:ilvl w:val="0"/>
          <w:numId w:val="3"/>
        </w:numPr>
        <w:spacing w:after="80" w:line="280"/>
      </w:pPr>
      <w:r>
        <w:t xml:space="preserve">Name the five categories of accounts in a Cloud Landing Zone.</w:t>
      </w:r>
    </w:p>
    <w:p>
      <w:pPr>
        <w:pStyle w:val="ListParagraph"/>
        <w:numPr>
          <w:ilvl w:val="0"/>
          <w:numId w:val="3"/>
        </w:numPr>
        <w:spacing w:after="80" w:line="280"/>
      </w:pPr>
      <w:r>
        <w:t xml:space="preserve">State the four-layer API Economy Architecture.</w:t>
      </w:r>
    </w:p>
    <w:p>
      <w:pPr>
        <w:pStyle w:val="ListParagraph"/>
        <w:numPr>
          <w:ilvl w:val="0"/>
          <w:numId w:val="3"/>
        </w:numPr>
        <w:spacing w:after="80" w:line="280"/>
      </w:pPr>
      <w:r>
        <w:t xml:space="preserve">Describe the Strangler Fig pattern in three sentences.</w:t>
      </w:r>
    </w:p>
    <w:p>
      <w:pPr>
        <w:pStyle w:val="ListParagraph"/>
        <w:numPr>
          <w:ilvl w:val="0"/>
          <w:numId w:val="3"/>
        </w:numPr>
        <w:spacing w:after="80" w:line="280"/>
      </w:pPr>
      <w:r>
        <w:t xml:space="preserve">What is an Anti-Corruption Layer and why is it used during migration?</w:t>
      </w:r>
    </w:p>
    <w:p>
      <w:pPr>
        <w:pStyle w:val="ListParagraph"/>
        <w:numPr>
          <w:ilvl w:val="0"/>
          <w:numId w:val="3"/>
        </w:numPr>
        <w:spacing w:after="80" w:line="280"/>
      </w:pPr>
      <w:r>
        <w:t xml:space="preserve">Name the 6 Rs of cloud migration in order.</w:t>
      </w:r>
    </w:p>
    <w:p>
      <w:pPr>
        <w:pStyle w:val="ListParagraph"/>
        <w:numPr>
          <w:ilvl w:val="0"/>
          <w:numId w:val="3"/>
        </w:numPr>
        <w:spacing w:after="80" w:line="280"/>
      </w:pPr>
      <w:r>
        <w:t xml:space="preserve">Name the four layers of a modern data platform.</w:t>
      </w:r>
    </w:p>
    <w:p>
      <w:pPr>
        <w:pStyle w:val="ListParagraph"/>
        <w:numPr>
          <w:ilvl w:val="0"/>
          <w:numId w:val="3"/>
        </w:numPr>
        <w:spacing w:after="80" w:line="280"/>
      </w:pPr>
      <w:r>
        <w:t xml:space="preserve">Name the four principles of Data Mesh. How does Data Mesh relate to the modern data platform?</w:t>
      </w:r>
    </w:p>
    <w:p>
      <w:pPr>
        <w:pStyle w:val="ListParagraph"/>
        <w:numPr>
          <w:ilvl w:val="0"/>
          <w:numId w:val="3"/>
        </w:numPr>
        <w:spacing w:after="80" w:line="280"/>
      </w:pPr>
      <w:r>
        <w:t xml:space="preserve">Name the five event-driven architecture patterns.</w:t>
      </w:r>
    </w:p>
    <w:p>
      <w:pPr>
        <w:pStyle w:val="ListParagraph"/>
        <w:numPr>
          <w:ilvl w:val="0"/>
          <w:numId w:val="3"/>
        </w:numPr>
        <w:spacing w:after="80" w:line="280"/>
      </w:pPr>
      <w:r>
        <w:t xml:space="preserve">Name four components of modern AI/ML architecture and what each provides.</w:t>
      </w:r>
    </w:p>
    <w:p>
      <w:pPr>
        <w:pStyle w:val="Heading2"/>
        <w:spacing w:after="160" w:before="280"/>
      </w:pPr>
      <w:r>
        <w:rPr>
          <w:b/>
          <w:bCs/>
          <w:color w:val="2E75B6"/>
        </w:rPr>
        <w:t xml:space="preserve">13.4 Closing Note</w:t>
      </w:r>
    </w:p>
    <w:p>
      <w:pPr>
        <w:spacing w:after="120" w:line="300"/>
        <w:jc w:val="both"/>
      </w:pPr>
      <w:r>
        <w:t xml:space="preserve">Module 20 has covered the broadest set of patterns in any module of this study guide. The remaining modules turn to risk and Agile integration, then to certification preparation. After this module, the modern architecture vocabulary that has appeared throughout the previous modules — landing zones, microservices, event-driven, data platforms, MLOps — has its proper context. Make sure you can recite the five service models, four deployment models, five Landing Zone categories, four-layer API economy, three migration patterns (Strangler Fig + ACL + DDD), six Rs, four data platform layers, four Data Mesh principles, five event-driven patterns, and the principal AI/ML components from memory before moving on.</w:t>
      </w:r>
    </w:p>
    <w:p>
      <w:pPr>
        <w:spacing w:after="120"/>
      </w:pPr>
      <w:r>
        <w:t xml:space="preserve"/>
      </w:r>
    </w:p>
    <w:p>
      <w:pPr>
        <w:spacing w:before="400"/>
        <w:jc w:val="center"/>
      </w:pPr>
      <w:r>
        <w:rPr>
          <w:i/>
          <w:iCs/>
          <w:color w:val="808080"/>
        </w:rPr>
        <w:t xml:space="preserve">— End of Module 20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20: Digital Transformation &amp; 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20 Study Guide</dc:title>
  <dc:creator>Claude</dc:creator>
  <dc:description>Comprehensive study guide for Digital Transformation and Cloud Architecture</dc:description>
  <cp:lastModifiedBy>Un-named</cp:lastModifiedBy>
  <cp:revision>1</cp:revision>
  <dcterms:created xsi:type="dcterms:W3CDTF">2026-05-02T17:55:29.705Z</dcterms:created>
  <dcterms:modified xsi:type="dcterms:W3CDTF">2026-05-02T17:55:29.720Z</dcterms:modified>
</cp:coreProperties>
</file>

<file path=docProps/custom.xml><?xml version="1.0" encoding="utf-8"?>
<Properties xmlns="http://schemas.openxmlformats.org/officeDocument/2006/custom-properties" xmlns:vt="http://schemas.openxmlformats.org/officeDocument/2006/docPropsVTypes"/>
</file>