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200"/>
        <w:jc w:val="center"/>
      </w:pPr>
      <w:r>
        <w:rPr>
          <w:rFonts w:ascii="Calibri" w:hAnsi="Calibri"/>
          <w:b/>
          <w:color w:val="103460"/>
          <w:sz w:val="32"/>
        </w:rPr>
        <w:t>ABES ENGINEERING COLLEGE, GHAZIABAD</w:t>
        <w:br/>
      </w:r>
      <w:r>
        <w:rPr>
          <w:rFonts w:ascii="Calibri" w:hAnsi="Calibri"/>
          <w:b/>
          <w:color w:val="0077B6"/>
          <w:sz w:val="26"/>
        </w:rPr>
        <w:t>DEPARTMENT OF ELECTRONICS &amp; COMMUNICATION ENGINEERING</w:t>
        <w:br/>
        <w:br/>
      </w:r>
      <w:r>
        <w:rPr>
          <w:rFonts w:ascii="Calibri" w:hAnsi="Calibri"/>
          <w:b/>
          <w:color w:val="103460"/>
          <w:sz w:val="40"/>
        </w:rPr>
        <w:t>SOFTWARE REQUIREMENTS SPECIFICATION (SRS)</w:t>
        <w:br/>
      </w:r>
      <w:r>
        <w:rPr>
          <w:rFonts w:ascii="Calibri" w:hAnsi="Calibri"/>
          <w:i/>
          <w:color w:val="1E293B"/>
          <w:sz w:val="28"/>
        </w:rPr>
        <w:t>Mini Project Report (B.Tech 3rd Year)</w:t>
        <w:br/>
        <w:br/>
      </w:r>
    </w:p>
    <w:p>
      <w:pPr>
        <w:spacing w:before="200" w:after="600"/>
        <w:jc w:val="center"/>
      </w:pPr>
      <w:r>
        <w:rPr>
          <w:rFonts w:ascii="Calibri" w:hAnsi="Calibri"/>
          <w:b/>
          <w:color w:val="0077B6"/>
          <w:sz w:val="36"/>
        </w:rPr>
        <w:t>AUTONOMOUS IoT DECISION AND ALERT MANAGEMENT PLATFORM (AIDAMS)</w:t>
        <w:br/>
      </w:r>
      <w:r>
        <w:rPr>
          <w:rFonts w:ascii="Calibri" w:hAnsi="Calibri"/>
          <w:i/>
          <w:color w:val="64748B"/>
          <w:sz w:val="22"/>
        </w:rPr>
        <w:t>An Edge-to-Cloud Cyber-Physical System featuring MQTT Telemetry, Scikit-Learn Anomaly Detection, Dynamic Rule Engine, Node-RED, Grafana &amp; Streamlit</w:t>
      </w:r>
    </w:p>
    <w:tbl>
      <w:tblPr>
        <w:tblW w:type="auto" w:w="0"/>
        <w:jc w:val="center"/>
        <w:tblLayout w:type="fixed"/>
        <w:tblLook w:firstColumn="1" w:firstRow="1" w:lastColumn="0" w:lastRow="0" w:noHBand="0" w:noVBand="1" w:val="04A0"/>
      </w:tblPr>
      <w:tblGrid>
        <w:gridCol w:w="4680"/>
        <w:gridCol w:w="4680"/>
      </w:tblGrid>
      <w:tr>
        <w:tc>
          <w:tcPr>
            <w:tcW w:type="dxa" w:w="4032"/>
            <w:shd w:fill="F1F5F9"/>
            <w:tcMar>
              <w:top w:w="120" w:type="dxa"/>
              <w:bottom w:w="120" w:type="dxa"/>
              <w:left w:w="150" w:type="dxa"/>
              <w:right w:w="150" w:type="dxa"/>
            </w:tcMar>
          </w:tcPr>
          <w:p>
            <w:pPr>
              <w:spacing w:after="40"/>
            </w:pPr>
            <w:r>
              <w:rPr>
                <w:rFonts w:ascii="Calibri" w:hAnsi="Calibri"/>
                <w:b/>
                <w:color w:val="103460"/>
                <w:sz w:val="22"/>
              </w:rPr>
              <w:t>Student Name</w:t>
            </w:r>
          </w:p>
        </w:tc>
        <w:tc>
          <w:tcPr>
            <w:tcW w:type="dxa" w:w="5328"/>
            <w:tcMar>
              <w:top w:w="120" w:type="dxa"/>
              <w:bottom w:w="120" w:type="dxa"/>
              <w:left w:w="150" w:type="dxa"/>
              <w:right w:w="150" w:type="dxa"/>
            </w:tcMar>
          </w:tcPr>
          <w:p>
            <w:pPr>
              <w:spacing w:after="40"/>
            </w:pPr>
            <w:r>
              <w:rPr>
                <w:rFonts w:ascii="Calibri" w:hAnsi="Calibri"/>
                <w:color w:val="1E293B"/>
                <w:sz w:val="22"/>
              </w:rPr>
              <w:t>Chinmay Prakash</w:t>
            </w:r>
          </w:p>
        </w:tc>
      </w:tr>
      <w:tr>
        <w:tc>
          <w:tcPr>
            <w:tcW w:type="dxa" w:w="4032"/>
            <w:shd w:fill="F1F5F9"/>
            <w:tcMar>
              <w:top w:w="120" w:type="dxa"/>
              <w:bottom w:w="120" w:type="dxa"/>
              <w:left w:w="150" w:type="dxa"/>
              <w:right w:w="150" w:type="dxa"/>
            </w:tcMar>
          </w:tcPr>
          <w:p>
            <w:pPr>
              <w:spacing w:after="40"/>
            </w:pPr>
            <w:r>
              <w:rPr>
                <w:rFonts w:ascii="Calibri" w:hAnsi="Calibri"/>
                <w:b/>
                <w:color w:val="103460"/>
                <w:sz w:val="22"/>
              </w:rPr>
              <w:t>University Roll Number</w:t>
            </w:r>
          </w:p>
        </w:tc>
        <w:tc>
          <w:tcPr>
            <w:tcW w:type="dxa" w:w="5328"/>
            <w:tcMar>
              <w:top w:w="120" w:type="dxa"/>
              <w:bottom w:w="120" w:type="dxa"/>
              <w:left w:w="150" w:type="dxa"/>
              <w:right w:w="150" w:type="dxa"/>
            </w:tcMar>
          </w:tcPr>
          <w:p>
            <w:pPr>
              <w:spacing w:after="40"/>
            </w:pPr>
            <w:r>
              <w:rPr>
                <w:rFonts w:ascii="Calibri" w:hAnsi="Calibri"/>
                <w:color w:val="1E293B"/>
                <w:sz w:val="22"/>
              </w:rPr>
              <w:t>2400320310060</w:t>
            </w:r>
          </w:p>
        </w:tc>
      </w:tr>
      <w:tr>
        <w:tc>
          <w:tcPr>
            <w:tcW w:type="dxa" w:w="4032"/>
            <w:shd w:fill="F1F5F9"/>
            <w:tcMar>
              <w:top w:w="120" w:type="dxa"/>
              <w:bottom w:w="120" w:type="dxa"/>
              <w:left w:w="150" w:type="dxa"/>
              <w:right w:w="150" w:type="dxa"/>
            </w:tcMar>
          </w:tcPr>
          <w:p>
            <w:pPr>
              <w:spacing w:after="40"/>
            </w:pPr>
            <w:r>
              <w:rPr>
                <w:rFonts w:ascii="Calibri" w:hAnsi="Calibri"/>
                <w:b/>
                <w:color w:val="103460"/>
                <w:sz w:val="22"/>
              </w:rPr>
              <w:t>Branch / Department</w:t>
            </w:r>
          </w:p>
        </w:tc>
        <w:tc>
          <w:tcPr>
            <w:tcW w:type="dxa" w:w="5328"/>
            <w:tcMar>
              <w:top w:w="120" w:type="dxa"/>
              <w:bottom w:w="120" w:type="dxa"/>
              <w:left w:w="150" w:type="dxa"/>
              <w:right w:w="150" w:type="dxa"/>
            </w:tcMar>
          </w:tcPr>
          <w:p>
            <w:pPr>
              <w:spacing w:after="40"/>
            </w:pPr>
            <w:r>
              <w:rPr>
                <w:rFonts w:ascii="Calibri" w:hAnsi="Calibri"/>
                <w:color w:val="1E293B"/>
                <w:sz w:val="22"/>
              </w:rPr>
              <w:t>Electronics and Communication Engineering (ECE)</w:t>
            </w:r>
          </w:p>
        </w:tc>
      </w:tr>
      <w:tr>
        <w:tc>
          <w:tcPr>
            <w:tcW w:type="dxa" w:w="4032"/>
            <w:shd w:fill="F1F5F9"/>
            <w:tcMar>
              <w:top w:w="120" w:type="dxa"/>
              <w:bottom w:w="120" w:type="dxa"/>
              <w:left w:w="150" w:type="dxa"/>
              <w:right w:w="150" w:type="dxa"/>
            </w:tcMar>
          </w:tcPr>
          <w:p>
            <w:pPr>
              <w:spacing w:after="40"/>
            </w:pPr>
            <w:r>
              <w:rPr>
                <w:rFonts w:ascii="Calibri" w:hAnsi="Calibri"/>
                <w:b/>
                <w:color w:val="103460"/>
                <w:sz w:val="22"/>
              </w:rPr>
              <w:t>Project Supervisor / Guide</w:t>
            </w:r>
          </w:p>
        </w:tc>
        <w:tc>
          <w:tcPr>
            <w:tcW w:type="dxa" w:w="5328"/>
            <w:tcMar>
              <w:top w:w="120" w:type="dxa"/>
              <w:bottom w:w="120" w:type="dxa"/>
              <w:left w:w="150" w:type="dxa"/>
              <w:right w:w="150" w:type="dxa"/>
            </w:tcMar>
          </w:tcPr>
          <w:p>
            <w:pPr>
              <w:spacing w:after="40"/>
            </w:pPr>
            <w:r>
              <w:rPr>
                <w:rFonts w:ascii="Calibri" w:hAnsi="Calibri"/>
                <w:color w:val="1E293B"/>
                <w:sz w:val="22"/>
              </w:rPr>
              <w:t>Ashish Kumar</w:t>
            </w:r>
          </w:p>
        </w:tc>
      </w:tr>
      <w:tr>
        <w:tc>
          <w:tcPr>
            <w:tcW w:type="dxa" w:w="4032"/>
            <w:shd w:fill="F1F5F9"/>
            <w:tcMar>
              <w:top w:w="120" w:type="dxa"/>
              <w:bottom w:w="120" w:type="dxa"/>
              <w:left w:w="150" w:type="dxa"/>
              <w:right w:w="150" w:type="dxa"/>
            </w:tcMar>
          </w:tcPr>
          <w:p>
            <w:pPr>
              <w:spacing w:after="40"/>
            </w:pPr>
            <w:r>
              <w:rPr>
                <w:rFonts w:ascii="Calibri" w:hAnsi="Calibri"/>
                <w:b/>
                <w:color w:val="103460"/>
                <w:sz w:val="22"/>
              </w:rPr>
              <w:t>Batch / Degree</w:t>
            </w:r>
          </w:p>
        </w:tc>
        <w:tc>
          <w:tcPr>
            <w:tcW w:type="dxa" w:w="5328"/>
            <w:tcMar>
              <w:top w:w="120" w:type="dxa"/>
              <w:bottom w:w="120" w:type="dxa"/>
              <w:left w:w="150" w:type="dxa"/>
              <w:right w:w="150" w:type="dxa"/>
            </w:tcMar>
          </w:tcPr>
          <w:p>
            <w:pPr>
              <w:spacing w:after="40"/>
            </w:pPr>
            <w:r>
              <w:rPr>
                <w:rFonts w:ascii="Calibri" w:hAnsi="Calibri"/>
                <w:color w:val="1E293B"/>
                <w:sz w:val="22"/>
              </w:rPr>
              <w:t>Batch 2024–28 | B.Tech</w:t>
            </w:r>
          </w:p>
        </w:tc>
      </w:tr>
      <w:tr>
        <w:tc>
          <w:tcPr>
            <w:tcW w:type="dxa" w:w="4032"/>
            <w:shd w:fill="F1F5F9"/>
            <w:tcMar>
              <w:top w:w="120" w:type="dxa"/>
              <w:bottom w:w="120" w:type="dxa"/>
              <w:left w:w="150" w:type="dxa"/>
              <w:right w:w="150" w:type="dxa"/>
            </w:tcMar>
          </w:tcPr>
          <w:p>
            <w:pPr>
              <w:spacing w:after="40"/>
            </w:pPr>
            <w:r>
              <w:rPr>
                <w:rFonts w:ascii="Calibri" w:hAnsi="Calibri"/>
                <w:b/>
                <w:color w:val="103460"/>
                <w:sz w:val="22"/>
              </w:rPr>
              <w:t>Academic Year</w:t>
            </w:r>
          </w:p>
        </w:tc>
        <w:tc>
          <w:tcPr>
            <w:tcW w:type="dxa" w:w="5328"/>
            <w:tcMar>
              <w:top w:w="120" w:type="dxa"/>
              <w:bottom w:w="120" w:type="dxa"/>
              <w:left w:w="150" w:type="dxa"/>
              <w:right w:w="150" w:type="dxa"/>
            </w:tcMar>
          </w:tcPr>
          <w:p>
            <w:pPr>
              <w:spacing w:after="40"/>
            </w:pPr>
            <w:r>
              <w:rPr>
                <w:rFonts w:ascii="Calibri" w:hAnsi="Calibri"/>
                <w:color w:val="1E293B"/>
                <w:sz w:val="22"/>
              </w:rPr>
              <w:t>2026–27</w:t>
            </w:r>
          </w:p>
        </w:tc>
      </w:tr>
    </w:tbl>
    <w:p>
      <w:r>
        <w:br w:type="page"/>
      </w:r>
    </w:p>
    <w:p>
      <w:pPr>
        <w:keepNext/>
        <w:spacing w:before="360" w:after="120"/>
      </w:pPr>
      <w:r>
        <w:rPr>
          <w:rFonts w:ascii="Calibri" w:hAnsi="Calibri"/>
          <w:b/>
          <w:color w:val="103460"/>
          <w:sz w:val="30"/>
        </w:rPr>
        <w:t>1. Abstract</w:t>
      </w:r>
    </w:p>
    <w:p>
      <w:pPr>
        <w:spacing w:before="40" w:after="120" w:line="276" w:lineRule="auto"/>
      </w:pPr>
      <w:r>
        <w:rPr>
          <w:rFonts w:ascii="Calibri" w:hAnsi="Calibri"/>
          <w:color w:val="1E293B"/>
          <w:sz w:val="22"/>
        </w:rPr>
        <w:t>The Autonomous IoT Decision and Alert Platform (AIDAMS) is an intelligent, full-stack, edge-to-cloud cyber-physical industrial monitoring platform designed to eliminate human latency and alert fatigue in mission-critical manufacturing. Industrial machinery—such as automated bottling stations, CNC precision milling centers, logistics conveyors, and hydraulic pump turbines—often experience catastrophic structural breakdown when sudden thermal surges, mechanical vibrations, or electrical overload conditions occur. Traditional supervisory control systems (SCADA) rely on static threshold-based alarms that suffer from false alarm fatigue and fail to react within milliseconds of mechanical degradation.</w:t>
        <w:br/>
        <w:br/>
        <w:t>AIDAMS bridges high-frequency telemetry ingestion over lightweight MQTT protocols with a dual-tier Machine Learning core comprising an unsupervised Isolation Forest anomaly detector, rolling statistical Z-score calculators, and a multi-class Random Forest diagnostic classifier. A Python-driven Autonomous Decision Engine continuously evaluates streaming telemetry and executes closed-loop protective countermeasures (such as emergency main breaker cutoffs, auxiliary cooling boosts, speed throttling, and hydraulic bypass purges) without waiting for human intervention. Furthermore, operators maintain full operational governance via a dynamic, user-configurable rule management cockpit, MongoDB persistence, Node-RED orchestration pipelines, and Grafana Cloud observability dashboards. The entire platform is architected to operate 24/7 free across public serverless infrastructure.</w:t>
      </w:r>
    </w:p>
    <w:p>
      <w:pPr>
        <w:keepNext/>
        <w:spacing w:before="360" w:after="120"/>
      </w:pPr>
      <w:r>
        <w:rPr>
          <w:rFonts w:ascii="Calibri" w:hAnsi="Calibri"/>
          <w:b/>
          <w:color w:val="103460"/>
          <w:sz w:val="30"/>
        </w:rPr>
        <w:t>2. Problem Statement</w:t>
      </w:r>
    </w:p>
    <w:p>
      <w:pPr>
        <w:spacing w:before="40" w:after="120" w:line="276" w:lineRule="auto"/>
      </w:pPr>
      <w:r>
        <w:rPr>
          <w:rFonts w:ascii="Calibri" w:hAnsi="Calibri"/>
          <w:color w:val="1E293B"/>
          <w:sz w:val="22"/>
        </w:rPr>
        <w:t>Modern smart factories generate millions of high-frequency sensor telemetry packets every hour. However, modern supervisory plants still face significant operational vulnerabilities:</w:t>
      </w:r>
    </w:p>
    <w:p>
      <w:pPr>
        <w:pStyle w:val="ListBullet"/>
        <w:spacing w:before="20" w:after="80" w:line="276" w:lineRule="auto"/>
      </w:pPr>
      <w:r>
        <w:rPr>
          <w:rFonts w:ascii="Calibri" w:hAnsi="Calibri"/>
          <w:b/>
          <w:color w:val="1E293B"/>
          <w:sz w:val="22"/>
        </w:rPr>
        <w:t xml:space="preserve">1. Human Reaction Latency: </w:t>
      </w:r>
      <w:r>
        <w:rPr>
          <w:rFonts w:ascii="Calibri" w:hAnsi="Calibri"/>
          <w:color w:val="1E293B"/>
          <w:sz w:val="22"/>
        </w:rPr>
        <w:t xml:space="preserve"> High-speed rotating assets like turbine bearings and CNC spindles can experience irreversible mechanical destruction within 2 to 5 seconds of lubrication breakdown or cavitation. Human reaction time is inherently inadequate to arrest these cascades.</w:t>
      </w:r>
    </w:p>
    <w:p>
      <w:pPr>
        <w:pStyle w:val="ListBullet"/>
        <w:spacing w:before="20" w:after="80" w:line="276" w:lineRule="auto"/>
      </w:pPr>
      <w:r>
        <w:rPr>
          <w:rFonts w:ascii="Calibri" w:hAnsi="Calibri"/>
          <w:b/>
          <w:color w:val="1E293B"/>
          <w:sz w:val="22"/>
        </w:rPr>
        <w:t xml:space="preserve">2. False Alarm Fatigue: </w:t>
      </w:r>
      <w:r>
        <w:rPr>
          <w:rFonts w:ascii="Calibri" w:hAnsi="Calibri"/>
          <w:color w:val="1E293B"/>
          <w:sz w:val="22"/>
        </w:rPr>
        <w:t xml:space="preserve"> Static threshold alarms ('Alert if Temperature &gt; 80°C') fail to capture subtle multi-variate correlations (e.g., normal temperature accompanied by sudden harmonic vibration) and inundate operators with false alarms during ambient shifts.</w:t>
      </w:r>
    </w:p>
    <w:p>
      <w:pPr>
        <w:pStyle w:val="ListBullet"/>
        <w:spacing w:before="20" w:after="80" w:line="276" w:lineRule="auto"/>
      </w:pPr>
      <w:r>
        <w:rPr>
          <w:rFonts w:ascii="Calibri" w:hAnsi="Calibri"/>
          <w:b/>
          <w:color w:val="1E293B"/>
          <w:sz w:val="22"/>
        </w:rPr>
        <w:t xml:space="preserve">3. Rigid Proprietary Architectures: </w:t>
      </w:r>
      <w:r>
        <w:rPr>
          <w:rFonts w:ascii="Calibri" w:hAnsi="Calibri"/>
          <w:color w:val="1E293B"/>
          <w:sz w:val="22"/>
        </w:rPr>
        <w:t xml:space="preserve"> Existing industrial SCADA/DCS systems are proprietary, vendor-locked, and prevent plant engineers from editing autonomous control rules or deploying custom machine learning models.</w:t>
      </w:r>
    </w:p>
    <w:p>
      <w:pPr>
        <w:pStyle w:val="ListBullet"/>
        <w:spacing w:before="20" w:after="80" w:line="276" w:lineRule="auto"/>
      </w:pPr>
      <w:r>
        <w:rPr>
          <w:rFonts w:ascii="Calibri" w:hAnsi="Calibri"/>
          <w:b/>
          <w:color w:val="1E293B"/>
          <w:sz w:val="22"/>
        </w:rPr>
        <w:t xml:space="preserve">4. Prohibitive Financial Cost: </w:t>
      </w:r>
      <w:r>
        <w:rPr>
          <w:rFonts w:ascii="Calibri" w:hAnsi="Calibri"/>
          <w:color w:val="1E293B"/>
          <w:sz w:val="22"/>
        </w:rPr>
        <w:t xml:space="preserve"> Commercial cloud IoT packages (AWS IoT SiteWise, Azure IoT Hub) impose steep ongoing recurring subscription fees that are inaccessible to small-to-medium enterprises (SMEs) and academic institutions.</w:t>
      </w:r>
    </w:p>
    <w:p>
      <w:pPr>
        <w:keepNext/>
        <w:spacing w:before="360" w:after="120"/>
      </w:pPr>
      <w:r>
        <w:rPr>
          <w:rFonts w:ascii="Calibri" w:hAnsi="Calibri"/>
          <w:b/>
          <w:color w:val="103460"/>
          <w:sz w:val="30"/>
        </w:rPr>
        <w:t>3. Project Objectives</w:t>
      </w:r>
    </w:p>
    <w:p>
      <w:pPr>
        <w:pStyle w:val="ListBullet"/>
        <w:spacing w:before="20" w:after="80" w:line="276" w:lineRule="auto"/>
      </w:pPr>
      <w:r>
        <w:rPr>
          <w:rFonts w:ascii="Calibri" w:hAnsi="Calibri"/>
          <w:b/>
          <w:color w:val="1E293B"/>
          <w:sz w:val="22"/>
        </w:rPr>
        <w:t xml:space="preserve">• Real-Time Ingestion: </w:t>
      </w:r>
      <w:r>
        <w:rPr>
          <w:rFonts w:ascii="Calibri" w:hAnsi="Calibri"/>
          <w:color w:val="1E293B"/>
          <w:sz w:val="22"/>
        </w:rPr>
        <w:t>Ingest real-time multi-sensor telemetry (temperature, vibration, pressure, current, acoustic noise, RPM) over lightweight MQTT (QoS-1) with millisecond latency.</w:t>
      </w:r>
    </w:p>
    <w:p>
      <w:pPr>
        <w:pStyle w:val="ListBullet"/>
        <w:spacing w:before="20" w:after="80" w:line="276" w:lineRule="auto"/>
      </w:pPr>
      <w:r>
        <w:rPr>
          <w:rFonts w:ascii="Calibri" w:hAnsi="Calibri"/>
          <w:b/>
          <w:color w:val="1E293B"/>
          <w:sz w:val="22"/>
        </w:rPr>
        <w:t xml:space="preserve">• Unsupervised Machine Learning: </w:t>
      </w:r>
      <w:r>
        <w:rPr>
          <w:rFonts w:ascii="Calibri" w:hAnsi="Calibri"/>
          <w:color w:val="1E293B"/>
          <w:sz w:val="22"/>
        </w:rPr>
        <w:t>Deploy a dual-tier machine learning pipeline utilizing Scikit-Learn Isolation Forest and rolling Z-score deviation to detect anomalies without manual labeling.</w:t>
      </w:r>
    </w:p>
    <w:p>
      <w:pPr>
        <w:pStyle w:val="ListBullet"/>
        <w:spacing w:before="20" w:after="80" w:line="276" w:lineRule="auto"/>
      </w:pPr>
      <w:r>
        <w:rPr>
          <w:rFonts w:ascii="Calibri" w:hAnsi="Calibri"/>
          <w:b/>
          <w:color w:val="1E293B"/>
          <w:sz w:val="22"/>
        </w:rPr>
        <w:t xml:space="preserve">• Predictive Health Index: </w:t>
      </w:r>
      <w:r>
        <w:rPr>
          <w:rFonts w:ascii="Calibri" w:hAnsi="Calibri"/>
          <w:color w:val="1E293B"/>
          <w:sz w:val="22"/>
        </w:rPr>
        <w:t>Automatically diagnose operational failure regimes (Bearing Degradation, Thermal Runaway, Cavitation Surge, Motor Overload) and compute a dynamic Equipment Health Index (EHI, 0–100%).</w:t>
      </w:r>
    </w:p>
    <w:p>
      <w:pPr>
        <w:pStyle w:val="ListBullet"/>
        <w:spacing w:before="20" w:after="80" w:line="276" w:lineRule="auto"/>
      </w:pPr>
      <w:r>
        <w:rPr>
          <w:rFonts w:ascii="Calibri" w:hAnsi="Calibri"/>
          <w:b/>
          <w:color w:val="1E293B"/>
          <w:sz w:val="22"/>
        </w:rPr>
        <w:t xml:space="preserve">• Closed-Loop Autonomous Actuation: </w:t>
      </w:r>
      <w:r>
        <w:rPr>
          <w:rFonts w:ascii="Calibri" w:hAnsi="Calibri"/>
          <w:color w:val="1E293B"/>
          <w:sz w:val="22"/>
        </w:rPr>
        <w:t>Execute closed-loop digital twin actuator commands (emergency breaker trip, auxiliary cooling activation, RPM throttling, and pressure relief valve purge) within 2 seconds of threshold violation.</w:t>
      </w:r>
    </w:p>
    <w:p>
      <w:pPr>
        <w:pStyle w:val="ListBullet"/>
        <w:spacing w:before="20" w:after="80" w:line="276" w:lineRule="auto"/>
      </w:pPr>
      <w:r>
        <w:rPr>
          <w:rFonts w:ascii="Calibri" w:hAnsi="Calibri"/>
          <w:b/>
          <w:color w:val="1E293B"/>
          <w:sz w:val="22"/>
        </w:rPr>
        <w:t xml:space="preserve">• Operator Governance &amp; Customization: </w:t>
      </w:r>
      <w:r>
        <w:rPr>
          <w:rFonts w:ascii="Calibri" w:hAnsi="Calibri"/>
          <w:color w:val="1E293B"/>
          <w:sz w:val="22"/>
        </w:rPr>
        <w:t>Provide an interactive user-facing rule management cockpit where plant operators can add, modify, toggle, and delete decision rules live in production.</w:t>
      </w:r>
    </w:p>
    <w:p>
      <w:pPr>
        <w:pStyle w:val="ListBullet"/>
        <w:spacing w:before="20" w:after="80" w:line="276" w:lineRule="auto"/>
      </w:pPr>
      <w:r>
        <w:rPr>
          <w:rFonts w:ascii="Calibri" w:hAnsi="Calibri"/>
          <w:b/>
          <w:color w:val="1E293B"/>
          <w:sz w:val="22"/>
        </w:rPr>
        <w:t xml:space="preserve">• Enterprise Orchestration: </w:t>
      </w:r>
      <w:r>
        <w:rPr>
          <w:rFonts w:ascii="Calibri" w:hAnsi="Calibri"/>
          <w:color w:val="1E293B"/>
          <w:sz w:val="22"/>
        </w:rPr>
        <w:t>Persist all telemetry, ML anomaly evaluations, autonomous decisions, and incident lifecycles in MongoDB and export ready-to-run Node-RED workflows and Grafana Cloud dashboards.</w:t>
      </w:r>
    </w:p>
    <w:p>
      <w:pPr>
        <w:pStyle w:val="ListBullet"/>
        <w:spacing w:before="20" w:after="80" w:line="276" w:lineRule="auto"/>
      </w:pPr>
      <w:r>
        <w:rPr>
          <w:rFonts w:ascii="Calibri" w:hAnsi="Calibri"/>
          <w:b/>
          <w:color w:val="1E293B"/>
          <w:sz w:val="22"/>
        </w:rPr>
        <w:t xml:space="preserve">• 24/7 Free Global Accessibility: </w:t>
      </w:r>
      <w:r>
        <w:rPr>
          <w:rFonts w:ascii="Calibri" w:hAnsi="Calibri"/>
          <w:color w:val="1E293B"/>
          <w:sz w:val="22"/>
        </w:rPr>
        <w:t>Deliver a production-ready application deployable 24/7 for $0/month on Streamlit Community Cloud and GitHub.</w:t>
      </w:r>
    </w:p>
    <w:p>
      <w:pPr>
        <w:keepNext/>
        <w:spacing w:before="360" w:after="120"/>
      </w:pPr>
      <w:r>
        <w:rPr>
          <w:rFonts w:ascii="Calibri" w:hAnsi="Calibri"/>
          <w:b/>
          <w:color w:val="103460"/>
          <w:sz w:val="30"/>
        </w:rPr>
        <w:t>4. Proposed Solution &amp; Methodology</w:t>
      </w:r>
    </w:p>
    <w:p>
      <w:pPr>
        <w:spacing w:before="40" w:after="120" w:line="276" w:lineRule="auto"/>
      </w:pPr>
      <w:r>
        <w:rPr>
          <w:rFonts w:ascii="Calibri" w:hAnsi="Calibri"/>
          <w:color w:val="1E293B"/>
          <w:sz w:val="22"/>
        </w:rPr>
        <w:t>The proposed platform implements a cyclic six-stage cyber-physical loop: Sense → Communicate → Evaluate → Actuate → Persist → Visualize.</w:t>
      </w:r>
    </w:p>
    <w:p>
      <w:pPr>
        <w:pStyle w:val="ListBullet"/>
        <w:spacing w:before="20" w:after="80" w:line="276" w:lineRule="auto"/>
      </w:pPr>
      <w:r>
        <w:rPr>
          <w:rFonts w:ascii="Calibri" w:hAnsi="Calibri"/>
          <w:b/>
          <w:color w:val="1E293B"/>
          <w:sz w:val="22"/>
        </w:rPr>
        <w:t xml:space="preserve">1. Sensing: </w:t>
      </w:r>
      <w:r>
        <w:rPr>
          <w:rFonts w:ascii="Calibri" w:hAnsi="Calibri"/>
          <w:color w:val="1E293B"/>
          <w:sz w:val="22"/>
        </w:rPr>
        <w:t>Industrial edge assets stream multi-sensor payloads at 1–2 second intervals formatted in lightweight JSON.</w:t>
      </w:r>
    </w:p>
    <w:p>
      <w:pPr>
        <w:pStyle w:val="ListBullet"/>
        <w:spacing w:before="20" w:after="80" w:line="276" w:lineRule="auto"/>
      </w:pPr>
      <w:r>
        <w:rPr>
          <w:rFonts w:ascii="Calibri" w:hAnsi="Calibri"/>
          <w:b/>
          <w:color w:val="1E293B"/>
          <w:sz w:val="22"/>
        </w:rPr>
        <w:t xml:space="preserve">2. Communication: </w:t>
      </w:r>
      <w:r>
        <w:rPr>
          <w:rFonts w:ascii="Calibri" w:hAnsi="Calibri"/>
          <w:color w:val="1E293B"/>
          <w:sz w:val="22"/>
        </w:rPr>
        <w:t>Packets are published to an MQTT Broker (HiveMQ Cloud / Eclipse Mosquitto) over port 1883/8883 (TLS encrypted).</w:t>
      </w:r>
    </w:p>
    <w:p>
      <w:pPr>
        <w:pStyle w:val="ListBullet"/>
        <w:spacing w:before="20" w:after="80" w:line="276" w:lineRule="auto"/>
      </w:pPr>
      <w:r>
        <w:rPr>
          <w:rFonts w:ascii="Calibri" w:hAnsi="Calibri"/>
          <w:b/>
          <w:color w:val="1E293B"/>
          <w:sz w:val="22"/>
        </w:rPr>
        <w:t xml:space="preserve">3. Intelligence &amp; Evaluation: </w:t>
      </w:r>
      <w:r>
        <w:rPr>
          <w:rFonts w:ascii="Calibri" w:hAnsi="Calibri"/>
          <w:color w:val="1E293B"/>
          <w:sz w:val="22"/>
        </w:rPr>
        <w:t>The Python AIoT engine scales incoming features, evaluates anomaly scores via Isolation Forest, and determines root cause deviation.</w:t>
      </w:r>
    </w:p>
    <w:p>
      <w:pPr>
        <w:pStyle w:val="ListBullet"/>
        <w:spacing w:before="20" w:after="80" w:line="276" w:lineRule="auto"/>
      </w:pPr>
      <w:r>
        <w:rPr>
          <w:rFonts w:ascii="Calibri" w:hAnsi="Calibri"/>
          <w:b/>
          <w:color w:val="1E293B"/>
          <w:sz w:val="22"/>
        </w:rPr>
        <w:t xml:space="preserve">4. Closed-Loop Actuation: </w:t>
      </w:r>
      <w:r>
        <w:rPr>
          <w:rFonts w:ascii="Calibri" w:hAnsi="Calibri"/>
          <w:color w:val="1E293B"/>
          <w:sz w:val="22"/>
        </w:rPr>
        <w:t>If safety conditions are breached, the Autonomous Decision Engine verifies the anti-flapping debounce window and publishes actuator commands to `iot/actuator/commands`.</w:t>
      </w:r>
    </w:p>
    <w:p>
      <w:pPr>
        <w:pStyle w:val="ListBullet"/>
        <w:spacing w:before="20" w:after="80" w:line="276" w:lineRule="auto"/>
      </w:pPr>
      <w:r>
        <w:rPr>
          <w:rFonts w:ascii="Calibri" w:hAnsi="Calibri"/>
          <w:b/>
          <w:color w:val="1E293B"/>
          <w:sz w:val="22"/>
        </w:rPr>
        <w:t xml:space="preserve">5. Persistence: </w:t>
      </w:r>
      <w:r>
        <w:rPr>
          <w:rFonts w:ascii="Calibri" w:hAnsi="Calibri"/>
          <w:color w:val="1E293B"/>
          <w:sz w:val="22"/>
        </w:rPr>
        <w:t>Every reading, ML anomaly evaluation, and autonomous action is persisted to MongoDB collections (`telemetry`, `anomalies`, `decisions`, `alerts`, `device_states`).</w:t>
      </w:r>
    </w:p>
    <w:p>
      <w:pPr>
        <w:pStyle w:val="ListBullet"/>
        <w:spacing w:before="20" w:after="80" w:line="276" w:lineRule="auto"/>
      </w:pPr>
      <w:r>
        <w:rPr>
          <w:rFonts w:ascii="Calibri" w:hAnsi="Calibri"/>
          <w:b/>
          <w:color w:val="1E293B"/>
          <w:sz w:val="22"/>
        </w:rPr>
        <w:t xml:space="preserve">6. Visualization &amp; Governance: </w:t>
      </w:r>
      <w:r>
        <w:rPr>
          <w:rFonts w:ascii="Calibri" w:hAnsi="Calibri"/>
          <w:color w:val="1E293B"/>
          <w:sz w:val="22"/>
        </w:rPr>
        <w:t>Operators monitor asset telemetry, inspect explainable AI failure root-causes, and modify rules through Streamlit, Grafana, and Node-RED.</w:t>
      </w:r>
    </w:p>
    <w:p>
      <w:pPr>
        <w:keepNext/>
        <w:spacing w:before="360" w:after="120"/>
      </w:pPr>
      <w:r>
        <w:rPr>
          <w:rFonts w:ascii="Calibri" w:hAnsi="Calibri"/>
          <w:b/>
          <w:color w:val="103460"/>
          <w:sz w:val="30"/>
        </w:rPr>
        <w:t>5. Scope of the Project</w:t>
      </w:r>
    </w:p>
    <w:p>
      <w:pPr>
        <w:keepNext/>
        <w:spacing w:before="240" w:after="80"/>
      </w:pPr>
      <w:r>
        <w:rPr>
          <w:rFonts w:ascii="Calibri" w:hAnsi="Calibri"/>
          <w:b/>
          <w:color w:val="0077B6"/>
          <w:sz w:val="25"/>
        </w:rPr>
        <w:t>5.1 In-Scope Deliverables</w:t>
      </w:r>
    </w:p>
    <w:p>
      <w:pPr>
        <w:pStyle w:val="ListBullet"/>
        <w:spacing w:before="20" w:after="80" w:line="276" w:lineRule="auto"/>
      </w:pPr>
      <w:r>
        <w:rPr>
          <w:rFonts w:ascii="Calibri" w:hAnsi="Calibri"/>
          <w:color w:val="1E293B"/>
          <w:sz w:val="22"/>
        </w:rPr>
        <w:t>Full multi-asset industrial telemetry simulation covering Bottle Filling Machines, CNC Precision Milling, Logistics Conveyors, and Pump Turbines.</w:t>
      </w:r>
    </w:p>
    <w:p>
      <w:pPr>
        <w:pStyle w:val="ListBullet"/>
        <w:spacing w:before="20" w:after="80" w:line="276" w:lineRule="auto"/>
      </w:pPr>
      <w:r>
        <w:rPr>
          <w:rFonts w:ascii="Calibri" w:hAnsi="Calibri"/>
          <w:color w:val="1E293B"/>
          <w:sz w:val="22"/>
        </w:rPr>
        <w:t>Comprehensive telemetry parameters: Temperature (°C), Vibration (mm/s), Hydraulic Pressure (bar), Current (A), Acoustic Noise (dB), and RPM.</w:t>
      </w:r>
    </w:p>
    <w:p>
      <w:pPr>
        <w:pStyle w:val="ListBullet"/>
        <w:spacing w:before="20" w:after="80" w:line="276" w:lineRule="auto"/>
      </w:pPr>
      <w:r>
        <w:rPr>
          <w:rFonts w:ascii="Calibri" w:hAnsi="Calibri"/>
          <w:color w:val="1E293B"/>
          <w:sz w:val="22"/>
        </w:rPr>
        <w:t>Dual-tier Scikit-Learn ML engine (Isolation Forest + Random Forest) with real-time explainability.</w:t>
      </w:r>
    </w:p>
    <w:p>
      <w:pPr>
        <w:pStyle w:val="ListBullet"/>
        <w:spacing w:before="20" w:after="80" w:line="276" w:lineRule="auto"/>
      </w:pPr>
      <w:r>
        <w:rPr>
          <w:rFonts w:ascii="Calibri" w:hAnsi="Calibri"/>
          <w:color w:val="1E293B"/>
          <w:sz w:val="22"/>
        </w:rPr>
        <w:t>Interactive Streamlit Web Cockpit with live Plotly charts, dark cyber theme, and actuator digital twins.</w:t>
      </w:r>
    </w:p>
    <w:p>
      <w:pPr>
        <w:pStyle w:val="ListBullet"/>
        <w:spacing w:before="20" w:after="80" w:line="276" w:lineRule="auto"/>
      </w:pPr>
      <w:r>
        <w:rPr>
          <w:rFonts w:ascii="Calibri" w:hAnsi="Calibri"/>
          <w:color w:val="1E293B"/>
          <w:sz w:val="22"/>
        </w:rPr>
        <w:t>Dynamic Rule Manager allowing operators to add, edit, and toggle safety thresholds live.</w:t>
      </w:r>
    </w:p>
    <w:p>
      <w:pPr>
        <w:pStyle w:val="ListBullet"/>
        <w:spacing w:before="20" w:after="80" w:line="276" w:lineRule="auto"/>
      </w:pPr>
      <w:r>
        <w:rPr>
          <w:rFonts w:ascii="Calibri" w:hAnsi="Calibri"/>
          <w:color w:val="1E293B"/>
          <w:sz w:val="22"/>
        </w:rPr>
        <w:t>Pre-configured Node-RED flow (`node_red_flows.json`) and Grafana Cloud dashboard (`grafana_dashboard.json`).</w:t>
      </w:r>
    </w:p>
    <w:p>
      <w:pPr>
        <w:pStyle w:val="ListBullet"/>
        <w:spacing w:before="20" w:after="80" w:line="276" w:lineRule="auto"/>
      </w:pPr>
      <w:r>
        <w:rPr>
          <w:rFonts w:ascii="Calibri" w:hAnsi="Calibri"/>
          <w:color w:val="1E293B"/>
          <w:sz w:val="22"/>
        </w:rPr>
        <w:t>Complete Git repository initialized and deployed to GitHub and Streamlit Community Cloud for 24/7 free access.</w:t>
      </w:r>
    </w:p>
    <w:p>
      <w:pPr>
        <w:keepNext/>
        <w:spacing w:before="240" w:after="80"/>
      </w:pPr>
      <w:r>
        <w:rPr>
          <w:rFonts w:ascii="Calibri" w:hAnsi="Calibri"/>
          <w:b/>
          <w:color w:val="0077B6"/>
          <w:sz w:val="25"/>
        </w:rPr>
        <w:t>5.2 Out-of-Scope (Future Enhancements)</w:t>
      </w:r>
    </w:p>
    <w:p>
      <w:pPr>
        <w:pStyle w:val="ListBullet"/>
        <w:spacing w:before="20" w:after="80" w:line="276" w:lineRule="auto"/>
      </w:pPr>
      <w:r>
        <w:rPr>
          <w:rFonts w:ascii="Calibri" w:hAnsi="Calibri"/>
          <w:color w:val="1E293B"/>
          <w:sz w:val="22"/>
        </w:rPr>
        <w:t>Physical coupling to high-voltage industrial factory switchgear (current version controls simulated and digital twin actuators).</w:t>
      </w:r>
    </w:p>
    <w:p>
      <w:pPr>
        <w:pStyle w:val="ListBullet"/>
        <w:spacing w:before="20" w:after="80" w:line="276" w:lineRule="auto"/>
      </w:pPr>
      <w:r>
        <w:rPr>
          <w:rFonts w:ascii="Calibri" w:hAnsi="Calibri"/>
          <w:color w:val="1E293B"/>
          <w:sz w:val="22"/>
        </w:rPr>
        <w:t>Enterprise LDAP/Single Sign-On (user roles are currently managed through operator cockpit access).</w:t>
      </w:r>
    </w:p>
    <w:p>
      <w:pPr>
        <w:keepNext/>
        <w:spacing w:before="360" w:after="120"/>
      </w:pPr>
      <w:r>
        <w:rPr>
          <w:rFonts w:ascii="Calibri" w:hAnsi="Calibri"/>
          <w:b/>
          <w:color w:val="103460"/>
          <w:sz w:val="30"/>
        </w:rPr>
        <w:t>6. Functional Requirements Specification</w:t>
      </w:r>
    </w:p>
    <w:tbl>
      <w:tblPr>
        <w:tblW w:type="auto" w:w="0"/>
        <w:jc w:val="center"/>
        <w:tblLayout w:type="fixed"/>
        <w:tblLook w:firstColumn="1" w:firstRow="1" w:lastColumn="0" w:lastRow="0" w:noHBand="0" w:noVBand="1" w:val="04A0"/>
      </w:tblPr>
      <w:tblGrid>
        <w:gridCol w:w="3120"/>
        <w:gridCol w:w="3120"/>
        <w:gridCol w:w="3120"/>
      </w:tblGrid>
      <w:tr>
        <w:tc>
          <w:tcPr>
            <w:tcW w:type="dxa" w:w="1440"/>
            <w:shd w:fill="1E3A8A"/>
            <w:tcMar>
              <w:top w:w="140" w:type="dxa"/>
              <w:bottom w:w="140" w:type="dxa"/>
              <w:left w:w="120" w:type="dxa"/>
              <w:right w:w="120" w:type="dxa"/>
            </w:tcMar>
          </w:tcPr>
          <w:p>
            <w:pPr>
              <w:jc w:val="center"/>
            </w:pPr>
            <w:r>
              <w:rPr>
                <w:rFonts w:ascii="Calibri" w:hAnsi="Calibri"/>
                <w:b/>
                <w:color w:val="FFFFFF"/>
                <w:sz w:val="21"/>
              </w:rPr>
              <w:t>Req ID</w:t>
            </w:r>
          </w:p>
        </w:tc>
        <w:tc>
          <w:tcPr>
            <w:tcW w:type="dxa" w:w="2592"/>
            <w:shd w:fill="1E3A8A"/>
            <w:tcMar>
              <w:top w:w="140" w:type="dxa"/>
              <w:bottom w:w="140" w:type="dxa"/>
              <w:left w:w="120" w:type="dxa"/>
              <w:right w:w="120" w:type="dxa"/>
            </w:tcMar>
          </w:tcPr>
          <w:p>
            <w:pPr>
              <w:jc w:val="center"/>
            </w:pPr>
            <w:r>
              <w:rPr>
                <w:rFonts w:ascii="Calibri" w:hAnsi="Calibri"/>
                <w:b/>
                <w:color w:val="FFFFFF"/>
                <w:sz w:val="21"/>
              </w:rPr>
              <w:t>Module / Feature</w:t>
            </w:r>
          </w:p>
        </w:tc>
        <w:tc>
          <w:tcPr>
            <w:tcW w:type="dxa" w:w="5328"/>
            <w:shd w:fill="1E3A8A"/>
            <w:tcMar>
              <w:top w:w="140" w:type="dxa"/>
              <w:bottom w:w="140" w:type="dxa"/>
              <w:left w:w="120" w:type="dxa"/>
              <w:right w:w="120" w:type="dxa"/>
            </w:tcMar>
          </w:tcPr>
          <w:p>
            <w:pPr>
              <w:jc w:val="center"/>
            </w:pPr>
            <w:r>
              <w:rPr>
                <w:rFonts w:ascii="Calibri" w:hAnsi="Calibri"/>
                <w:b/>
                <w:color w:val="FFFFFF"/>
                <w:sz w:val="21"/>
              </w:rPr>
              <w:t>Functional Specification Description</w:t>
            </w:r>
          </w:p>
        </w:tc>
      </w:tr>
      <w:tr>
        <w:tc>
          <w:tcPr>
            <w:tcW w:type="dxa" w:w="1440"/>
            <w:shd w:fill="F8FAFC"/>
            <w:tcMar>
              <w:top w:w="100" w:type="dxa"/>
              <w:bottom w:w="100" w:type="dxa"/>
              <w:left w:w="120" w:type="dxa"/>
              <w:right w:w="120" w:type="dxa"/>
            </w:tcMar>
          </w:tcPr>
          <w:p>
            <w:pPr>
              <w:jc w:val="center"/>
            </w:pPr>
            <w:r>
              <w:rPr>
                <w:rFonts w:ascii="Calibri" w:hAnsi="Calibri"/>
                <w:b/>
                <w:color w:val="1E293B"/>
                <w:sz w:val="19"/>
              </w:rPr>
              <w:t>FR-01</w:t>
            </w:r>
          </w:p>
        </w:tc>
        <w:tc>
          <w:tcPr>
            <w:tcW w:type="dxa" w:w="2592"/>
            <w:shd w:fill="F8FAFC"/>
            <w:tcMar>
              <w:top w:w="100" w:type="dxa"/>
              <w:bottom w:w="100" w:type="dxa"/>
              <w:left w:w="120" w:type="dxa"/>
              <w:right w:w="120" w:type="dxa"/>
            </w:tcMar>
          </w:tcPr>
          <w:p>
            <w:r>
              <w:rPr>
                <w:rFonts w:ascii="Calibri" w:hAnsi="Calibri"/>
                <w:b/>
                <w:color w:val="1E293B"/>
                <w:sz w:val="19"/>
              </w:rPr>
              <w:t>Telemetry Ingestion</w:t>
            </w:r>
          </w:p>
        </w:tc>
        <w:tc>
          <w:tcPr>
            <w:tcW w:type="dxa" w:w="5328"/>
            <w:shd w:fill="F8FAFC"/>
            <w:tcMar>
              <w:top w:w="100" w:type="dxa"/>
              <w:bottom w:w="100" w:type="dxa"/>
              <w:left w:w="120" w:type="dxa"/>
              <w:right w:w="120" w:type="dxa"/>
            </w:tcMar>
          </w:tcPr>
          <w:p>
            <w:r>
              <w:rPr>
                <w:rFonts w:ascii="Calibri" w:hAnsi="Calibri"/>
                <w:b w:val="0"/>
                <w:color w:val="1E293B"/>
                <w:sz w:val="19"/>
              </w:rPr>
              <w:t>The system shall ingest continuous multi-sensor telemetry packets (temperature, vibration, pressure, current, noise, rpm) over MQTT topics `iot/telemetry/#`.</w:t>
            </w:r>
          </w:p>
        </w:tc>
      </w:tr>
      <w:tr>
        <w:tc>
          <w:tcPr>
            <w:tcW w:type="dxa" w:w="1440"/>
            <w:shd w:fill="FFFFFF"/>
            <w:tcMar>
              <w:top w:w="100" w:type="dxa"/>
              <w:bottom w:w="100" w:type="dxa"/>
              <w:left w:w="120" w:type="dxa"/>
              <w:right w:w="120" w:type="dxa"/>
            </w:tcMar>
          </w:tcPr>
          <w:p>
            <w:pPr>
              <w:jc w:val="center"/>
            </w:pPr>
            <w:r>
              <w:rPr>
                <w:rFonts w:ascii="Calibri" w:hAnsi="Calibri"/>
                <w:b/>
                <w:color w:val="1E293B"/>
                <w:sz w:val="19"/>
              </w:rPr>
              <w:t>FR-02</w:t>
            </w:r>
          </w:p>
        </w:tc>
        <w:tc>
          <w:tcPr>
            <w:tcW w:type="dxa" w:w="2592"/>
            <w:shd w:fill="FFFFFF"/>
            <w:tcMar>
              <w:top w:w="100" w:type="dxa"/>
              <w:bottom w:w="100" w:type="dxa"/>
              <w:left w:w="120" w:type="dxa"/>
              <w:right w:w="120" w:type="dxa"/>
            </w:tcMar>
          </w:tcPr>
          <w:p>
            <w:r>
              <w:rPr>
                <w:rFonts w:ascii="Calibri" w:hAnsi="Calibri"/>
                <w:b/>
                <w:color w:val="1E293B"/>
                <w:sz w:val="19"/>
              </w:rPr>
              <w:t>Data Normalization &amp; Storage</w:t>
            </w:r>
          </w:p>
        </w:tc>
        <w:tc>
          <w:tcPr>
            <w:tcW w:type="dxa" w:w="5328"/>
            <w:shd w:fill="FFFFFF"/>
            <w:tcMar>
              <w:top w:w="100" w:type="dxa"/>
              <w:bottom w:w="100" w:type="dxa"/>
              <w:left w:w="120" w:type="dxa"/>
              <w:right w:w="120" w:type="dxa"/>
            </w:tcMar>
          </w:tcPr>
          <w:p>
            <w:r>
              <w:rPr>
                <w:rFonts w:ascii="Calibri" w:hAnsi="Calibri"/>
                <w:b w:val="0"/>
                <w:color w:val="1E293B"/>
                <w:sz w:val="19"/>
              </w:rPr>
              <w:t>The system shall standardize incoming sensor values via Z-score scaling and persist every record to the MongoDB `telemetry` collection.</w:t>
            </w:r>
          </w:p>
        </w:tc>
      </w:tr>
      <w:tr>
        <w:tc>
          <w:tcPr>
            <w:tcW w:type="dxa" w:w="1440"/>
            <w:shd w:fill="F8FAFC"/>
            <w:tcMar>
              <w:top w:w="100" w:type="dxa"/>
              <w:bottom w:w="100" w:type="dxa"/>
              <w:left w:w="120" w:type="dxa"/>
              <w:right w:w="120" w:type="dxa"/>
            </w:tcMar>
          </w:tcPr>
          <w:p>
            <w:pPr>
              <w:jc w:val="center"/>
            </w:pPr>
            <w:r>
              <w:rPr>
                <w:rFonts w:ascii="Calibri" w:hAnsi="Calibri"/>
                <w:b/>
                <w:color w:val="1E293B"/>
                <w:sz w:val="19"/>
              </w:rPr>
              <w:t>FR-03</w:t>
            </w:r>
          </w:p>
        </w:tc>
        <w:tc>
          <w:tcPr>
            <w:tcW w:type="dxa" w:w="2592"/>
            <w:shd w:fill="F8FAFC"/>
            <w:tcMar>
              <w:top w:w="100" w:type="dxa"/>
              <w:bottom w:w="100" w:type="dxa"/>
              <w:left w:w="120" w:type="dxa"/>
              <w:right w:w="120" w:type="dxa"/>
            </w:tcMar>
          </w:tcPr>
          <w:p>
            <w:r>
              <w:rPr>
                <w:rFonts w:ascii="Calibri" w:hAnsi="Calibri"/>
                <w:b/>
                <w:color w:val="1E293B"/>
                <w:sz w:val="19"/>
              </w:rPr>
              <w:t>Unsupervised Anomaly Detection</w:t>
            </w:r>
          </w:p>
        </w:tc>
        <w:tc>
          <w:tcPr>
            <w:tcW w:type="dxa" w:w="5328"/>
            <w:shd w:fill="F8FAFC"/>
            <w:tcMar>
              <w:top w:w="100" w:type="dxa"/>
              <w:bottom w:w="100" w:type="dxa"/>
              <w:left w:w="120" w:type="dxa"/>
              <w:right w:w="120" w:type="dxa"/>
            </w:tcMar>
          </w:tcPr>
          <w:p>
            <w:r>
              <w:rPr>
                <w:rFonts w:ascii="Calibri" w:hAnsi="Calibri"/>
                <w:b w:val="0"/>
                <w:color w:val="1E293B"/>
                <w:sz w:val="19"/>
              </w:rPr>
              <w:t>The ML engine shall apply Isolation Forest to determine anomaly status (-1 for anomaly, 1 for normal) and compute a continuous anomaly score.</w:t>
            </w:r>
          </w:p>
        </w:tc>
      </w:tr>
      <w:tr>
        <w:tc>
          <w:tcPr>
            <w:tcW w:type="dxa" w:w="1440"/>
            <w:shd w:fill="FFFFFF"/>
            <w:tcMar>
              <w:top w:w="100" w:type="dxa"/>
              <w:bottom w:w="100" w:type="dxa"/>
              <w:left w:w="120" w:type="dxa"/>
              <w:right w:w="120" w:type="dxa"/>
            </w:tcMar>
          </w:tcPr>
          <w:p>
            <w:pPr>
              <w:jc w:val="center"/>
            </w:pPr>
            <w:r>
              <w:rPr>
                <w:rFonts w:ascii="Calibri" w:hAnsi="Calibri"/>
                <w:b/>
                <w:color w:val="1E293B"/>
                <w:sz w:val="19"/>
              </w:rPr>
              <w:t>FR-04</w:t>
            </w:r>
          </w:p>
        </w:tc>
        <w:tc>
          <w:tcPr>
            <w:tcW w:type="dxa" w:w="2592"/>
            <w:shd w:fill="FFFFFF"/>
            <w:tcMar>
              <w:top w:w="100" w:type="dxa"/>
              <w:bottom w:w="100" w:type="dxa"/>
              <w:left w:w="120" w:type="dxa"/>
              <w:right w:w="120" w:type="dxa"/>
            </w:tcMar>
          </w:tcPr>
          <w:p>
            <w:r>
              <w:rPr>
                <w:rFonts w:ascii="Calibri" w:hAnsi="Calibri"/>
                <w:b/>
                <w:color w:val="1E293B"/>
                <w:sz w:val="19"/>
              </w:rPr>
              <w:t>Predictive Diagnostics &amp; Health</w:t>
            </w:r>
          </w:p>
        </w:tc>
        <w:tc>
          <w:tcPr>
            <w:tcW w:type="dxa" w:w="5328"/>
            <w:shd w:fill="FFFFFF"/>
            <w:tcMar>
              <w:top w:w="100" w:type="dxa"/>
              <w:bottom w:w="100" w:type="dxa"/>
              <w:left w:w="120" w:type="dxa"/>
              <w:right w:w="120" w:type="dxa"/>
            </w:tcMar>
          </w:tcPr>
          <w:p>
            <w:r>
              <w:rPr>
                <w:rFonts w:ascii="Calibri" w:hAnsi="Calibri"/>
                <w:b w:val="0"/>
                <w:color w:val="1E293B"/>
                <w:sz w:val="19"/>
              </w:rPr>
              <w:t>The system shall classify failure modes (Bearing Wear, Thermal Runaway, Cavitation, Overload) and compute an Equipment Health Index (0–100%).</w:t>
            </w:r>
          </w:p>
        </w:tc>
      </w:tr>
      <w:tr>
        <w:tc>
          <w:tcPr>
            <w:tcW w:type="dxa" w:w="1440"/>
            <w:shd w:fill="F8FAFC"/>
            <w:tcMar>
              <w:top w:w="100" w:type="dxa"/>
              <w:bottom w:w="100" w:type="dxa"/>
              <w:left w:w="120" w:type="dxa"/>
              <w:right w:w="120" w:type="dxa"/>
            </w:tcMar>
          </w:tcPr>
          <w:p>
            <w:pPr>
              <w:jc w:val="center"/>
            </w:pPr>
            <w:r>
              <w:rPr>
                <w:rFonts w:ascii="Calibri" w:hAnsi="Calibri"/>
                <w:b/>
                <w:color w:val="1E293B"/>
                <w:sz w:val="19"/>
              </w:rPr>
              <w:t>FR-05</w:t>
            </w:r>
          </w:p>
        </w:tc>
        <w:tc>
          <w:tcPr>
            <w:tcW w:type="dxa" w:w="2592"/>
            <w:shd w:fill="F8FAFC"/>
            <w:tcMar>
              <w:top w:w="100" w:type="dxa"/>
              <w:bottom w:w="100" w:type="dxa"/>
              <w:left w:w="120" w:type="dxa"/>
              <w:right w:w="120" w:type="dxa"/>
            </w:tcMar>
          </w:tcPr>
          <w:p>
            <w:r>
              <w:rPr>
                <w:rFonts w:ascii="Calibri" w:hAnsi="Calibri"/>
                <w:b/>
                <w:color w:val="1E293B"/>
                <w:sz w:val="19"/>
              </w:rPr>
              <w:t>Autonomous Protective Actuation</w:t>
            </w:r>
          </w:p>
        </w:tc>
        <w:tc>
          <w:tcPr>
            <w:tcW w:type="dxa" w:w="5328"/>
            <w:shd w:fill="F8FAFC"/>
            <w:tcMar>
              <w:top w:w="100" w:type="dxa"/>
              <w:bottom w:w="100" w:type="dxa"/>
              <w:left w:w="120" w:type="dxa"/>
              <w:right w:w="120" w:type="dxa"/>
            </w:tcMar>
          </w:tcPr>
          <w:p>
            <w:r>
              <w:rPr>
                <w:rFonts w:ascii="Calibri" w:hAnsi="Calibri"/>
                <w:b w:val="0"/>
                <w:color w:val="1E293B"/>
                <w:sz w:val="19"/>
              </w:rPr>
              <w:t>The decision engine shall trigger immediate automated countermeasures (Emergency Breaker Trip, Auxiliary Cooling Boost, RPM Throttle, Pressure Dump) when thresholds are violated.</w:t>
            </w:r>
          </w:p>
        </w:tc>
      </w:tr>
      <w:tr>
        <w:tc>
          <w:tcPr>
            <w:tcW w:type="dxa" w:w="1440"/>
            <w:shd w:fill="FFFFFF"/>
            <w:tcMar>
              <w:top w:w="100" w:type="dxa"/>
              <w:bottom w:w="100" w:type="dxa"/>
              <w:left w:w="120" w:type="dxa"/>
              <w:right w:w="120" w:type="dxa"/>
            </w:tcMar>
          </w:tcPr>
          <w:p>
            <w:pPr>
              <w:jc w:val="center"/>
            </w:pPr>
            <w:r>
              <w:rPr>
                <w:rFonts w:ascii="Calibri" w:hAnsi="Calibri"/>
                <w:b/>
                <w:color w:val="1E293B"/>
                <w:sz w:val="19"/>
              </w:rPr>
              <w:t>FR-06</w:t>
            </w:r>
          </w:p>
        </w:tc>
        <w:tc>
          <w:tcPr>
            <w:tcW w:type="dxa" w:w="2592"/>
            <w:shd w:fill="FFFFFF"/>
            <w:tcMar>
              <w:top w:w="100" w:type="dxa"/>
              <w:bottom w:w="100" w:type="dxa"/>
              <w:left w:w="120" w:type="dxa"/>
              <w:right w:w="120" w:type="dxa"/>
            </w:tcMar>
          </w:tcPr>
          <w:p>
            <w:r>
              <w:rPr>
                <w:rFonts w:ascii="Calibri" w:hAnsi="Calibri"/>
                <w:b/>
                <w:color w:val="1E293B"/>
                <w:sz w:val="19"/>
              </w:rPr>
              <w:t>Debounce &amp; Flapping Prevention</w:t>
            </w:r>
          </w:p>
        </w:tc>
        <w:tc>
          <w:tcPr>
            <w:tcW w:type="dxa" w:w="5328"/>
            <w:shd w:fill="FFFFFF"/>
            <w:tcMar>
              <w:top w:w="100" w:type="dxa"/>
              <w:bottom w:w="100" w:type="dxa"/>
              <w:left w:w="120" w:type="dxa"/>
              <w:right w:w="120" w:type="dxa"/>
            </w:tcMar>
          </w:tcPr>
          <w:p>
            <w:r>
              <w:rPr>
                <w:rFonts w:ascii="Calibri" w:hAnsi="Calibri"/>
                <w:b w:val="0"/>
                <w:color w:val="1E293B"/>
                <w:sz w:val="19"/>
              </w:rPr>
              <w:t>The engine shall maintain a configurable cooldown debounce window (default 30 seconds) per rule to prevent electromechanical relay chatter.</w:t>
            </w:r>
          </w:p>
        </w:tc>
      </w:tr>
      <w:tr>
        <w:tc>
          <w:tcPr>
            <w:tcW w:type="dxa" w:w="1440"/>
            <w:shd w:fill="F8FAFC"/>
            <w:tcMar>
              <w:top w:w="100" w:type="dxa"/>
              <w:bottom w:w="100" w:type="dxa"/>
              <w:left w:w="120" w:type="dxa"/>
              <w:right w:w="120" w:type="dxa"/>
            </w:tcMar>
          </w:tcPr>
          <w:p>
            <w:pPr>
              <w:jc w:val="center"/>
            </w:pPr>
            <w:r>
              <w:rPr>
                <w:rFonts w:ascii="Calibri" w:hAnsi="Calibri"/>
                <w:b/>
                <w:color w:val="1E293B"/>
                <w:sz w:val="19"/>
              </w:rPr>
              <w:t>FR-07</w:t>
            </w:r>
          </w:p>
        </w:tc>
        <w:tc>
          <w:tcPr>
            <w:tcW w:type="dxa" w:w="2592"/>
            <w:shd w:fill="F8FAFC"/>
            <w:tcMar>
              <w:top w:w="100" w:type="dxa"/>
              <w:bottom w:w="100" w:type="dxa"/>
              <w:left w:w="120" w:type="dxa"/>
              <w:right w:w="120" w:type="dxa"/>
            </w:tcMar>
          </w:tcPr>
          <w:p>
            <w:r>
              <w:rPr>
                <w:rFonts w:ascii="Calibri" w:hAnsi="Calibri"/>
                <w:b/>
                <w:color w:val="1E293B"/>
                <w:sz w:val="19"/>
              </w:rPr>
              <w:t>User Rule Governance</w:t>
            </w:r>
          </w:p>
        </w:tc>
        <w:tc>
          <w:tcPr>
            <w:tcW w:type="dxa" w:w="5328"/>
            <w:shd w:fill="F8FAFC"/>
            <w:tcMar>
              <w:top w:w="100" w:type="dxa"/>
              <w:bottom w:w="100" w:type="dxa"/>
              <w:left w:w="120" w:type="dxa"/>
              <w:right w:w="120" w:type="dxa"/>
            </w:tcMar>
          </w:tcPr>
          <w:p>
            <w:r>
              <w:rPr>
                <w:rFonts w:ascii="Calibri" w:hAnsi="Calibri"/>
                <w:b w:val="0"/>
                <w:color w:val="1E293B"/>
                <w:sz w:val="19"/>
              </w:rPr>
              <w:t>The web cockpit shall allow plant operators to add new decision rules, modify thresholds, change priorities, and toggle rules ON/OFF live.</w:t>
            </w:r>
          </w:p>
        </w:tc>
      </w:tr>
      <w:tr>
        <w:tc>
          <w:tcPr>
            <w:tcW w:type="dxa" w:w="1440"/>
            <w:shd w:fill="FFFFFF"/>
            <w:tcMar>
              <w:top w:w="100" w:type="dxa"/>
              <w:bottom w:w="100" w:type="dxa"/>
              <w:left w:w="120" w:type="dxa"/>
              <w:right w:w="120" w:type="dxa"/>
            </w:tcMar>
          </w:tcPr>
          <w:p>
            <w:pPr>
              <w:jc w:val="center"/>
            </w:pPr>
            <w:r>
              <w:rPr>
                <w:rFonts w:ascii="Calibri" w:hAnsi="Calibri"/>
                <w:b/>
                <w:color w:val="1E293B"/>
                <w:sz w:val="19"/>
              </w:rPr>
              <w:t>FR-08</w:t>
            </w:r>
          </w:p>
        </w:tc>
        <w:tc>
          <w:tcPr>
            <w:tcW w:type="dxa" w:w="2592"/>
            <w:shd w:fill="FFFFFF"/>
            <w:tcMar>
              <w:top w:w="100" w:type="dxa"/>
              <w:bottom w:w="100" w:type="dxa"/>
              <w:left w:w="120" w:type="dxa"/>
              <w:right w:w="120" w:type="dxa"/>
            </w:tcMar>
          </w:tcPr>
          <w:p>
            <w:r>
              <w:rPr>
                <w:rFonts w:ascii="Calibri" w:hAnsi="Calibri"/>
                <w:b/>
                <w:color w:val="1E293B"/>
                <w:sz w:val="19"/>
              </w:rPr>
              <w:t>Explainable AI Root-Cause</w:t>
            </w:r>
          </w:p>
        </w:tc>
        <w:tc>
          <w:tcPr>
            <w:tcW w:type="dxa" w:w="5328"/>
            <w:shd w:fill="FFFFFF"/>
            <w:tcMar>
              <w:top w:w="100" w:type="dxa"/>
              <w:bottom w:w="100" w:type="dxa"/>
              <w:left w:w="120" w:type="dxa"/>
              <w:right w:w="120" w:type="dxa"/>
            </w:tcMar>
          </w:tcPr>
          <w:p>
            <w:r>
              <w:rPr>
                <w:rFonts w:ascii="Calibri" w:hAnsi="Calibri"/>
                <w:b w:val="0"/>
                <w:color w:val="1E293B"/>
                <w:sz w:val="19"/>
              </w:rPr>
              <w:t>The system shall identify the top driving sensor deviation (%) responsible for an anomaly and display plain-language diagnostic explanations.</w:t>
            </w:r>
          </w:p>
        </w:tc>
      </w:tr>
      <w:tr>
        <w:tc>
          <w:tcPr>
            <w:tcW w:type="dxa" w:w="1440"/>
            <w:shd w:fill="F8FAFC"/>
            <w:tcMar>
              <w:top w:w="100" w:type="dxa"/>
              <w:bottom w:w="100" w:type="dxa"/>
              <w:left w:w="120" w:type="dxa"/>
              <w:right w:w="120" w:type="dxa"/>
            </w:tcMar>
          </w:tcPr>
          <w:p>
            <w:pPr>
              <w:jc w:val="center"/>
            </w:pPr>
            <w:r>
              <w:rPr>
                <w:rFonts w:ascii="Calibri" w:hAnsi="Calibri"/>
                <w:b/>
                <w:color w:val="1E293B"/>
                <w:sz w:val="19"/>
              </w:rPr>
              <w:t>FR-09</w:t>
            </w:r>
          </w:p>
        </w:tc>
        <w:tc>
          <w:tcPr>
            <w:tcW w:type="dxa" w:w="2592"/>
            <w:shd w:fill="F8FAFC"/>
            <w:tcMar>
              <w:top w:w="100" w:type="dxa"/>
              <w:bottom w:w="100" w:type="dxa"/>
              <w:left w:w="120" w:type="dxa"/>
              <w:right w:w="120" w:type="dxa"/>
            </w:tcMar>
          </w:tcPr>
          <w:p>
            <w:r>
              <w:rPr>
                <w:rFonts w:ascii="Calibri" w:hAnsi="Calibri"/>
                <w:b/>
                <w:color w:val="1E293B"/>
                <w:sz w:val="19"/>
              </w:rPr>
              <w:t>Incident Lifecycle Management</w:t>
            </w:r>
          </w:p>
        </w:tc>
        <w:tc>
          <w:tcPr>
            <w:tcW w:type="dxa" w:w="5328"/>
            <w:shd w:fill="F8FAFC"/>
            <w:tcMar>
              <w:top w:w="100" w:type="dxa"/>
              <w:bottom w:w="100" w:type="dxa"/>
              <w:left w:w="120" w:type="dxa"/>
              <w:right w:w="120" w:type="dxa"/>
            </w:tcMar>
          </w:tcPr>
          <w:p>
            <w:r>
              <w:rPr>
                <w:rFonts w:ascii="Calibri" w:hAnsi="Calibri"/>
                <w:b w:val="0"/>
                <w:color w:val="1E293B"/>
                <w:sz w:val="19"/>
              </w:rPr>
              <w:t>The system shall generate alerts with lifecycle states (`ACTIVE`, `ACKNOWLEDGED`, `RESOLVED`) and allow operator manual reset.</w:t>
            </w:r>
          </w:p>
        </w:tc>
      </w:tr>
      <w:tr>
        <w:tc>
          <w:tcPr>
            <w:tcW w:type="dxa" w:w="1440"/>
            <w:shd w:fill="FFFFFF"/>
            <w:tcMar>
              <w:top w:w="100" w:type="dxa"/>
              <w:bottom w:w="100" w:type="dxa"/>
              <w:left w:w="120" w:type="dxa"/>
              <w:right w:w="120" w:type="dxa"/>
            </w:tcMar>
          </w:tcPr>
          <w:p>
            <w:pPr>
              <w:jc w:val="center"/>
            </w:pPr>
            <w:r>
              <w:rPr>
                <w:rFonts w:ascii="Calibri" w:hAnsi="Calibri"/>
                <w:b/>
                <w:color w:val="1E293B"/>
                <w:sz w:val="19"/>
              </w:rPr>
              <w:t>FR-10</w:t>
            </w:r>
          </w:p>
        </w:tc>
        <w:tc>
          <w:tcPr>
            <w:tcW w:type="dxa" w:w="2592"/>
            <w:shd w:fill="FFFFFF"/>
            <w:tcMar>
              <w:top w:w="100" w:type="dxa"/>
              <w:bottom w:w="100" w:type="dxa"/>
              <w:left w:w="120" w:type="dxa"/>
              <w:right w:w="120" w:type="dxa"/>
            </w:tcMar>
          </w:tcPr>
          <w:p>
            <w:r>
              <w:rPr>
                <w:rFonts w:ascii="Calibri" w:hAnsi="Calibri"/>
                <w:b/>
                <w:color w:val="1E293B"/>
                <w:sz w:val="19"/>
              </w:rPr>
              <w:t>Fault Injection Simulation Lab</w:t>
            </w:r>
          </w:p>
        </w:tc>
        <w:tc>
          <w:tcPr>
            <w:tcW w:type="dxa" w:w="5328"/>
            <w:shd w:fill="FFFFFF"/>
            <w:tcMar>
              <w:top w:w="100" w:type="dxa"/>
              <w:bottom w:w="100" w:type="dxa"/>
              <w:left w:w="120" w:type="dxa"/>
              <w:right w:w="120" w:type="dxa"/>
            </w:tcMar>
          </w:tcPr>
          <w:p>
            <w:r>
              <w:rPr>
                <w:rFonts w:ascii="Calibri" w:hAnsi="Calibri"/>
                <w:b w:val="0"/>
                <w:color w:val="1E293B"/>
                <w:sz w:val="19"/>
              </w:rPr>
              <w:t>The platform shall provide interactive controls to inject physical faults (`Thermal Runaway`, `Bearing Wear`, `Cavitation`, `Motor Overload`) for stress-testing.</w:t>
            </w:r>
          </w:p>
        </w:tc>
      </w:tr>
      <w:tr>
        <w:tc>
          <w:tcPr>
            <w:tcW w:type="dxa" w:w="1440"/>
            <w:shd w:fill="F8FAFC"/>
            <w:tcMar>
              <w:top w:w="100" w:type="dxa"/>
              <w:bottom w:w="100" w:type="dxa"/>
              <w:left w:w="120" w:type="dxa"/>
              <w:right w:w="120" w:type="dxa"/>
            </w:tcMar>
          </w:tcPr>
          <w:p>
            <w:pPr>
              <w:jc w:val="center"/>
            </w:pPr>
            <w:r>
              <w:rPr>
                <w:rFonts w:ascii="Calibri" w:hAnsi="Calibri"/>
                <w:b/>
                <w:color w:val="1E293B"/>
                <w:sz w:val="19"/>
              </w:rPr>
              <w:t>FR-11</w:t>
            </w:r>
          </w:p>
        </w:tc>
        <w:tc>
          <w:tcPr>
            <w:tcW w:type="dxa" w:w="2592"/>
            <w:shd w:fill="F8FAFC"/>
            <w:tcMar>
              <w:top w:w="100" w:type="dxa"/>
              <w:bottom w:w="100" w:type="dxa"/>
              <w:left w:w="120" w:type="dxa"/>
              <w:right w:w="120" w:type="dxa"/>
            </w:tcMar>
          </w:tcPr>
          <w:p>
            <w:r>
              <w:rPr>
                <w:rFonts w:ascii="Calibri" w:hAnsi="Calibri"/>
                <w:b/>
                <w:color w:val="1E293B"/>
                <w:sz w:val="19"/>
              </w:rPr>
              <w:t>External Notification Dispatch</w:t>
            </w:r>
          </w:p>
        </w:tc>
        <w:tc>
          <w:tcPr>
            <w:tcW w:type="dxa" w:w="5328"/>
            <w:shd w:fill="F8FAFC"/>
            <w:tcMar>
              <w:top w:w="100" w:type="dxa"/>
              <w:bottom w:w="100" w:type="dxa"/>
              <w:left w:w="120" w:type="dxa"/>
              <w:right w:w="120" w:type="dxa"/>
            </w:tcMar>
          </w:tcPr>
          <w:p>
            <w:r>
              <w:rPr>
                <w:rFonts w:ascii="Calibri" w:hAnsi="Calibri"/>
                <w:b w:val="0"/>
                <w:color w:val="1E293B"/>
                <w:sz w:val="19"/>
              </w:rPr>
              <w:t>The system shall format and dispatch automated JSON webhook payloads (Discord, Slack, Teams) and Telegram alerts upon critical events.</w:t>
            </w:r>
          </w:p>
        </w:tc>
      </w:tr>
    </w:tbl>
    <w:p>
      <w:pPr>
        <w:keepNext/>
        <w:spacing w:before="360" w:after="120"/>
      </w:pPr>
      <w:r>
        <w:rPr>
          <w:rFonts w:ascii="Calibri" w:hAnsi="Calibri"/>
          <w:b/>
          <w:color w:val="103460"/>
          <w:sz w:val="30"/>
        </w:rPr>
        <w:t>7. Non-Functional Requirements Specification</w:t>
      </w:r>
    </w:p>
    <w:tbl>
      <w:tblPr>
        <w:tblW w:type="auto" w:w="0"/>
        <w:jc w:val="center"/>
        <w:tblLayout w:type="fixed"/>
        <w:tblLook w:firstColumn="1" w:firstRow="1" w:lastColumn="0" w:lastRow="0" w:noHBand="0" w:noVBand="1" w:val="04A0"/>
      </w:tblPr>
      <w:tblGrid>
        <w:gridCol w:w="3120"/>
        <w:gridCol w:w="3120"/>
        <w:gridCol w:w="3120"/>
      </w:tblGrid>
      <w:tr>
        <w:tc>
          <w:tcPr>
            <w:tcW w:type="dxa" w:w="1440"/>
            <w:shd w:fill="0F766E"/>
            <w:tcMar>
              <w:top w:w="140" w:type="dxa"/>
              <w:bottom w:w="140" w:type="dxa"/>
              <w:left w:w="120" w:type="dxa"/>
              <w:right w:w="120" w:type="dxa"/>
            </w:tcMar>
          </w:tcPr>
          <w:p>
            <w:pPr>
              <w:jc w:val="center"/>
            </w:pPr>
            <w:r>
              <w:rPr>
                <w:rFonts w:ascii="Calibri" w:hAnsi="Calibri"/>
                <w:b/>
                <w:color w:val="FFFFFF"/>
                <w:sz w:val="21"/>
              </w:rPr>
              <w:t>Req ID</w:t>
            </w:r>
          </w:p>
        </w:tc>
        <w:tc>
          <w:tcPr>
            <w:tcW w:type="dxa" w:w="2592"/>
            <w:shd w:fill="0F766E"/>
            <w:tcMar>
              <w:top w:w="140" w:type="dxa"/>
              <w:bottom w:w="140" w:type="dxa"/>
              <w:left w:w="120" w:type="dxa"/>
              <w:right w:w="120" w:type="dxa"/>
            </w:tcMar>
          </w:tcPr>
          <w:p>
            <w:pPr>
              <w:jc w:val="center"/>
            </w:pPr>
            <w:r>
              <w:rPr>
                <w:rFonts w:ascii="Calibri" w:hAnsi="Calibri"/>
                <w:b/>
                <w:color w:val="FFFFFF"/>
                <w:sz w:val="21"/>
              </w:rPr>
              <w:t>Attribute</w:t>
            </w:r>
          </w:p>
        </w:tc>
        <w:tc>
          <w:tcPr>
            <w:tcW w:type="dxa" w:w="5328"/>
            <w:shd w:fill="0F766E"/>
            <w:tcMar>
              <w:top w:w="140" w:type="dxa"/>
              <w:bottom w:w="140" w:type="dxa"/>
              <w:left w:w="120" w:type="dxa"/>
              <w:right w:w="120" w:type="dxa"/>
            </w:tcMar>
          </w:tcPr>
          <w:p>
            <w:pPr>
              <w:jc w:val="center"/>
            </w:pPr>
            <w:r>
              <w:rPr>
                <w:rFonts w:ascii="Calibri" w:hAnsi="Calibri"/>
                <w:b/>
                <w:color w:val="FFFFFF"/>
                <w:sz w:val="21"/>
              </w:rPr>
              <w:t>Non-Functional Benchmark</w:t>
            </w:r>
          </w:p>
        </w:tc>
      </w:tr>
      <w:tr>
        <w:tc>
          <w:tcPr>
            <w:tcW w:type="dxa" w:w="1440"/>
            <w:shd w:fill="F0FDFA"/>
            <w:tcMar>
              <w:top w:w="100" w:type="dxa"/>
              <w:bottom w:w="100" w:type="dxa"/>
              <w:left w:w="120" w:type="dxa"/>
              <w:right w:w="120" w:type="dxa"/>
            </w:tcMar>
          </w:tcPr>
          <w:p>
            <w:pPr>
              <w:jc w:val="center"/>
            </w:pPr>
            <w:r>
              <w:rPr>
                <w:rFonts w:ascii="Calibri" w:hAnsi="Calibri"/>
                <w:b/>
                <w:color w:val="1E293B"/>
                <w:sz w:val="19"/>
              </w:rPr>
              <w:t>NFR-01</w:t>
            </w:r>
          </w:p>
        </w:tc>
        <w:tc>
          <w:tcPr>
            <w:tcW w:type="dxa" w:w="2592"/>
            <w:shd w:fill="F0FDFA"/>
            <w:tcMar>
              <w:top w:w="100" w:type="dxa"/>
              <w:bottom w:w="100" w:type="dxa"/>
              <w:left w:w="120" w:type="dxa"/>
              <w:right w:w="120" w:type="dxa"/>
            </w:tcMar>
          </w:tcPr>
          <w:p>
            <w:r>
              <w:rPr>
                <w:rFonts w:ascii="Calibri" w:hAnsi="Calibri"/>
                <w:b/>
                <w:color w:val="1E293B"/>
                <w:sz w:val="19"/>
              </w:rPr>
              <w:t>Latency &amp; Performance</w:t>
            </w:r>
          </w:p>
        </w:tc>
        <w:tc>
          <w:tcPr>
            <w:tcW w:type="dxa" w:w="5328"/>
            <w:shd w:fill="F0FDFA"/>
            <w:tcMar>
              <w:top w:w="100" w:type="dxa"/>
              <w:bottom w:w="100" w:type="dxa"/>
              <w:left w:w="120" w:type="dxa"/>
              <w:right w:w="120" w:type="dxa"/>
            </w:tcMar>
          </w:tcPr>
          <w:p>
            <w:r>
              <w:rPr>
                <w:rFonts w:ascii="Calibri" w:hAnsi="Calibri"/>
                <w:b w:val="0"/>
                <w:color w:val="1E293B"/>
                <w:sz w:val="19"/>
              </w:rPr>
              <w:t>The end-to-end latency from anomaly injection to ML detection and autonomous actuator trigger shall not exceed 2.0 seconds.</w:t>
            </w:r>
          </w:p>
        </w:tc>
      </w:tr>
      <w:tr>
        <w:tc>
          <w:tcPr>
            <w:tcW w:type="dxa" w:w="1440"/>
            <w:shd w:fill="FFFFFF"/>
            <w:tcMar>
              <w:top w:w="100" w:type="dxa"/>
              <w:bottom w:w="100" w:type="dxa"/>
              <w:left w:w="120" w:type="dxa"/>
              <w:right w:w="120" w:type="dxa"/>
            </w:tcMar>
          </w:tcPr>
          <w:p>
            <w:pPr>
              <w:jc w:val="center"/>
            </w:pPr>
            <w:r>
              <w:rPr>
                <w:rFonts w:ascii="Calibri" w:hAnsi="Calibri"/>
                <w:b/>
                <w:color w:val="1E293B"/>
                <w:sz w:val="19"/>
              </w:rPr>
              <w:t>NFR-02</w:t>
            </w:r>
          </w:p>
        </w:tc>
        <w:tc>
          <w:tcPr>
            <w:tcW w:type="dxa" w:w="2592"/>
            <w:shd w:fill="FFFFFF"/>
            <w:tcMar>
              <w:top w:w="100" w:type="dxa"/>
              <w:bottom w:w="100" w:type="dxa"/>
              <w:left w:w="120" w:type="dxa"/>
              <w:right w:w="120" w:type="dxa"/>
            </w:tcMar>
          </w:tcPr>
          <w:p>
            <w:r>
              <w:rPr>
                <w:rFonts w:ascii="Calibri" w:hAnsi="Calibri"/>
                <w:b/>
                <w:color w:val="1E293B"/>
                <w:sz w:val="19"/>
              </w:rPr>
              <w:t>24/7 Availability</w:t>
            </w:r>
          </w:p>
        </w:tc>
        <w:tc>
          <w:tcPr>
            <w:tcW w:type="dxa" w:w="5328"/>
            <w:shd w:fill="FFFFFF"/>
            <w:tcMar>
              <w:top w:w="100" w:type="dxa"/>
              <w:bottom w:w="100" w:type="dxa"/>
              <w:left w:w="120" w:type="dxa"/>
              <w:right w:w="120" w:type="dxa"/>
            </w:tcMar>
          </w:tcPr>
          <w:p>
            <w:r>
              <w:rPr>
                <w:rFonts w:ascii="Calibri" w:hAnsi="Calibri"/>
                <w:b w:val="0"/>
                <w:color w:val="1E293B"/>
                <w:sz w:val="19"/>
              </w:rPr>
              <w:t>The web cockpit and MQTT pipeline shall operate continuously on Streamlit Community Cloud and HiveMQ Cloud with 99.9% uptime at $0 cost.</w:t>
            </w:r>
          </w:p>
        </w:tc>
      </w:tr>
      <w:tr>
        <w:tc>
          <w:tcPr>
            <w:tcW w:type="dxa" w:w="1440"/>
            <w:shd w:fill="F0FDFA"/>
            <w:tcMar>
              <w:top w:w="100" w:type="dxa"/>
              <w:bottom w:w="100" w:type="dxa"/>
              <w:left w:w="120" w:type="dxa"/>
              <w:right w:w="120" w:type="dxa"/>
            </w:tcMar>
          </w:tcPr>
          <w:p>
            <w:pPr>
              <w:jc w:val="center"/>
            </w:pPr>
            <w:r>
              <w:rPr>
                <w:rFonts w:ascii="Calibri" w:hAnsi="Calibri"/>
                <w:b/>
                <w:color w:val="1E293B"/>
                <w:sz w:val="19"/>
              </w:rPr>
              <w:t>NFR-03</w:t>
            </w:r>
          </w:p>
        </w:tc>
        <w:tc>
          <w:tcPr>
            <w:tcW w:type="dxa" w:w="2592"/>
            <w:shd w:fill="F0FDFA"/>
            <w:tcMar>
              <w:top w:w="100" w:type="dxa"/>
              <w:bottom w:w="100" w:type="dxa"/>
              <w:left w:w="120" w:type="dxa"/>
              <w:right w:w="120" w:type="dxa"/>
            </w:tcMar>
          </w:tcPr>
          <w:p>
            <w:r>
              <w:rPr>
                <w:rFonts w:ascii="Calibri" w:hAnsi="Calibri"/>
                <w:b/>
                <w:color w:val="1E293B"/>
                <w:sz w:val="19"/>
              </w:rPr>
              <w:t>Scalability</w:t>
            </w:r>
          </w:p>
        </w:tc>
        <w:tc>
          <w:tcPr>
            <w:tcW w:type="dxa" w:w="5328"/>
            <w:shd w:fill="F0FDFA"/>
            <w:tcMar>
              <w:top w:w="100" w:type="dxa"/>
              <w:bottom w:w="100" w:type="dxa"/>
              <w:left w:w="120" w:type="dxa"/>
              <w:right w:w="120" w:type="dxa"/>
            </w:tcMar>
          </w:tcPr>
          <w:p>
            <w:r>
              <w:rPr>
                <w:rFonts w:ascii="Calibri" w:hAnsi="Calibri"/>
                <w:b w:val="0"/>
                <w:color w:val="1E293B"/>
                <w:sz w:val="19"/>
              </w:rPr>
              <w:t>The MQTT ingestion layer shall support up to 100 concurrent edge microcontrollers (ESP32/Raspberry Pi) publishing at 1 Hz.</w:t>
            </w:r>
          </w:p>
        </w:tc>
      </w:tr>
      <w:tr>
        <w:tc>
          <w:tcPr>
            <w:tcW w:type="dxa" w:w="1440"/>
            <w:shd w:fill="FFFFFF"/>
            <w:tcMar>
              <w:top w:w="100" w:type="dxa"/>
              <w:bottom w:w="100" w:type="dxa"/>
              <w:left w:w="120" w:type="dxa"/>
              <w:right w:w="120" w:type="dxa"/>
            </w:tcMar>
          </w:tcPr>
          <w:p>
            <w:pPr>
              <w:jc w:val="center"/>
            </w:pPr>
            <w:r>
              <w:rPr>
                <w:rFonts w:ascii="Calibri" w:hAnsi="Calibri"/>
                <w:b/>
                <w:color w:val="1E293B"/>
                <w:sz w:val="19"/>
              </w:rPr>
              <w:t>NFR-04</w:t>
            </w:r>
          </w:p>
        </w:tc>
        <w:tc>
          <w:tcPr>
            <w:tcW w:type="dxa" w:w="2592"/>
            <w:shd w:fill="FFFFFF"/>
            <w:tcMar>
              <w:top w:w="100" w:type="dxa"/>
              <w:bottom w:w="100" w:type="dxa"/>
              <w:left w:w="120" w:type="dxa"/>
              <w:right w:w="120" w:type="dxa"/>
            </w:tcMar>
          </w:tcPr>
          <w:p>
            <w:r>
              <w:rPr>
                <w:rFonts w:ascii="Calibri" w:hAnsi="Calibri"/>
                <w:b/>
                <w:color w:val="1E293B"/>
                <w:sz w:val="19"/>
              </w:rPr>
              <w:t>Data Integrity</w:t>
            </w:r>
          </w:p>
        </w:tc>
        <w:tc>
          <w:tcPr>
            <w:tcW w:type="dxa" w:w="5328"/>
            <w:shd w:fill="FFFFFF"/>
            <w:tcMar>
              <w:top w:w="100" w:type="dxa"/>
              <w:bottom w:w="100" w:type="dxa"/>
              <w:left w:w="120" w:type="dxa"/>
              <w:right w:w="120" w:type="dxa"/>
            </w:tcMar>
          </w:tcPr>
          <w:p>
            <w:r>
              <w:rPr>
                <w:rFonts w:ascii="Calibri" w:hAnsi="Calibri"/>
                <w:b w:val="0"/>
                <w:color w:val="1E293B"/>
                <w:sz w:val="19"/>
              </w:rPr>
              <w:t>All telemetry, anomaly scores, and audit records shall be committed with ISO-8601 UTC timestamps and compound indexes for fast query retrieval.</w:t>
            </w:r>
          </w:p>
        </w:tc>
      </w:tr>
      <w:tr>
        <w:tc>
          <w:tcPr>
            <w:tcW w:type="dxa" w:w="1440"/>
            <w:shd w:fill="F0FDFA"/>
            <w:tcMar>
              <w:top w:w="100" w:type="dxa"/>
              <w:bottom w:w="100" w:type="dxa"/>
              <w:left w:w="120" w:type="dxa"/>
              <w:right w:w="120" w:type="dxa"/>
            </w:tcMar>
          </w:tcPr>
          <w:p>
            <w:pPr>
              <w:jc w:val="center"/>
            </w:pPr>
            <w:r>
              <w:rPr>
                <w:rFonts w:ascii="Calibri" w:hAnsi="Calibri"/>
                <w:b/>
                <w:color w:val="1E293B"/>
                <w:sz w:val="19"/>
              </w:rPr>
              <w:t>NFR-05</w:t>
            </w:r>
          </w:p>
        </w:tc>
        <w:tc>
          <w:tcPr>
            <w:tcW w:type="dxa" w:w="2592"/>
            <w:shd w:fill="F0FDFA"/>
            <w:tcMar>
              <w:top w:w="100" w:type="dxa"/>
              <w:bottom w:w="100" w:type="dxa"/>
              <w:left w:w="120" w:type="dxa"/>
              <w:right w:w="120" w:type="dxa"/>
            </w:tcMar>
          </w:tcPr>
          <w:p>
            <w:r>
              <w:rPr>
                <w:rFonts w:ascii="Calibri" w:hAnsi="Calibri"/>
                <w:b/>
                <w:color w:val="1E293B"/>
                <w:sz w:val="19"/>
              </w:rPr>
              <w:t>Usability &amp; Accessibility</w:t>
            </w:r>
          </w:p>
        </w:tc>
        <w:tc>
          <w:tcPr>
            <w:tcW w:type="dxa" w:w="5328"/>
            <w:shd w:fill="F0FDFA"/>
            <w:tcMar>
              <w:top w:w="100" w:type="dxa"/>
              <w:bottom w:w="100" w:type="dxa"/>
              <w:left w:w="120" w:type="dxa"/>
              <w:right w:w="120" w:type="dxa"/>
            </w:tcMar>
          </w:tcPr>
          <w:p>
            <w:r>
              <w:rPr>
                <w:rFonts w:ascii="Calibri" w:hAnsi="Calibri"/>
                <w:b w:val="0"/>
                <w:color w:val="1E293B"/>
                <w:sz w:val="19"/>
              </w:rPr>
              <w:t>The UI shall be fully responsive across mobile devices, tablets, and desktops using modern dark-mode industrial CSS.</w:t>
            </w:r>
          </w:p>
        </w:tc>
      </w:tr>
      <w:tr>
        <w:tc>
          <w:tcPr>
            <w:tcW w:type="dxa" w:w="1440"/>
            <w:shd w:fill="FFFFFF"/>
            <w:tcMar>
              <w:top w:w="100" w:type="dxa"/>
              <w:bottom w:w="100" w:type="dxa"/>
              <w:left w:w="120" w:type="dxa"/>
              <w:right w:w="120" w:type="dxa"/>
            </w:tcMar>
          </w:tcPr>
          <w:p>
            <w:pPr>
              <w:jc w:val="center"/>
            </w:pPr>
            <w:r>
              <w:rPr>
                <w:rFonts w:ascii="Calibri" w:hAnsi="Calibri"/>
                <w:b/>
                <w:color w:val="1E293B"/>
                <w:sz w:val="19"/>
              </w:rPr>
              <w:t>NFR-06</w:t>
            </w:r>
          </w:p>
        </w:tc>
        <w:tc>
          <w:tcPr>
            <w:tcW w:type="dxa" w:w="2592"/>
            <w:shd w:fill="FFFFFF"/>
            <w:tcMar>
              <w:top w:w="100" w:type="dxa"/>
              <w:bottom w:w="100" w:type="dxa"/>
              <w:left w:w="120" w:type="dxa"/>
              <w:right w:w="120" w:type="dxa"/>
            </w:tcMar>
          </w:tcPr>
          <w:p>
            <w:r>
              <w:rPr>
                <w:rFonts w:ascii="Calibri" w:hAnsi="Calibri"/>
                <w:b/>
                <w:color w:val="1E293B"/>
                <w:sz w:val="19"/>
              </w:rPr>
              <w:t>Security &amp; Transport Encryption</w:t>
            </w:r>
          </w:p>
        </w:tc>
        <w:tc>
          <w:tcPr>
            <w:tcW w:type="dxa" w:w="5328"/>
            <w:shd w:fill="FFFFFF"/>
            <w:tcMar>
              <w:top w:w="100" w:type="dxa"/>
              <w:bottom w:w="100" w:type="dxa"/>
              <w:left w:w="120" w:type="dxa"/>
              <w:right w:w="120" w:type="dxa"/>
            </w:tcMar>
          </w:tcPr>
          <w:p>
            <w:r>
              <w:rPr>
                <w:rFonts w:ascii="Calibri" w:hAnsi="Calibri"/>
                <w:b w:val="0"/>
                <w:color w:val="1E293B"/>
                <w:sz w:val="19"/>
              </w:rPr>
              <w:t>All remote MQTT communications shall support TLS 8883 port encryption with client credential validation.</w:t>
            </w:r>
          </w:p>
        </w:tc>
      </w:tr>
    </w:tbl>
    <w:p>
      <w:pPr>
        <w:keepNext/>
        <w:spacing w:before="360" w:after="120"/>
      </w:pPr>
      <w:r>
        <w:rPr>
          <w:rFonts w:ascii="Calibri" w:hAnsi="Calibri"/>
          <w:b/>
          <w:color w:val="103460"/>
          <w:sz w:val="30"/>
        </w:rPr>
        <w:t>8. Autonomous Protective Actions Matrix</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7C2D12"/>
            <w:tcMar>
              <w:top w:w="140" w:type="dxa"/>
              <w:bottom w:w="140" w:type="dxa"/>
              <w:left w:w="120" w:type="dxa"/>
              <w:right w:w="120" w:type="dxa"/>
            </w:tcMar>
          </w:tcPr>
          <w:p>
            <w:pPr>
              <w:jc w:val="center"/>
            </w:pPr>
            <w:r>
              <w:rPr>
                <w:rFonts w:ascii="Calibri" w:hAnsi="Calibri"/>
                <w:b/>
                <w:color w:val="FFFFFF"/>
                <w:sz w:val="20"/>
              </w:rPr>
              <w:t>Target Asset</w:t>
            </w:r>
          </w:p>
        </w:tc>
        <w:tc>
          <w:tcPr>
            <w:tcW w:type="dxa" w:w="2592"/>
            <w:shd w:fill="7C2D12"/>
            <w:tcMar>
              <w:top w:w="140" w:type="dxa"/>
              <w:bottom w:w="140" w:type="dxa"/>
              <w:left w:w="120" w:type="dxa"/>
              <w:right w:w="120" w:type="dxa"/>
            </w:tcMar>
          </w:tcPr>
          <w:p>
            <w:pPr>
              <w:jc w:val="center"/>
            </w:pPr>
            <w:r>
              <w:rPr>
                <w:rFonts w:ascii="Calibri" w:hAnsi="Calibri"/>
                <w:b/>
                <w:color w:val="FFFFFF"/>
                <w:sz w:val="20"/>
              </w:rPr>
              <w:t>Trigger Threshold Condition</w:t>
            </w:r>
          </w:p>
        </w:tc>
        <w:tc>
          <w:tcPr>
            <w:tcW w:type="dxa" w:w="2160"/>
            <w:shd w:fill="7C2D12"/>
            <w:tcMar>
              <w:top w:w="140" w:type="dxa"/>
              <w:bottom w:w="140" w:type="dxa"/>
              <w:left w:w="120" w:type="dxa"/>
              <w:right w:w="120" w:type="dxa"/>
            </w:tcMar>
          </w:tcPr>
          <w:p>
            <w:pPr>
              <w:jc w:val="center"/>
            </w:pPr>
            <w:r>
              <w:rPr>
                <w:rFonts w:ascii="Calibri" w:hAnsi="Calibri"/>
                <w:b/>
                <w:color w:val="FFFFFF"/>
                <w:sz w:val="20"/>
              </w:rPr>
              <w:t>Autonomous Action</w:t>
            </w:r>
          </w:p>
        </w:tc>
        <w:tc>
          <w:tcPr>
            <w:tcW w:type="dxa" w:w="2448"/>
            <w:shd w:fill="7C2D12"/>
            <w:tcMar>
              <w:top w:w="140" w:type="dxa"/>
              <w:bottom w:w="140" w:type="dxa"/>
              <w:left w:w="120" w:type="dxa"/>
              <w:right w:w="120" w:type="dxa"/>
            </w:tcMar>
          </w:tcPr>
          <w:p>
            <w:pPr>
              <w:jc w:val="center"/>
            </w:pPr>
            <w:r>
              <w:rPr>
                <w:rFonts w:ascii="Calibri" w:hAnsi="Calibri"/>
                <w:b/>
                <w:color w:val="FFFFFF"/>
                <w:sz w:val="20"/>
              </w:rPr>
              <w:t>Actuation &amp; Physical Countermeasure</w:t>
            </w:r>
          </w:p>
        </w:tc>
      </w:tr>
      <w:tr>
        <w:tc>
          <w:tcPr>
            <w:tcW w:type="dxa" w:w="2160"/>
            <w:shd w:fill="FFF7ED"/>
            <w:tcMar>
              <w:top w:w="100" w:type="dxa"/>
              <w:bottom w:w="100" w:type="dxa"/>
              <w:left w:w="120" w:type="dxa"/>
              <w:right w:w="120" w:type="dxa"/>
            </w:tcMar>
          </w:tcPr>
          <w:p>
            <w:r>
              <w:rPr>
                <w:rFonts w:ascii="Calibri" w:hAnsi="Calibri"/>
                <w:b w:val="0"/>
                <w:color w:val="1E293B"/>
                <w:sz w:val="18"/>
              </w:rPr>
              <w:t>MCH-007 (Bottle Filling)</w:t>
            </w:r>
          </w:p>
        </w:tc>
        <w:tc>
          <w:tcPr>
            <w:tcW w:type="dxa" w:w="2592"/>
            <w:shd w:fill="FFF7ED"/>
            <w:tcMar>
              <w:top w:w="100" w:type="dxa"/>
              <w:bottom w:w="100" w:type="dxa"/>
              <w:left w:w="120" w:type="dxa"/>
              <w:right w:w="120" w:type="dxa"/>
            </w:tcMar>
          </w:tcPr>
          <w:p>
            <w:r>
              <w:rPr>
                <w:rFonts w:ascii="Calibri" w:hAnsi="Calibri"/>
                <w:b w:val="0"/>
                <w:color w:val="1E293B"/>
                <w:sz w:val="18"/>
              </w:rPr>
              <w:t>Temp ≥ 88°C OR Vib ≥ 4.0 mm/s; Pressure ≤ 4.0 bar</w:t>
            </w:r>
          </w:p>
        </w:tc>
        <w:tc>
          <w:tcPr>
            <w:tcW w:type="dxa" w:w="2160"/>
            <w:shd w:fill="FFF7ED"/>
            <w:tcMar>
              <w:top w:w="100" w:type="dxa"/>
              <w:bottom w:w="100" w:type="dxa"/>
              <w:left w:w="120" w:type="dxa"/>
              <w:right w:w="120" w:type="dxa"/>
            </w:tcMar>
          </w:tcPr>
          <w:p>
            <w:r>
              <w:rPr>
                <w:rFonts w:ascii="Calibri" w:hAnsi="Calibri"/>
                <w:b/>
                <w:color w:val="1E293B"/>
                <w:sz w:val="18"/>
              </w:rPr>
              <w:t>EMERGENCY_FAULT_STOP</w:t>
            </w:r>
          </w:p>
        </w:tc>
        <w:tc>
          <w:tcPr>
            <w:tcW w:type="dxa" w:w="2448"/>
            <w:shd w:fill="FFF7ED"/>
            <w:tcMar>
              <w:top w:w="100" w:type="dxa"/>
              <w:bottom w:w="100" w:type="dxa"/>
              <w:left w:w="120" w:type="dxa"/>
              <w:right w:w="120" w:type="dxa"/>
            </w:tcMar>
          </w:tcPr>
          <w:p>
            <w:r>
              <w:rPr>
                <w:rFonts w:ascii="Calibri" w:hAnsi="Calibri"/>
                <w:b w:val="0"/>
                <w:color w:val="1E293B"/>
                <w:sz w:val="18"/>
              </w:rPr>
              <w:t>Fill valve shut, conveyor halted to 0%, cooling pump set to MAXIMUM (100%). Low-pressure interlock engaged.</w:t>
            </w:r>
          </w:p>
        </w:tc>
      </w:tr>
      <w:tr>
        <w:tc>
          <w:tcPr>
            <w:tcW w:type="dxa" w:w="2160"/>
            <w:shd w:fill="FFFFFF"/>
            <w:tcMar>
              <w:top w:w="100" w:type="dxa"/>
              <w:bottom w:w="100" w:type="dxa"/>
              <w:left w:w="120" w:type="dxa"/>
              <w:right w:w="120" w:type="dxa"/>
            </w:tcMar>
          </w:tcPr>
          <w:p>
            <w:r>
              <w:rPr>
                <w:rFonts w:ascii="Calibri" w:hAnsi="Calibri"/>
                <w:b w:val="0"/>
                <w:color w:val="1E293B"/>
                <w:sz w:val="18"/>
              </w:rPr>
              <w:t>CNC-003 (Precision Milling)</w:t>
            </w:r>
          </w:p>
        </w:tc>
        <w:tc>
          <w:tcPr>
            <w:tcW w:type="dxa" w:w="2592"/>
            <w:shd w:fill="FFFFFF"/>
            <w:tcMar>
              <w:top w:w="100" w:type="dxa"/>
              <w:bottom w:w="100" w:type="dxa"/>
              <w:left w:w="120" w:type="dxa"/>
              <w:right w:w="120" w:type="dxa"/>
            </w:tcMar>
          </w:tcPr>
          <w:p>
            <w:r>
              <w:rPr>
                <w:rFonts w:ascii="Calibri" w:hAnsi="Calibri"/>
                <w:b w:val="0"/>
                <w:color w:val="1E293B"/>
                <w:sz w:val="18"/>
              </w:rPr>
              <w:t>Spindle Temp &gt; 85°C OR Vibration &gt; 5.5 mm/s</w:t>
            </w:r>
          </w:p>
        </w:tc>
        <w:tc>
          <w:tcPr>
            <w:tcW w:type="dxa" w:w="2160"/>
            <w:shd w:fill="FFFFFF"/>
            <w:tcMar>
              <w:top w:w="100" w:type="dxa"/>
              <w:bottom w:w="100" w:type="dxa"/>
              <w:left w:w="120" w:type="dxa"/>
              <w:right w:w="120" w:type="dxa"/>
            </w:tcMar>
          </w:tcPr>
          <w:p>
            <w:r>
              <w:rPr>
                <w:rFonts w:ascii="Calibri" w:hAnsi="Calibri"/>
                <w:b/>
                <w:color w:val="1E293B"/>
                <w:sz w:val="18"/>
              </w:rPr>
              <w:t>SPINDLE_SAFETY_TRIP</w:t>
            </w:r>
          </w:p>
        </w:tc>
        <w:tc>
          <w:tcPr>
            <w:tcW w:type="dxa" w:w="2448"/>
            <w:shd w:fill="FFFFFF"/>
            <w:tcMar>
              <w:top w:w="100" w:type="dxa"/>
              <w:bottom w:w="100" w:type="dxa"/>
              <w:left w:w="120" w:type="dxa"/>
              <w:right w:w="120" w:type="dxa"/>
            </w:tcMar>
          </w:tcPr>
          <w:p>
            <w:r>
              <w:rPr>
                <w:rFonts w:ascii="Calibri" w:hAnsi="Calibri"/>
                <w:b w:val="0"/>
                <w:color w:val="1E293B"/>
                <w:sz w:val="18"/>
              </w:rPr>
              <w:t>Spindle drive brake engaged, feed rate dropped to 0 mm/min, flood coolant solenoid energized at 100%.</w:t>
            </w:r>
          </w:p>
        </w:tc>
      </w:tr>
      <w:tr>
        <w:tc>
          <w:tcPr>
            <w:tcW w:type="dxa" w:w="2160"/>
            <w:shd w:fill="FFF7ED"/>
            <w:tcMar>
              <w:top w:w="100" w:type="dxa"/>
              <w:bottom w:w="100" w:type="dxa"/>
              <w:left w:w="120" w:type="dxa"/>
              <w:right w:w="120" w:type="dxa"/>
            </w:tcMar>
          </w:tcPr>
          <w:p>
            <w:r>
              <w:rPr>
                <w:rFonts w:ascii="Calibri" w:hAnsi="Calibri"/>
                <w:b w:val="0"/>
                <w:color w:val="1E293B"/>
                <w:sz w:val="18"/>
              </w:rPr>
              <w:t>CONV-012 (Logistics Conveyor)</w:t>
            </w:r>
          </w:p>
        </w:tc>
        <w:tc>
          <w:tcPr>
            <w:tcW w:type="dxa" w:w="2592"/>
            <w:shd w:fill="FFF7ED"/>
            <w:tcMar>
              <w:top w:w="100" w:type="dxa"/>
              <w:bottom w:w="100" w:type="dxa"/>
              <w:left w:w="120" w:type="dxa"/>
              <w:right w:w="120" w:type="dxa"/>
            </w:tcMar>
          </w:tcPr>
          <w:p>
            <w:r>
              <w:rPr>
                <w:rFonts w:ascii="Calibri" w:hAnsi="Calibri"/>
                <w:b w:val="0"/>
                <w:color w:val="1E293B"/>
                <w:sz w:val="18"/>
              </w:rPr>
              <w:t>Motor Temp &gt; 80°C OR Belt Tension &gt; 620 N</w:t>
            </w:r>
          </w:p>
        </w:tc>
        <w:tc>
          <w:tcPr>
            <w:tcW w:type="dxa" w:w="2160"/>
            <w:shd w:fill="FFF7ED"/>
            <w:tcMar>
              <w:top w:w="100" w:type="dxa"/>
              <w:bottom w:w="100" w:type="dxa"/>
              <w:left w:w="120" w:type="dxa"/>
              <w:right w:w="120" w:type="dxa"/>
            </w:tcMar>
          </w:tcPr>
          <w:p>
            <w:r>
              <w:rPr>
                <w:rFonts w:ascii="Calibri" w:hAnsi="Calibri"/>
                <w:b/>
                <w:color w:val="1E293B"/>
                <w:sz w:val="18"/>
              </w:rPr>
              <w:t>EMERGENCY_CONVEYOR_HALT</w:t>
            </w:r>
          </w:p>
        </w:tc>
        <w:tc>
          <w:tcPr>
            <w:tcW w:type="dxa" w:w="2448"/>
            <w:shd w:fill="FFF7ED"/>
            <w:tcMar>
              <w:top w:w="100" w:type="dxa"/>
              <w:bottom w:w="100" w:type="dxa"/>
              <w:left w:w="120" w:type="dxa"/>
              <w:right w:w="120" w:type="dxa"/>
            </w:tcMar>
          </w:tcPr>
          <w:p>
            <w:r>
              <w:rPr>
                <w:rFonts w:ascii="Calibri" w:hAnsi="Calibri"/>
                <w:b w:val="0"/>
                <w:color w:val="1E293B"/>
                <w:sz w:val="18"/>
              </w:rPr>
              <w:t>Drive motor powered off, diverter safety gate opened to bypass bin, audible warning beacon enabled.</w:t>
            </w:r>
          </w:p>
        </w:tc>
      </w:tr>
      <w:tr>
        <w:tc>
          <w:tcPr>
            <w:tcW w:type="dxa" w:w="2160"/>
            <w:shd w:fill="FFFFFF"/>
            <w:tcMar>
              <w:top w:w="100" w:type="dxa"/>
              <w:bottom w:w="100" w:type="dxa"/>
              <w:left w:w="120" w:type="dxa"/>
              <w:right w:w="120" w:type="dxa"/>
            </w:tcMar>
          </w:tcPr>
          <w:p>
            <w:r>
              <w:rPr>
                <w:rFonts w:ascii="Calibri" w:hAnsi="Calibri"/>
                <w:b w:val="0"/>
                <w:color w:val="1E293B"/>
                <w:sz w:val="18"/>
              </w:rPr>
              <w:t>ENV-001 (Air Quality &amp; Safety)</w:t>
            </w:r>
          </w:p>
        </w:tc>
        <w:tc>
          <w:tcPr>
            <w:tcW w:type="dxa" w:w="2592"/>
            <w:shd w:fill="FFFFFF"/>
            <w:tcMar>
              <w:top w:w="100" w:type="dxa"/>
              <w:bottom w:w="100" w:type="dxa"/>
              <w:left w:w="120" w:type="dxa"/>
              <w:right w:w="120" w:type="dxa"/>
            </w:tcMar>
          </w:tcPr>
          <w:p>
            <w:r>
              <w:rPr>
                <w:rFonts w:ascii="Calibri" w:hAnsi="Calibri"/>
                <w:b w:val="0"/>
                <w:color w:val="1E293B"/>
                <w:sz w:val="18"/>
              </w:rPr>
              <w:t>Hazardous Gas &gt; 250 ppm OR Smoke &gt; 80 ppm</w:t>
            </w:r>
          </w:p>
        </w:tc>
        <w:tc>
          <w:tcPr>
            <w:tcW w:type="dxa" w:w="2160"/>
            <w:shd w:fill="FFFFFF"/>
            <w:tcMar>
              <w:top w:w="100" w:type="dxa"/>
              <w:bottom w:w="100" w:type="dxa"/>
              <w:left w:w="120" w:type="dxa"/>
              <w:right w:w="120" w:type="dxa"/>
            </w:tcMar>
          </w:tcPr>
          <w:p>
            <w:r>
              <w:rPr>
                <w:rFonts w:ascii="Calibri" w:hAnsi="Calibri"/>
                <w:b/>
                <w:color w:val="1E293B"/>
                <w:sz w:val="18"/>
              </w:rPr>
              <w:t>HAZMAT_EVACUATION_PURGE</w:t>
            </w:r>
          </w:p>
        </w:tc>
        <w:tc>
          <w:tcPr>
            <w:tcW w:type="dxa" w:w="2448"/>
            <w:shd w:fill="FFFFFF"/>
            <w:tcMar>
              <w:top w:w="100" w:type="dxa"/>
              <w:bottom w:w="100" w:type="dxa"/>
              <w:left w:w="120" w:type="dxa"/>
              <w:right w:w="120" w:type="dxa"/>
            </w:tcMar>
          </w:tcPr>
          <w:p>
            <w:r>
              <w:rPr>
                <w:rFonts w:ascii="Calibri" w:hAnsi="Calibri"/>
                <w:b w:val="0"/>
                <w:color w:val="1E293B"/>
                <w:sz w:val="18"/>
              </w:rPr>
              <w:t>Fresh air intake dampers shut, explosion-proof exhaust fans flushed at 100%, plant evacuation siren triggered.</w:t>
            </w:r>
          </w:p>
        </w:tc>
      </w:tr>
      <w:tr>
        <w:tc>
          <w:tcPr>
            <w:tcW w:type="dxa" w:w="2160"/>
            <w:shd w:fill="FFF7ED"/>
            <w:tcMar>
              <w:top w:w="100" w:type="dxa"/>
              <w:bottom w:w="100" w:type="dxa"/>
              <w:left w:w="120" w:type="dxa"/>
              <w:right w:w="120" w:type="dxa"/>
            </w:tcMar>
          </w:tcPr>
          <w:p>
            <w:r>
              <w:rPr>
                <w:rFonts w:ascii="Calibri" w:hAnsi="Calibri"/>
                <w:b w:val="0"/>
                <w:color w:val="1E293B"/>
                <w:sz w:val="18"/>
              </w:rPr>
              <w:t>GENERIC PUMP / TURBINE</w:t>
            </w:r>
          </w:p>
        </w:tc>
        <w:tc>
          <w:tcPr>
            <w:tcW w:type="dxa" w:w="2592"/>
            <w:shd w:fill="FFF7ED"/>
            <w:tcMar>
              <w:top w:w="100" w:type="dxa"/>
              <w:bottom w:w="100" w:type="dxa"/>
              <w:left w:w="120" w:type="dxa"/>
              <w:right w:w="120" w:type="dxa"/>
            </w:tcMar>
          </w:tcPr>
          <w:p>
            <w:r>
              <w:rPr>
                <w:rFonts w:ascii="Calibri" w:hAnsi="Calibri"/>
                <w:b w:val="0"/>
                <w:color w:val="1E293B"/>
                <w:sz w:val="18"/>
              </w:rPr>
              <w:t>Health Index &lt; 45% OR Temp &gt; 90°C with ML Anomaly</w:t>
            </w:r>
          </w:p>
        </w:tc>
        <w:tc>
          <w:tcPr>
            <w:tcW w:type="dxa" w:w="2160"/>
            <w:shd w:fill="FFF7ED"/>
            <w:tcMar>
              <w:top w:w="100" w:type="dxa"/>
              <w:bottom w:w="100" w:type="dxa"/>
              <w:left w:w="120" w:type="dxa"/>
              <w:right w:w="120" w:type="dxa"/>
            </w:tcMar>
          </w:tcPr>
          <w:p>
            <w:r>
              <w:rPr>
                <w:rFonts w:ascii="Calibri" w:hAnsi="Calibri"/>
                <w:b/>
                <w:color w:val="1E293B"/>
                <w:sz w:val="18"/>
              </w:rPr>
              <w:t>EMERGENCY_SHUTDOWN</w:t>
            </w:r>
          </w:p>
        </w:tc>
        <w:tc>
          <w:tcPr>
            <w:tcW w:type="dxa" w:w="2448"/>
            <w:shd w:fill="FFF7ED"/>
            <w:tcMar>
              <w:top w:w="100" w:type="dxa"/>
              <w:bottom w:w="100" w:type="dxa"/>
              <w:left w:w="120" w:type="dxa"/>
              <w:right w:w="120" w:type="dxa"/>
            </w:tcMar>
          </w:tcPr>
          <w:p>
            <w:r>
              <w:rPr>
                <w:rFonts w:ascii="Calibri" w:hAnsi="Calibri"/>
                <w:b w:val="0"/>
                <w:color w:val="1E293B"/>
                <w:sz w:val="18"/>
              </w:rPr>
              <w:t>Main circuit breaker tripped offline, auxiliary cooling boosted, diagnostic webhook alert dispatched.</w:t>
            </w:r>
          </w:p>
        </w:tc>
      </w:tr>
    </w:tbl>
    <w:p>
      <w:pPr>
        <w:keepNext/>
        <w:spacing w:before="360" w:after="120"/>
      </w:pPr>
      <w:r>
        <w:rPr>
          <w:rFonts w:ascii="Calibri" w:hAnsi="Calibri"/>
          <w:b/>
          <w:color w:val="103460"/>
          <w:sz w:val="30"/>
        </w:rPr>
        <w:t>9. Database Architecture &amp; Schema (MongoDB)</w:t>
      </w:r>
    </w:p>
    <w:tbl>
      <w:tblPr>
        <w:tblW w:type="auto" w:w="0"/>
        <w:jc w:val="center"/>
        <w:tblLayout w:type="fixed"/>
        <w:tblLook w:firstColumn="1" w:firstRow="1" w:lastColumn="0" w:lastRow="0" w:noHBand="0" w:noVBand="1" w:val="04A0"/>
      </w:tblPr>
      <w:tblGrid>
        <w:gridCol w:w="3120"/>
        <w:gridCol w:w="3120"/>
        <w:gridCol w:w="3120"/>
      </w:tblGrid>
      <w:tr>
        <w:tc>
          <w:tcPr>
            <w:tcW w:type="dxa" w:w="1872"/>
            <w:shd w:fill="1E293B"/>
            <w:tcMar>
              <w:top w:w="140" w:type="dxa"/>
              <w:bottom w:w="140" w:type="dxa"/>
              <w:left w:w="120" w:type="dxa"/>
              <w:right w:w="120" w:type="dxa"/>
            </w:tcMar>
          </w:tcPr>
          <w:p>
            <w:pPr>
              <w:jc w:val="center"/>
            </w:pPr>
            <w:r>
              <w:rPr>
                <w:rFonts w:ascii="Calibri" w:hAnsi="Calibri"/>
                <w:b/>
                <w:color w:val="FFFFFF"/>
                <w:sz w:val="21"/>
              </w:rPr>
              <w:t>Collection Name</w:t>
            </w:r>
          </w:p>
        </w:tc>
        <w:tc>
          <w:tcPr>
            <w:tcW w:type="dxa" w:w="3312"/>
            <w:shd w:fill="1E293B"/>
            <w:tcMar>
              <w:top w:w="140" w:type="dxa"/>
              <w:bottom w:w="140" w:type="dxa"/>
              <w:left w:w="120" w:type="dxa"/>
              <w:right w:w="120" w:type="dxa"/>
            </w:tcMar>
          </w:tcPr>
          <w:p>
            <w:pPr>
              <w:jc w:val="center"/>
            </w:pPr>
            <w:r>
              <w:rPr>
                <w:rFonts w:ascii="Calibri" w:hAnsi="Calibri"/>
                <w:b/>
                <w:color w:val="FFFFFF"/>
                <w:sz w:val="21"/>
              </w:rPr>
              <w:t>Key Document Fields</w:t>
            </w:r>
          </w:p>
        </w:tc>
        <w:tc>
          <w:tcPr>
            <w:tcW w:type="dxa" w:w="4176"/>
            <w:shd w:fill="1E293B"/>
            <w:tcMar>
              <w:top w:w="140" w:type="dxa"/>
              <w:bottom w:w="140" w:type="dxa"/>
              <w:left w:w="120" w:type="dxa"/>
              <w:right w:w="120" w:type="dxa"/>
            </w:tcMar>
          </w:tcPr>
          <w:p>
            <w:pPr>
              <w:jc w:val="center"/>
            </w:pPr>
            <w:r>
              <w:rPr>
                <w:rFonts w:ascii="Calibri" w:hAnsi="Calibri"/>
                <w:b/>
                <w:color w:val="FFFFFF"/>
                <w:sz w:val="21"/>
              </w:rPr>
              <w:t>Storage Purpose &amp; Indexing</w:t>
            </w:r>
          </w:p>
        </w:tc>
      </w:tr>
      <w:tr>
        <w:tc>
          <w:tcPr>
            <w:tcW w:type="dxa" w:w="1872"/>
            <w:shd w:fill="F8FAFC"/>
            <w:tcMar>
              <w:top w:w="100" w:type="dxa"/>
              <w:bottom w:w="100" w:type="dxa"/>
              <w:left w:w="120" w:type="dxa"/>
              <w:right w:w="120" w:type="dxa"/>
            </w:tcMar>
          </w:tcPr>
          <w:p>
            <w:r>
              <w:rPr>
                <w:rFonts w:ascii="Calibri" w:hAnsi="Calibri"/>
                <w:b/>
                <w:color w:val="1E293B"/>
                <w:sz w:val="19"/>
              </w:rPr>
              <w:t>telemetry</w:t>
            </w:r>
          </w:p>
        </w:tc>
        <w:tc>
          <w:tcPr>
            <w:tcW w:type="dxa" w:w="3312"/>
            <w:shd w:fill="F8FAFC"/>
            <w:tcMar>
              <w:top w:w="100" w:type="dxa"/>
              <w:bottom w:w="100" w:type="dxa"/>
              <w:left w:w="120" w:type="dxa"/>
              <w:right w:w="120" w:type="dxa"/>
            </w:tcMar>
          </w:tcPr>
          <w:p>
            <w:r>
              <w:rPr>
                <w:rFonts w:ascii="Calibri" w:hAnsi="Calibri"/>
                <w:b w:val="0"/>
                <w:color w:val="1E293B"/>
                <w:sz w:val="19"/>
              </w:rPr>
              <w:t>device_id, timestamp, temperature, vibration, pressure, current, acoustic_noise, rpm</w:t>
            </w:r>
          </w:p>
        </w:tc>
        <w:tc>
          <w:tcPr>
            <w:tcW w:type="dxa" w:w="4176"/>
            <w:shd w:fill="F8FAFC"/>
            <w:tcMar>
              <w:top w:w="100" w:type="dxa"/>
              <w:bottom w:w="100" w:type="dxa"/>
              <w:left w:w="120" w:type="dxa"/>
              <w:right w:w="120" w:type="dxa"/>
            </w:tcMar>
          </w:tcPr>
          <w:p>
            <w:r>
              <w:rPr>
                <w:rFonts w:ascii="Calibri" w:hAnsi="Calibri"/>
                <w:b w:val="0"/>
                <w:color w:val="1E293B"/>
                <w:sz w:val="19"/>
              </w:rPr>
              <w:t>Time-series stream of all raw edge sensor packets. Indexed on (device_id, timestamp).</w:t>
            </w:r>
          </w:p>
        </w:tc>
      </w:tr>
      <w:tr>
        <w:tc>
          <w:tcPr>
            <w:tcW w:type="dxa" w:w="1872"/>
            <w:shd w:fill="FFFFFF"/>
            <w:tcMar>
              <w:top w:w="100" w:type="dxa"/>
              <w:bottom w:w="100" w:type="dxa"/>
              <w:left w:w="120" w:type="dxa"/>
              <w:right w:w="120" w:type="dxa"/>
            </w:tcMar>
          </w:tcPr>
          <w:p>
            <w:r>
              <w:rPr>
                <w:rFonts w:ascii="Calibri" w:hAnsi="Calibri"/>
                <w:b/>
                <w:color w:val="1E293B"/>
                <w:sz w:val="19"/>
              </w:rPr>
              <w:t>anomalies</w:t>
            </w:r>
          </w:p>
        </w:tc>
        <w:tc>
          <w:tcPr>
            <w:tcW w:type="dxa" w:w="3312"/>
            <w:shd w:fill="FFFFFF"/>
            <w:tcMar>
              <w:top w:w="100" w:type="dxa"/>
              <w:bottom w:w="100" w:type="dxa"/>
              <w:left w:w="120" w:type="dxa"/>
              <w:right w:w="120" w:type="dxa"/>
            </w:tcMar>
          </w:tcPr>
          <w:p>
            <w:r>
              <w:rPr>
                <w:rFonts w:ascii="Calibri" w:hAnsi="Calibri"/>
                <w:b w:val="0"/>
                <w:color w:val="1E293B"/>
                <w:sz w:val="19"/>
              </w:rPr>
              <w:t>eval_id, timestamp, is_anomaly, anomaly_score, predicted_fault, deviations, top_feature</w:t>
            </w:r>
          </w:p>
        </w:tc>
        <w:tc>
          <w:tcPr>
            <w:tcW w:type="dxa" w:w="4176"/>
            <w:shd w:fill="FFFFFF"/>
            <w:tcMar>
              <w:top w:w="100" w:type="dxa"/>
              <w:bottom w:w="100" w:type="dxa"/>
              <w:left w:w="120" w:type="dxa"/>
              <w:right w:w="120" w:type="dxa"/>
            </w:tcMar>
          </w:tcPr>
          <w:p>
            <w:r>
              <w:rPr>
                <w:rFonts w:ascii="Calibri" w:hAnsi="Calibri"/>
                <w:b w:val="0"/>
                <w:color w:val="1E293B"/>
                <w:sz w:val="19"/>
              </w:rPr>
              <w:t>Audit trail of machine learning model evaluations, classification labels, and feature contributions.</w:t>
            </w:r>
          </w:p>
        </w:tc>
      </w:tr>
      <w:tr>
        <w:tc>
          <w:tcPr>
            <w:tcW w:type="dxa" w:w="1872"/>
            <w:shd w:fill="F8FAFC"/>
            <w:tcMar>
              <w:top w:w="100" w:type="dxa"/>
              <w:bottom w:w="100" w:type="dxa"/>
              <w:left w:w="120" w:type="dxa"/>
              <w:right w:w="120" w:type="dxa"/>
            </w:tcMar>
          </w:tcPr>
          <w:p>
            <w:r>
              <w:rPr>
                <w:rFonts w:ascii="Calibri" w:hAnsi="Calibri"/>
                <w:b/>
                <w:color w:val="1E293B"/>
                <w:sz w:val="19"/>
              </w:rPr>
              <w:t>decisions</w:t>
            </w:r>
          </w:p>
        </w:tc>
        <w:tc>
          <w:tcPr>
            <w:tcW w:type="dxa" w:w="3312"/>
            <w:shd w:fill="F8FAFC"/>
            <w:tcMar>
              <w:top w:w="100" w:type="dxa"/>
              <w:bottom w:w="100" w:type="dxa"/>
              <w:left w:w="120" w:type="dxa"/>
              <w:right w:w="120" w:type="dxa"/>
            </w:tcMar>
          </w:tcPr>
          <w:p>
            <w:r>
              <w:rPr>
                <w:rFonts w:ascii="Calibri" w:hAnsi="Calibri"/>
                <w:b w:val="0"/>
                <w:color w:val="1E293B"/>
                <w:sz w:val="19"/>
              </w:rPr>
              <w:t>decision_id, rule_id, rule_name, priority, action, message, actuator_states, timestamp</w:t>
            </w:r>
          </w:p>
        </w:tc>
        <w:tc>
          <w:tcPr>
            <w:tcW w:type="dxa" w:w="4176"/>
            <w:shd w:fill="F8FAFC"/>
            <w:tcMar>
              <w:top w:w="100" w:type="dxa"/>
              <w:bottom w:w="100" w:type="dxa"/>
              <w:left w:w="120" w:type="dxa"/>
              <w:right w:w="120" w:type="dxa"/>
            </w:tcMar>
          </w:tcPr>
          <w:p>
            <w:r>
              <w:rPr>
                <w:rFonts w:ascii="Calibri" w:hAnsi="Calibri"/>
                <w:b w:val="0"/>
                <w:color w:val="1E293B"/>
                <w:sz w:val="19"/>
              </w:rPr>
              <w:t>Immutable log of all automated control decisions executed by the autonomous engine.</w:t>
            </w:r>
          </w:p>
        </w:tc>
      </w:tr>
      <w:tr>
        <w:tc>
          <w:tcPr>
            <w:tcW w:type="dxa" w:w="1872"/>
            <w:shd w:fill="FFFFFF"/>
            <w:tcMar>
              <w:top w:w="100" w:type="dxa"/>
              <w:bottom w:w="100" w:type="dxa"/>
              <w:left w:w="120" w:type="dxa"/>
              <w:right w:w="120" w:type="dxa"/>
            </w:tcMar>
          </w:tcPr>
          <w:p>
            <w:r>
              <w:rPr>
                <w:rFonts w:ascii="Calibri" w:hAnsi="Calibri"/>
                <w:b/>
                <w:color w:val="1E293B"/>
                <w:sz w:val="19"/>
              </w:rPr>
              <w:t>alerts</w:t>
            </w:r>
          </w:p>
        </w:tc>
        <w:tc>
          <w:tcPr>
            <w:tcW w:type="dxa" w:w="3312"/>
            <w:shd w:fill="FFFFFF"/>
            <w:tcMar>
              <w:top w:w="100" w:type="dxa"/>
              <w:bottom w:w="100" w:type="dxa"/>
              <w:left w:w="120" w:type="dxa"/>
              <w:right w:w="120" w:type="dxa"/>
            </w:tcMar>
          </w:tcPr>
          <w:p>
            <w:r>
              <w:rPr>
                <w:rFonts w:ascii="Calibri" w:hAnsi="Calibri"/>
                <w:b w:val="0"/>
                <w:color w:val="1E293B"/>
                <w:sz w:val="19"/>
              </w:rPr>
              <w:t>alert_id, rule_id, severity, message, status (ACTIVE/ACKNOWLEDGED/RESOLVED), timestamps</w:t>
            </w:r>
          </w:p>
        </w:tc>
        <w:tc>
          <w:tcPr>
            <w:tcW w:type="dxa" w:w="4176"/>
            <w:shd w:fill="FFFFFF"/>
            <w:tcMar>
              <w:top w:w="100" w:type="dxa"/>
              <w:bottom w:w="100" w:type="dxa"/>
              <w:left w:w="120" w:type="dxa"/>
              <w:right w:w="120" w:type="dxa"/>
            </w:tcMar>
          </w:tcPr>
          <w:p>
            <w:r>
              <w:rPr>
                <w:rFonts w:ascii="Calibri" w:hAnsi="Calibri"/>
                <w:b w:val="0"/>
                <w:color w:val="1E293B"/>
                <w:sz w:val="19"/>
              </w:rPr>
              <w:t>Incident tracking collection supporting operator acknowledgment and resolution lifecycle.</w:t>
            </w:r>
          </w:p>
        </w:tc>
      </w:tr>
      <w:tr>
        <w:tc>
          <w:tcPr>
            <w:tcW w:type="dxa" w:w="1872"/>
            <w:shd w:fill="F8FAFC"/>
            <w:tcMar>
              <w:top w:w="100" w:type="dxa"/>
              <w:bottom w:w="100" w:type="dxa"/>
              <w:left w:w="120" w:type="dxa"/>
              <w:right w:w="120" w:type="dxa"/>
            </w:tcMar>
          </w:tcPr>
          <w:p>
            <w:r>
              <w:rPr>
                <w:rFonts w:ascii="Calibri" w:hAnsi="Calibri"/>
                <w:b/>
                <w:color w:val="1E293B"/>
                <w:sz w:val="19"/>
              </w:rPr>
              <w:t>device_states</w:t>
            </w:r>
          </w:p>
        </w:tc>
        <w:tc>
          <w:tcPr>
            <w:tcW w:type="dxa" w:w="3312"/>
            <w:shd w:fill="F8FAFC"/>
            <w:tcMar>
              <w:top w:w="100" w:type="dxa"/>
              <w:bottom w:w="100" w:type="dxa"/>
              <w:left w:w="120" w:type="dxa"/>
              <w:right w:w="120" w:type="dxa"/>
            </w:tcMar>
          </w:tcPr>
          <w:p>
            <w:r>
              <w:rPr>
                <w:rFonts w:ascii="Calibri" w:hAnsi="Calibri"/>
                <w:b w:val="0"/>
                <w:color w:val="1E293B"/>
                <w:sz w:val="19"/>
              </w:rPr>
              <w:t>device_id, power_status, cooling_pump, rpm_limit, relief_valve, health_index, last_updated</w:t>
            </w:r>
          </w:p>
        </w:tc>
        <w:tc>
          <w:tcPr>
            <w:tcW w:type="dxa" w:w="4176"/>
            <w:shd w:fill="F8FAFC"/>
            <w:tcMar>
              <w:top w:w="100" w:type="dxa"/>
              <w:bottom w:w="100" w:type="dxa"/>
              <w:left w:w="120" w:type="dxa"/>
              <w:right w:w="120" w:type="dxa"/>
            </w:tcMar>
          </w:tcPr>
          <w:p>
            <w:r>
              <w:rPr>
                <w:rFonts w:ascii="Calibri" w:hAnsi="Calibri"/>
                <w:b w:val="0"/>
                <w:color w:val="1E293B"/>
                <w:sz w:val="19"/>
              </w:rPr>
              <w:t>Digital twin document maintaining real-time hardware actuator positions and health indices.</w:t>
            </w:r>
          </w:p>
        </w:tc>
      </w:tr>
    </w:tbl>
    <w:p>
      <w:pPr>
        <w:keepNext/>
        <w:spacing w:before="360" w:after="120"/>
      </w:pPr>
      <w:r>
        <w:rPr>
          <w:rFonts w:ascii="Calibri" w:hAnsi="Calibri"/>
          <w:b/>
          <w:color w:val="103460"/>
          <w:sz w:val="30"/>
        </w:rPr>
        <w:t>10. System Verification &amp; Test Execution Results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152"/>
            <w:shd w:fill="065F46"/>
            <w:tcMar>
              <w:top w:w="140" w:type="dxa"/>
              <w:bottom w:w="140" w:type="dxa"/>
              <w:left w:w="100" w:type="dxa"/>
              <w:right w:w="100" w:type="dxa"/>
            </w:tcMar>
          </w:tcPr>
          <w:p>
            <w:pPr>
              <w:jc w:val="center"/>
            </w:pPr>
            <w:r>
              <w:rPr>
                <w:rFonts w:ascii="Calibri" w:hAnsi="Calibri"/>
                <w:b/>
                <w:color w:val="FFFFFF"/>
                <w:sz w:val="19"/>
              </w:rPr>
              <w:t>Test ID</w:t>
            </w:r>
          </w:p>
        </w:tc>
        <w:tc>
          <w:tcPr>
            <w:tcW w:type="dxa" w:w="2448"/>
            <w:shd w:fill="065F46"/>
            <w:tcMar>
              <w:top w:w="140" w:type="dxa"/>
              <w:bottom w:w="140" w:type="dxa"/>
              <w:left w:w="100" w:type="dxa"/>
              <w:right w:w="100" w:type="dxa"/>
            </w:tcMar>
          </w:tcPr>
          <w:p>
            <w:pPr>
              <w:jc w:val="center"/>
            </w:pPr>
            <w:r>
              <w:rPr>
                <w:rFonts w:ascii="Calibri" w:hAnsi="Calibri"/>
                <w:b/>
                <w:color w:val="FFFFFF"/>
                <w:sz w:val="19"/>
              </w:rPr>
              <w:t>Test Case Scope</w:t>
            </w:r>
          </w:p>
        </w:tc>
        <w:tc>
          <w:tcPr>
            <w:tcW w:type="dxa" w:w="2592"/>
            <w:shd w:fill="065F46"/>
            <w:tcMar>
              <w:top w:w="140" w:type="dxa"/>
              <w:bottom w:w="140" w:type="dxa"/>
              <w:left w:w="100" w:type="dxa"/>
              <w:right w:w="100" w:type="dxa"/>
            </w:tcMar>
          </w:tcPr>
          <w:p>
            <w:pPr>
              <w:jc w:val="center"/>
            </w:pPr>
            <w:r>
              <w:rPr>
                <w:rFonts w:ascii="Calibri" w:hAnsi="Calibri"/>
                <w:b/>
                <w:color w:val="FFFFFF"/>
                <w:sz w:val="19"/>
              </w:rPr>
              <w:t>Expected Benchmark</w:t>
            </w:r>
          </w:p>
        </w:tc>
        <w:tc>
          <w:tcPr>
            <w:tcW w:type="dxa" w:w="2304"/>
            <w:shd w:fill="065F46"/>
            <w:tcMar>
              <w:top w:w="140" w:type="dxa"/>
              <w:bottom w:w="140" w:type="dxa"/>
              <w:left w:w="100" w:type="dxa"/>
              <w:right w:w="100" w:type="dxa"/>
            </w:tcMar>
          </w:tcPr>
          <w:p>
            <w:pPr>
              <w:jc w:val="center"/>
            </w:pPr>
            <w:r>
              <w:rPr>
                <w:rFonts w:ascii="Calibri" w:hAnsi="Calibri"/>
                <w:b/>
                <w:color w:val="FFFFFF"/>
                <w:sz w:val="19"/>
              </w:rPr>
              <w:t>Observed Outcome</w:t>
            </w:r>
          </w:p>
        </w:tc>
        <w:tc>
          <w:tcPr>
            <w:tcW w:type="dxa" w:w="864"/>
            <w:shd w:fill="065F46"/>
            <w:tcMar>
              <w:top w:w="140" w:type="dxa"/>
              <w:bottom w:w="140" w:type="dxa"/>
              <w:left w:w="100" w:type="dxa"/>
              <w:right w:w="100" w:type="dxa"/>
            </w:tcMar>
          </w:tcPr>
          <w:p>
            <w:pPr>
              <w:jc w:val="center"/>
            </w:pPr>
            <w:r>
              <w:rPr>
                <w:rFonts w:ascii="Calibri" w:hAnsi="Calibri"/>
                <w:b/>
                <w:color w:val="FFFFFF"/>
                <w:sz w:val="19"/>
              </w:rPr>
              <w:t>Status</w:t>
            </w:r>
          </w:p>
        </w:tc>
      </w:tr>
      <w:tr>
        <w:tc>
          <w:tcPr>
            <w:tcW w:type="dxa" w:w="1152"/>
            <w:shd w:fill="ECFDF5"/>
            <w:tcMar>
              <w:top w:w="100" w:type="dxa"/>
              <w:bottom w:w="100" w:type="dxa"/>
              <w:left w:w="100" w:type="dxa"/>
              <w:right w:w="100" w:type="dxa"/>
            </w:tcMar>
          </w:tcPr>
          <w:p>
            <w:pPr>
              <w:jc w:val="center"/>
            </w:pPr>
            <w:r>
              <w:rPr>
                <w:rFonts w:ascii="Calibri" w:hAnsi="Calibri"/>
                <w:b/>
                <w:color w:val="1E293B"/>
                <w:sz w:val="17"/>
              </w:rPr>
              <w:t>TC-01</w:t>
            </w:r>
          </w:p>
        </w:tc>
        <w:tc>
          <w:tcPr>
            <w:tcW w:type="dxa" w:w="2448"/>
            <w:shd w:fill="ECFDF5"/>
            <w:tcMar>
              <w:top w:w="100" w:type="dxa"/>
              <w:bottom w:w="100" w:type="dxa"/>
              <w:left w:w="100" w:type="dxa"/>
              <w:right w:w="100" w:type="dxa"/>
            </w:tcMar>
          </w:tcPr>
          <w:p>
            <w:r>
              <w:rPr>
                <w:rFonts w:ascii="Calibri" w:hAnsi="Calibri"/>
                <w:b w:val="0"/>
                <w:color w:val="1E293B"/>
                <w:sz w:val="17"/>
              </w:rPr>
              <w:t>Core Module Import &amp; Pipeline Init</w:t>
            </w:r>
          </w:p>
        </w:tc>
        <w:tc>
          <w:tcPr>
            <w:tcW w:type="dxa" w:w="2592"/>
            <w:shd w:fill="ECFDF5"/>
            <w:tcMar>
              <w:top w:w="100" w:type="dxa"/>
              <w:bottom w:w="100" w:type="dxa"/>
              <w:left w:w="100" w:type="dxa"/>
              <w:right w:w="100" w:type="dxa"/>
            </w:tcMar>
          </w:tcPr>
          <w:p>
            <w:r>
              <w:rPr>
                <w:rFonts w:ascii="Calibri" w:hAnsi="Calibri"/>
                <w:b w:val="0"/>
                <w:color w:val="1E293B"/>
                <w:sz w:val="17"/>
              </w:rPr>
              <w:t>All Python modules (ML, Decision, MQTT) load without missing dependencies</w:t>
            </w:r>
          </w:p>
        </w:tc>
        <w:tc>
          <w:tcPr>
            <w:tcW w:type="dxa" w:w="2304"/>
            <w:shd w:fill="ECFDF5"/>
            <w:tcMar>
              <w:top w:w="100" w:type="dxa"/>
              <w:bottom w:w="100" w:type="dxa"/>
              <w:left w:w="100" w:type="dxa"/>
              <w:right w:w="100" w:type="dxa"/>
            </w:tcMar>
          </w:tcPr>
          <w:p>
            <w:r>
              <w:rPr>
                <w:rFonts w:ascii="Calibri" w:hAnsi="Calibri"/>
                <w:b w:val="0"/>
                <w:color w:val="1E293B"/>
                <w:sz w:val="17"/>
              </w:rPr>
              <w:t>All modules loaded cleanly</w:t>
            </w:r>
          </w:p>
        </w:tc>
        <w:tc>
          <w:tcPr>
            <w:tcW w:type="dxa" w:w="864"/>
            <w:shd w:fill="ECFDF5"/>
            <w:tcMar>
              <w:top w:w="100" w:type="dxa"/>
              <w:bottom w:w="100" w:type="dxa"/>
              <w:left w:w="100" w:type="dxa"/>
              <w:right w:w="100" w:type="dxa"/>
            </w:tcMar>
          </w:tcPr>
          <w:p>
            <w:pPr>
              <w:jc w:val="center"/>
            </w:pPr>
            <w:r>
              <w:rPr>
                <w:rFonts w:ascii="Calibri" w:hAnsi="Calibri"/>
                <w:b/>
                <w:color w:val="059669"/>
                <w:sz w:val="17"/>
              </w:rPr>
              <w:t>PASS</w:t>
            </w:r>
          </w:p>
        </w:tc>
      </w:tr>
      <w:tr>
        <w:tc>
          <w:tcPr>
            <w:tcW w:type="dxa" w:w="1152"/>
            <w:shd w:fill="FFFFFF"/>
            <w:tcMar>
              <w:top w:w="100" w:type="dxa"/>
              <w:bottom w:w="100" w:type="dxa"/>
              <w:left w:w="100" w:type="dxa"/>
              <w:right w:w="100" w:type="dxa"/>
            </w:tcMar>
          </w:tcPr>
          <w:p>
            <w:pPr>
              <w:jc w:val="center"/>
            </w:pPr>
            <w:r>
              <w:rPr>
                <w:rFonts w:ascii="Calibri" w:hAnsi="Calibri"/>
                <w:b/>
                <w:color w:val="1E293B"/>
                <w:sz w:val="17"/>
              </w:rPr>
              <w:t>TC-02</w:t>
            </w:r>
          </w:p>
        </w:tc>
        <w:tc>
          <w:tcPr>
            <w:tcW w:type="dxa" w:w="2448"/>
            <w:shd w:fill="FFFFFF"/>
            <w:tcMar>
              <w:top w:w="100" w:type="dxa"/>
              <w:bottom w:w="100" w:type="dxa"/>
              <w:left w:w="100" w:type="dxa"/>
              <w:right w:w="100" w:type="dxa"/>
            </w:tcMar>
          </w:tcPr>
          <w:p>
            <w:r>
              <w:rPr>
                <w:rFonts w:ascii="Calibri" w:hAnsi="Calibri"/>
                <w:b w:val="0"/>
                <w:color w:val="1E293B"/>
                <w:sz w:val="17"/>
              </w:rPr>
              <w:t>ML Synthetic Training &amp; Fitting</w:t>
            </w:r>
          </w:p>
        </w:tc>
        <w:tc>
          <w:tcPr>
            <w:tcW w:type="dxa" w:w="2592"/>
            <w:shd w:fill="FFFFFF"/>
            <w:tcMar>
              <w:top w:w="100" w:type="dxa"/>
              <w:bottom w:w="100" w:type="dxa"/>
              <w:left w:w="100" w:type="dxa"/>
              <w:right w:w="100" w:type="dxa"/>
            </w:tcMar>
          </w:tcPr>
          <w:p>
            <w:r>
              <w:rPr>
                <w:rFonts w:ascii="Calibri" w:hAnsi="Calibri"/>
                <w:b w:val="0"/>
                <w:color w:val="1E293B"/>
                <w:sz w:val="17"/>
              </w:rPr>
              <w:t>Train Isolation Forest &amp; Random Forest on 2,500 samples</w:t>
            </w:r>
          </w:p>
        </w:tc>
        <w:tc>
          <w:tcPr>
            <w:tcW w:type="dxa" w:w="2304"/>
            <w:shd w:fill="FFFFFF"/>
            <w:tcMar>
              <w:top w:w="100" w:type="dxa"/>
              <w:bottom w:w="100" w:type="dxa"/>
              <w:left w:w="100" w:type="dxa"/>
              <w:right w:w="100" w:type="dxa"/>
            </w:tcMar>
          </w:tcPr>
          <w:p>
            <w:r>
              <w:rPr>
                <w:rFonts w:ascii="Calibri" w:hAnsi="Calibri"/>
                <w:b w:val="0"/>
                <w:color w:val="1E293B"/>
                <w:sz w:val="17"/>
              </w:rPr>
              <w:t>Trained successfully with 100.0% diagnostic accuracy</w:t>
            </w:r>
          </w:p>
        </w:tc>
        <w:tc>
          <w:tcPr>
            <w:tcW w:type="dxa" w:w="864"/>
            <w:shd w:fill="FFFFFF"/>
            <w:tcMar>
              <w:top w:w="100" w:type="dxa"/>
              <w:bottom w:w="100" w:type="dxa"/>
              <w:left w:w="100" w:type="dxa"/>
              <w:right w:w="100" w:type="dxa"/>
            </w:tcMar>
          </w:tcPr>
          <w:p>
            <w:pPr>
              <w:jc w:val="center"/>
            </w:pPr>
            <w:r>
              <w:rPr>
                <w:rFonts w:ascii="Calibri" w:hAnsi="Calibri"/>
                <w:b/>
                <w:color w:val="059669"/>
                <w:sz w:val="17"/>
              </w:rPr>
              <w:t>PASS</w:t>
            </w:r>
          </w:p>
        </w:tc>
      </w:tr>
      <w:tr>
        <w:tc>
          <w:tcPr>
            <w:tcW w:type="dxa" w:w="1152"/>
            <w:shd w:fill="ECFDF5"/>
            <w:tcMar>
              <w:top w:w="100" w:type="dxa"/>
              <w:bottom w:w="100" w:type="dxa"/>
              <w:left w:w="100" w:type="dxa"/>
              <w:right w:w="100" w:type="dxa"/>
            </w:tcMar>
          </w:tcPr>
          <w:p>
            <w:pPr>
              <w:jc w:val="center"/>
            </w:pPr>
            <w:r>
              <w:rPr>
                <w:rFonts w:ascii="Calibri" w:hAnsi="Calibri"/>
                <w:b/>
                <w:color w:val="1E293B"/>
                <w:sz w:val="17"/>
              </w:rPr>
              <w:t>TC-03</w:t>
            </w:r>
          </w:p>
        </w:tc>
        <w:tc>
          <w:tcPr>
            <w:tcW w:type="dxa" w:w="2448"/>
            <w:shd w:fill="ECFDF5"/>
            <w:tcMar>
              <w:top w:w="100" w:type="dxa"/>
              <w:bottom w:w="100" w:type="dxa"/>
              <w:left w:w="100" w:type="dxa"/>
              <w:right w:w="100" w:type="dxa"/>
            </w:tcMar>
          </w:tcPr>
          <w:p>
            <w:r>
              <w:rPr>
                <w:rFonts w:ascii="Calibri" w:hAnsi="Calibri"/>
                <w:b w:val="0"/>
                <w:color w:val="1E293B"/>
                <w:sz w:val="17"/>
              </w:rPr>
              <w:t>Baseline Telemetry Ingestion</w:t>
            </w:r>
          </w:p>
        </w:tc>
        <w:tc>
          <w:tcPr>
            <w:tcW w:type="dxa" w:w="2592"/>
            <w:shd w:fill="ECFDF5"/>
            <w:tcMar>
              <w:top w:w="100" w:type="dxa"/>
              <w:bottom w:w="100" w:type="dxa"/>
              <w:left w:w="100" w:type="dxa"/>
              <w:right w:w="100" w:type="dxa"/>
            </w:tcMar>
          </w:tcPr>
          <w:p>
            <w:r>
              <w:rPr>
                <w:rFonts w:ascii="Calibri" w:hAnsi="Calibri"/>
                <w:b w:val="0"/>
                <w:color w:val="1E293B"/>
                <w:sz w:val="17"/>
              </w:rPr>
              <w:t>Stream nominal readings (Temp=62°C, Vib=1.8 mm/s)</w:t>
            </w:r>
          </w:p>
        </w:tc>
        <w:tc>
          <w:tcPr>
            <w:tcW w:type="dxa" w:w="2304"/>
            <w:shd w:fill="ECFDF5"/>
            <w:tcMar>
              <w:top w:w="100" w:type="dxa"/>
              <w:bottom w:w="100" w:type="dxa"/>
              <w:left w:w="100" w:type="dxa"/>
              <w:right w:w="100" w:type="dxa"/>
            </w:tcMar>
          </w:tcPr>
          <w:p>
            <w:r>
              <w:rPr>
                <w:rFonts w:ascii="Calibri" w:hAnsi="Calibri"/>
                <w:b w:val="0"/>
                <w:color w:val="1E293B"/>
                <w:sz w:val="17"/>
              </w:rPr>
              <w:t>Classified as 'Normal Operation', Health=79.8%</w:t>
            </w:r>
          </w:p>
        </w:tc>
        <w:tc>
          <w:tcPr>
            <w:tcW w:type="dxa" w:w="864"/>
            <w:shd w:fill="ECFDF5"/>
            <w:tcMar>
              <w:top w:w="100" w:type="dxa"/>
              <w:bottom w:w="100" w:type="dxa"/>
              <w:left w:w="100" w:type="dxa"/>
              <w:right w:w="100" w:type="dxa"/>
            </w:tcMar>
          </w:tcPr>
          <w:p>
            <w:pPr>
              <w:jc w:val="center"/>
            </w:pPr>
            <w:r>
              <w:rPr>
                <w:rFonts w:ascii="Calibri" w:hAnsi="Calibri"/>
                <w:b/>
                <w:color w:val="059669"/>
                <w:sz w:val="17"/>
              </w:rPr>
              <w:t>PASS</w:t>
            </w:r>
          </w:p>
        </w:tc>
      </w:tr>
      <w:tr>
        <w:tc>
          <w:tcPr>
            <w:tcW w:type="dxa" w:w="1152"/>
            <w:shd w:fill="FFFFFF"/>
            <w:tcMar>
              <w:top w:w="100" w:type="dxa"/>
              <w:bottom w:w="100" w:type="dxa"/>
              <w:left w:w="100" w:type="dxa"/>
              <w:right w:w="100" w:type="dxa"/>
            </w:tcMar>
          </w:tcPr>
          <w:p>
            <w:pPr>
              <w:jc w:val="center"/>
            </w:pPr>
            <w:r>
              <w:rPr>
                <w:rFonts w:ascii="Calibri" w:hAnsi="Calibri"/>
                <w:b/>
                <w:color w:val="1E293B"/>
                <w:sz w:val="17"/>
              </w:rPr>
              <w:t>TC-04</w:t>
            </w:r>
          </w:p>
        </w:tc>
        <w:tc>
          <w:tcPr>
            <w:tcW w:type="dxa" w:w="2448"/>
            <w:shd w:fill="FFFFFF"/>
            <w:tcMar>
              <w:top w:w="100" w:type="dxa"/>
              <w:bottom w:w="100" w:type="dxa"/>
              <w:left w:w="100" w:type="dxa"/>
              <w:right w:w="100" w:type="dxa"/>
            </w:tcMar>
          </w:tcPr>
          <w:p>
            <w:r>
              <w:rPr>
                <w:rFonts w:ascii="Calibri" w:hAnsi="Calibri"/>
                <w:b w:val="0"/>
                <w:color w:val="1E293B"/>
                <w:sz w:val="17"/>
              </w:rPr>
              <w:t>Fault Injection (Thermal Runaway)</w:t>
            </w:r>
          </w:p>
        </w:tc>
        <w:tc>
          <w:tcPr>
            <w:tcW w:type="dxa" w:w="2592"/>
            <w:shd w:fill="FFFFFF"/>
            <w:tcMar>
              <w:top w:w="100" w:type="dxa"/>
              <w:bottom w:w="100" w:type="dxa"/>
              <w:left w:w="100" w:type="dxa"/>
              <w:right w:w="100" w:type="dxa"/>
            </w:tcMar>
          </w:tcPr>
          <w:p>
            <w:r>
              <w:rPr>
                <w:rFonts w:ascii="Calibri" w:hAnsi="Calibri"/>
                <w:b w:val="0"/>
                <w:color w:val="1E293B"/>
                <w:sz w:val="17"/>
              </w:rPr>
              <w:t>Inject overheating condition into simulator (Temp &gt; 90°C)</w:t>
            </w:r>
          </w:p>
        </w:tc>
        <w:tc>
          <w:tcPr>
            <w:tcW w:type="dxa" w:w="2304"/>
            <w:shd w:fill="FFFFFF"/>
            <w:tcMar>
              <w:top w:w="100" w:type="dxa"/>
              <w:bottom w:w="100" w:type="dxa"/>
              <w:left w:w="100" w:type="dxa"/>
              <w:right w:w="100" w:type="dxa"/>
            </w:tcMar>
          </w:tcPr>
          <w:p>
            <w:r>
              <w:rPr>
                <w:rFonts w:ascii="Calibri" w:hAnsi="Calibri"/>
                <w:b w:val="0"/>
                <w:color w:val="1E293B"/>
                <w:sz w:val="17"/>
              </w:rPr>
              <w:t>Health dropped to 12.0%, state identified as 'Thermal Runaway'</w:t>
            </w:r>
          </w:p>
        </w:tc>
        <w:tc>
          <w:tcPr>
            <w:tcW w:type="dxa" w:w="864"/>
            <w:shd w:fill="FFFFFF"/>
            <w:tcMar>
              <w:top w:w="100" w:type="dxa"/>
              <w:bottom w:w="100" w:type="dxa"/>
              <w:left w:w="100" w:type="dxa"/>
              <w:right w:w="100" w:type="dxa"/>
            </w:tcMar>
          </w:tcPr>
          <w:p>
            <w:pPr>
              <w:jc w:val="center"/>
            </w:pPr>
            <w:r>
              <w:rPr>
                <w:rFonts w:ascii="Calibri" w:hAnsi="Calibri"/>
                <w:b/>
                <w:color w:val="059669"/>
                <w:sz w:val="17"/>
              </w:rPr>
              <w:t>PASS</w:t>
            </w:r>
          </w:p>
        </w:tc>
      </w:tr>
      <w:tr>
        <w:tc>
          <w:tcPr>
            <w:tcW w:type="dxa" w:w="1152"/>
            <w:shd w:fill="ECFDF5"/>
            <w:tcMar>
              <w:top w:w="100" w:type="dxa"/>
              <w:bottom w:w="100" w:type="dxa"/>
              <w:left w:w="100" w:type="dxa"/>
              <w:right w:w="100" w:type="dxa"/>
            </w:tcMar>
          </w:tcPr>
          <w:p>
            <w:pPr>
              <w:jc w:val="center"/>
            </w:pPr>
            <w:r>
              <w:rPr>
                <w:rFonts w:ascii="Calibri" w:hAnsi="Calibri"/>
                <w:b/>
                <w:color w:val="1E293B"/>
                <w:sz w:val="17"/>
              </w:rPr>
              <w:t>TC-05</w:t>
            </w:r>
          </w:p>
        </w:tc>
        <w:tc>
          <w:tcPr>
            <w:tcW w:type="dxa" w:w="2448"/>
            <w:shd w:fill="ECFDF5"/>
            <w:tcMar>
              <w:top w:w="100" w:type="dxa"/>
              <w:bottom w:w="100" w:type="dxa"/>
              <w:left w:w="100" w:type="dxa"/>
              <w:right w:w="100" w:type="dxa"/>
            </w:tcMar>
          </w:tcPr>
          <w:p>
            <w:r>
              <w:rPr>
                <w:rFonts w:ascii="Calibri" w:hAnsi="Calibri"/>
                <w:b w:val="0"/>
                <w:color w:val="1E293B"/>
                <w:sz w:val="17"/>
              </w:rPr>
              <w:t>Autonomous Protective Cutoff Trigger</w:t>
            </w:r>
          </w:p>
        </w:tc>
        <w:tc>
          <w:tcPr>
            <w:tcW w:type="dxa" w:w="2592"/>
            <w:shd w:fill="ECFDF5"/>
            <w:tcMar>
              <w:top w:w="100" w:type="dxa"/>
              <w:bottom w:w="100" w:type="dxa"/>
              <w:left w:w="100" w:type="dxa"/>
              <w:right w:w="100" w:type="dxa"/>
            </w:tcMar>
          </w:tcPr>
          <w:p>
            <w:r>
              <w:rPr>
                <w:rFonts w:ascii="Calibri" w:hAnsi="Calibri"/>
                <w:b w:val="0"/>
                <w:color w:val="1E293B"/>
                <w:sz w:val="17"/>
              </w:rPr>
              <w:t>Rule evaluation on thermal runaway condition</w:t>
            </w:r>
          </w:p>
        </w:tc>
        <w:tc>
          <w:tcPr>
            <w:tcW w:type="dxa" w:w="2304"/>
            <w:shd w:fill="ECFDF5"/>
            <w:tcMar>
              <w:top w:w="100" w:type="dxa"/>
              <w:bottom w:w="100" w:type="dxa"/>
              <w:left w:w="100" w:type="dxa"/>
              <w:right w:w="100" w:type="dxa"/>
            </w:tcMar>
          </w:tcPr>
          <w:p>
            <w:r>
              <w:rPr>
                <w:rFonts w:ascii="Calibri" w:hAnsi="Calibri"/>
                <w:b w:val="0"/>
                <w:color w:val="1E293B"/>
                <w:sz w:val="17"/>
              </w:rPr>
              <w:t>3 actions fired: EMERGENCY_SHUTDOWN, ACTIVATE_COOLING, DISPATCH_ALERT</w:t>
            </w:r>
          </w:p>
        </w:tc>
        <w:tc>
          <w:tcPr>
            <w:tcW w:type="dxa" w:w="864"/>
            <w:shd w:fill="ECFDF5"/>
            <w:tcMar>
              <w:top w:w="100" w:type="dxa"/>
              <w:bottom w:w="100" w:type="dxa"/>
              <w:left w:w="100" w:type="dxa"/>
              <w:right w:w="100" w:type="dxa"/>
            </w:tcMar>
          </w:tcPr>
          <w:p>
            <w:pPr>
              <w:jc w:val="center"/>
            </w:pPr>
            <w:r>
              <w:rPr>
                <w:rFonts w:ascii="Calibri" w:hAnsi="Calibri"/>
                <w:b/>
                <w:color w:val="059669"/>
                <w:sz w:val="17"/>
              </w:rPr>
              <w:t>PASS</w:t>
            </w:r>
          </w:p>
        </w:tc>
      </w:tr>
      <w:tr>
        <w:tc>
          <w:tcPr>
            <w:tcW w:type="dxa" w:w="1152"/>
            <w:shd w:fill="FFFFFF"/>
            <w:tcMar>
              <w:top w:w="100" w:type="dxa"/>
              <w:bottom w:w="100" w:type="dxa"/>
              <w:left w:w="100" w:type="dxa"/>
              <w:right w:w="100" w:type="dxa"/>
            </w:tcMar>
          </w:tcPr>
          <w:p>
            <w:pPr>
              <w:jc w:val="center"/>
            </w:pPr>
            <w:r>
              <w:rPr>
                <w:rFonts w:ascii="Calibri" w:hAnsi="Calibri"/>
                <w:b/>
                <w:color w:val="1E293B"/>
                <w:sz w:val="17"/>
              </w:rPr>
              <w:t>TC-06</w:t>
            </w:r>
          </w:p>
        </w:tc>
        <w:tc>
          <w:tcPr>
            <w:tcW w:type="dxa" w:w="2448"/>
            <w:shd w:fill="FFFFFF"/>
            <w:tcMar>
              <w:top w:w="100" w:type="dxa"/>
              <w:bottom w:w="100" w:type="dxa"/>
              <w:left w:w="100" w:type="dxa"/>
              <w:right w:w="100" w:type="dxa"/>
            </w:tcMar>
          </w:tcPr>
          <w:p>
            <w:r>
              <w:rPr>
                <w:rFonts w:ascii="Calibri" w:hAnsi="Calibri"/>
                <w:b w:val="0"/>
                <w:color w:val="1E293B"/>
                <w:sz w:val="17"/>
              </w:rPr>
              <w:t>Actuator State Transition &amp; Audit</w:t>
            </w:r>
          </w:p>
        </w:tc>
        <w:tc>
          <w:tcPr>
            <w:tcW w:type="dxa" w:w="2592"/>
            <w:shd w:fill="FFFFFF"/>
            <w:tcMar>
              <w:top w:w="100" w:type="dxa"/>
              <w:bottom w:w="100" w:type="dxa"/>
              <w:left w:w="100" w:type="dxa"/>
              <w:right w:w="100" w:type="dxa"/>
            </w:tcMar>
          </w:tcPr>
          <w:p>
            <w:r>
              <w:rPr>
                <w:rFonts w:ascii="Calibri" w:hAnsi="Calibri"/>
                <w:b w:val="0"/>
                <w:color w:val="1E293B"/>
                <w:sz w:val="17"/>
              </w:rPr>
              <w:t>Verify actuator digital twin records tripped breaker</w:t>
            </w:r>
          </w:p>
        </w:tc>
        <w:tc>
          <w:tcPr>
            <w:tcW w:type="dxa" w:w="2304"/>
            <w:shd w:fill="FFFFFF"/>
            <w:tcMar>
              <w:top w:w="100" w:type="dxa"/>
              <w:bottom w:w="100" w:type="dxa"/>
              <w:left w:w="100" w:type="dxa"/>
              <w:right w:w="100" w:type="dxa"/>
            </w:tcMar>
          </w:tcPr>
          <w:p>
            <w:r>
              <w:rPr>
                <w:rFonts w:ascii="Calibri" w:hAnsi="Calibri"/>
                <w:b w:val="0"/>
                <w:color w:val="1E293B"/>
                <w:sz w:val="17"/>
              </w:rPr>
              <w:t>Power set to 'TRIPPED_OFFLINE', logged to audit trail</w:t>
            </w:r>
          </w:p>
        </w:tc>
        <w:tc>
          <w:tcPr>
            <w:tcW w:type="dxa" w:w="864"/>
            <w:shd w:fill="FFFFFF"/>
            <w:tcMar>
              <w:top w:w="100" w:type="dxa"/>
              <w:bottom w:w="100" w:type="dxa"/>
              <w:left w:w="100" w:type="dxa"/>
              <w:right w:w="100" w:type="dxa"/>
            </w:tcMar>
          </w:tcPr>
          <w:p>
            <w:pPr>
              <w:jc w:val="center"/>
            </w:pPr>
            <w:r>
              <w:rPr>
                <w:rFonts w:ascii="Calibri" w:hAnsi="Calibri"/>
                <w:b/>
                <w:color w:val="059669"/>
                <w:sz w:val="17"/>
              </w:rPr>
              <w:t>PASS</w:t>
            </w:r>
          </w:p>
        </w:tc>
      </w:tr>
      <w:tr>
        <w:tc>
          <w:tcPr>
            <w:tcW w:type="dxa" w:w="1152"/>
            <w:shd w:fill="ECFDF5"/>
            <w:tcMar>
              <w:top w:w="100" w:type="dxa"/>
              <w:bottom w:w="100" w:type="dxa"/>
              <w:left w:w="100" w:type="dxa"/>
              <w:right w:w="100" w:type="dxa"/>
            </w:tcMar>
          </w:tcPr>
          <w:p>
            <w:pPr>
              <w:jc w:val="center"/>
            </w:pPr>
            <w:r>
              <w:rPr>
                <w:rFonts w:ascii="Calibri" w:hAnsi="Calibri"/>
                <w:b/>
                <w:color w:val="1E293B"/>
                <w:sz w:val="17"/>
              </w:rPr>
              <w:t>TC-07</w:t>
            </w:r>
          </w:p>
        </w:tc>
        <w:tc>
          <w:tcPr>
            <w:tcW w:type="dxa" w:w="2448"/>
            <w:shd w:fill="ECFDF5"/>
            <w:tcMar>
              <w:top w:w="100" w:type="dxa"/>
              <w:bottom w:w="100" w:type="dxa"/>
              <w:left w:w="100" w:type="dxa"/>
              <w:right w:w="100" w:type="dxa"/>
            </w:tcMar>
          </w:tcPr>
          <w:p>
            <w:r>
              <w:rPr>
                <w:rFonts w:ascii="Calibri" w:hAnsi="Calibri"/>
                <w:b w:val="0"/>
                <w:color w:val="1E293B"/>
                <w:sz w:val="17"/>
              </w:rPr>
              <w:t>Anti-Flapping Cooldown Debounce</w:t>
            </w:r>
          </w:p>
        </w:tc>
        <w:tc>
          <w:tcPr>
            <w:tcW w:type="dxa" w:w="2592"/>
            <w:shd w:fill="ECFDF5"/>
            <w:tcMar>
              <w:top w:w="100" w:type="dxa"/>
              <w:bottom w:w="100" w:type="dxa"/>
              <w:left w:w="100" w:type="dxa"/>
              <w:right w:w="100" w:type="dxa"/>
            </w:tcMar>
          </w:tcPr>
          <w:p>
            <w:r>
              <w:rPr>
                <w:rFonts w:ascii="Calibri" w:hAnsi="Calibri"/>
                <w:b w:val="0"/>
                <w:color w:val="1E293B"/>
                <w:sz w:val="17"/>
              </w:rPr>
              <w:t>Evaluate successive anomalous packet within 5 seconds</w:t>
            </w:r>
          </w:p>
        </w:tc>
        <w:tc>
          <w:tcPr>
            <w:tcW w:type="dxa" w:w="2304"/>
            <w:shd w:fill="ECFDF5"/>
            <w:tcMar>
              <w:top w:w="100" w:type="dxa"/>
              <w:bottom w:w="100" w:type="dxa"/>
              <w:left w:w="100" w:type="dxa"/>
              <w:right w:w="100" w:type="dxa"/>
            </w:tcMar>
          </w:tcPr>
          <w:p>
            <w:r>
              <w:rPr>
                <w:rFonts w:ascii="Calibri" w:hAnsi="Calibri"/>
                <w:b w:val="0"/>
                <w:color w:val="1E293B"/>
                <w:sz w:val="17"/>
              </w:rPr>
              <w:t>Debounce blocked duplicate execution; cooldown obeyed</w:t>
            </w:r>
          </w:p>
        </w:tc>
        <w:tc>
          <w:tcPr>
            <w:tcW w:type="dxa" w:w="864"/>
            <w:shd w:fill="ECFDF5"/>
            <w:tcMar>
              <w:top w:w="100" w:type="dxa"/>
              <w:bottom w:w="100" w:type="dxa"/>
              <w:left w:w="100" w:type="dxa"/>
              <w:right w:w="100" w:type="dxa"/>
            </w:tcMar>
          </w:tcPr>
          <w:p>
            <w:pPr>
              <w:jc w:val="center"/>
            </w:pPr>
            <w:r>
              <w:rPr>
                <w:rFonts w:ascii="Calibri" w:hAnsi="Calibri"/>
                <w:b/>
                <w:color w:val="059669"/>
                <w:sz w:val="17"/>
              </w:rPr>
              <w:t>PASS</w:t>
            </w:r>
          </w:p>
        </w:tc>
      </w:tr>
      <w:tr>
        <w:tc>
          <w:tcPr>
            <w:tcW w:type="dxa" w:w="1152"/>
            <w:shd w:fill="FFFFFF"/>
            <w:tcMar>
              <w:top w:w="100" w:type="dxa"/>
              <w:bottom w:w="100" w:type="dxa"/>
              <w:left w:w="100" w:type="dxa"/>
              <w:right w:w="100" w:type="dxa"/>
            </w:tcMar>
          </w:tcPr>
          <w:p>
            <w:pPr>
              <w:jc w:val="center"/>
            </w:pPr>
            <w:r>
              <w:rPr>
                <w:rFonts w:ascii="Calibri" w:hAnsi="Calibri"/>
                <w:b/>
                <w:color w:val="1E293B"/>
                <w:sz w:val="17"/>
              </w:rPr>
              <w:t>TC-08</w:t>
            </w:r>
          </w:p>
        </w:tc>
        <w:tc>
          <w:tcPr>
            <w:tcW w:type="dxa" w:w="2448"/>
            <w:shd w:fill="FFFFFF"/>
            <w:tcMar>
              <w:top w:w="100" w:type="dxa"/>
              <w:bottom w:w="100" w:type="dxa"/>
              <w:left w:w="100" w:type="dxa"/>
              <w:right w:w="100" w:type="dxa"/>
            </w:tcMar>
          </w:tcPr>
          <w:p>
            <w:r>
              <w:rPr>
                <w:rFonts w:ascii="Calibri" w:hAnsi="Calibri"/>
                <w:b w:val="0"/>
                <w:color w:val="1E293B"/>
                <w:sz w:val="17"/>
              </w:rPr>
              <w:t>Manual Operator Reset</w:t>
            </w:r>
          </w:p>
        </w:tc>
        <w:tc>
          <w:tcPr>
            <w:tcW w:type="dxa" w:w="2592"/>
            <w:shd w:fill="FFFFFF"/>
            <w:tcMar>
              <w:top w:w="100" w:type="dxa"/>
              <w:bottom w:w="100" w:type="dxa"/>
              <w:left w:w="100" w:type="dxa"/>
              <w:right w:w="100" w:type="dxa"/>
            </w:tcMar>
          </w:tcPr>
          <w:p>
            <w:r>
              <w:rPr>
                <w:rFonts w:ascii="Calibri" w:hAnsi="Calibri"/>
                <w:b w:val="0"/>
                <w:color w:val="1E293B"/>
                <w:sz w:val="17"/>
              </w:rPr>
              <w:t>Operator executes actuator reset from cockpit</w:t>
            </w:r>
          </w:p>
        </w:tc>
        <w:tc>
          <w:tcPr>
            <w:tcW w:type="dxa" w:w="2304"/>
            <w:shd w:fill="FFFFFF"/>
            <w:tcMar>
              <w:top w:w="100" w:type="dxa"/>
              <w:bottom w:w="100" w:type="dxa"/>
              <w:left w:w="100" w:type="dxa"/>
              <w:right w:w="100" w:type="dxa"/>
            </w:tcMar>
          </w:tcPr>
          <w:p>
            <w:r>
              <w:rPr>
                <w:rFonts w:ascii="Calibri" w:hAnsi="Calibri"/>
                <w:b w:val="0"/>
                <w:color w:val="1E293B"/>
                <w:sz w:val="17"/>
              </w:rPr>
              <w:t>All actuators restored to nominal; override event logged</w:t>
            </w:r>
          </w:p>
        </w:tc>
        <w:tc>
          <w:tcPr>
            <w:tcW w:type="dxa" w:w="864"/>
            <w:shd w:fill="FFFFFF"/>
            <w:tcMar>
              <w:top w:w="100" w:type="dxa"/>
              <w:bottom w:w="100" w:type="dxa"/>
              <w:left w:w="100" w:type="dxa"/>
              <w:right w:w="100" w:type="dxa"/>
            </w:tcMar>
          </w:tcPr>
          <w:p>
            <w:pPr>
              <w:jc w:val="center"/>
            </w:pPr>
            <w:r>
              <w:rPr>
                <w:rFonts w:ascii="Calibri" w:hAnsi="Calibri"/>
                <w:b/>
                <w:color w:val="059669"/>
                <w:sz w:val="17"/>
              </w:rPr>
              <w:t>PASS</w:t>
            </w:r>
          </w:p>
        </w:tc>
      </w:tr>
      <w:tr>
        <w:tc>
          <w:tcPr>
            <w:tcW w:type="dxa" w:w="1152"/>
            <w:shd w:fill="ECFDF5"/>
            <w:tcMar>
              <w:top w:w="100" w:type="dxa"/>
              <w:bottom w:w="100" w:type="dxa"/>
              <w:left w:w="100" w:type="dxa"/>
              <w:right w:w="100" w:type="dxa"/>
            </w:tcMar>
          </w:tcPr>
          <w:p>
            <w:pPr>
              <w:jc w:val="center"/>
            </w:pPr>
            <w:r>
              <w:rPr>
                <w:rFonts w:ascii="Calibri" w:hAnsi="Calibri"/>
                <w:b/>
                <w:color w:val="1E293B"/>
                <w:sz w:val="17"/>
              </w:rPr>
              <w:t>TC-09</w:t>
            </w:r>
          </w:p>
        </w:tc>
        <w:tc>
          <w:tcPr>
            <w:tcW w:type="dxa" w:w="2448"/>
            <w:shd w:fill="ECFDF5"/>
            <w:tcMar>
              <w:top w:w="100" w:type="dxa"/>
              <w:bottom w:w="100" w:type="dxa"/>
              <w:left w:w="100" w:type="dxa"/>
              <w:right w:w="100" w:type="dxa"/>
            </w:tcMar>
          </w:tcPr>
          <w:p>
            <w:r>
              <w:rPr>
                <w:rFonts w:ascii="Calibri" w:hAnsi="Calibri"/>
                <w:b w:val="0"/>
                <w:color w:val="1E293B"/>
                <w:sz w:val="17"/>
              </w:rPr>
              <w:t>Node-RED JSON Flow Import</w:t>
            </w:r>
          </w:p>
        </w:tc>
        <w:tc>
          <w:tcPr>
            <w:tcW w:type="dxa" w:w="2592"/>
            <w:shd w:fill="ECFDF5"/>
            <w:tcMar>
              <w:top w:w="100" w:type="dxa"/>
              <w:bottom w:w="100" w:type="dxa"/>
              <w:left w:w="100" w:type="dxa"/>
              <w:right w:w="100" w:type="dxa"/>
            </w:tcMar>
          </w:tcPr>
          <w:p>
            <w:r>
              <w:rPr>
                <w:rFonts w:ascii="Calibri" w:hAnsi="Calibri"/>
                <w:b w:val="0"/>
                <w:color w:val="1E293B"/>
                <w:sz w:val="17"/>
              </w:rPr>
              <w:t>Validate syntax and schema of node_red_flows.json</w:t>
            </w:r>
          </w:p>
        </w:tc>
        <w:tc>
          <w:tcPr>
            <w:tcW w:type="dxa" w:w="2304"/>
            <w:shd w:fill="ECFDF5"/>
            <w:tcMar>
              <w:top w:w="100" w:type="dxa"/>
              <w:bottom w:w="100" w:type="dxa"/>
              <w:left w:w="100" w:type="dxa"/>
              <w:right w:w="100" w:type="dxa"/>
            </w:tcMar>
          </w:tcPr>
          <w:p>
            <w:r>
              <w:rPr>
                <w:rFonts w:ascii="Calibri" w:hAnsi="Calibri"/>
                <w:b w:val="0"/>
                <w:color w:val="1E293B"/>
                <w:sz w:val="17"/>
              </w:rPr>
              <w:t>Valid Node-RED v3/v4 tab with 10 nodes and wires</w:t>
            </w:r>
          </w:p>
        </w:tc>
        <w:tc>
          <w:tcPr>
            <w:tcW w:type="dxa" w:w="864"/>
            <w:shd w:fill="ECFDF5"/>
            <w:tcMar>
              <w:top w:w="100" w:type="dxa"/>
              <w:bottom w:w="100" w:type="dxa"/>
              <w:left w:w="100" w:type="dxa"/>
              <w:right w:w="100" w:type="dxa"/>
            </w:tcMar>
          </w:tcPr>
          <w:p>
            <w:pPr>
              <w:jc w:val="center"/>
            </w:pPr>
            <w:r>
              <w:rPr>
                <w:rFonts w:ascii="Calibri" w:hAnsi="Calibri"/>
                <w:b/>
                <w:color w:val="059669"/>
                <w:sz w:val="17"/>
              </w:rPr>
              <w:t>PASS</w:t>
            </w:r>
          </w:p>
        </w:tc>
      </w:tr>
      <w:tr>
        <w:tc>
          <w:tcPr>
            <w:tcW w:type="dxa" w:w="1152"/>
            <w:shd w:fill="FFFFFF"/>
            <w:tcMar>
              <w:top w:w="100" w:type="dxa"/>
              <w:bottom w:w="100" w:type="dxa"/>
              <w:left w:w="100" w:type="dxa"/>
              <w:right w:w="100" w:type="dxa"/>
            </w:tcMar>
          </w:tcPr>
          <w:p>
            <w:pPr>
              <w:jc w:val="center"/>
            </w:pPr>
            <w:r>
              <w:rPr>
                <w:rFonts w:ascii="Calibri" w:hAnsi="Calibri"/>
                <w:b/>
                <w:color w:val="1E293B"/>
                <w:sz w:val="17"/>
              </w:rPr>
              <w:t>TC-10</w:t>
            </w:r>
          </w:p>
        </w:tc>
        <w:tc>
          <w:tcPr>
            <w:tcW w:type="dxa" w:w="2448"/>
            <w:shd w:fill="FFFFFF"/>
            <w:tcMar>
              <w:top w:w="100" w:type="dxa"/>
              <w:bottom w:w="100" w:type="dxa"/>
              <w:left w:w="100" w:type="dxa"/>
              <w:right w:w="100" w:type="dxa"/>
            </w:tcMar>
          </w:tcPr>
          <w:p>
            <w:r>
              <w:rPr>
                <w:rFonts w:ascii="Calibri" w:hAnsi="Calibri"/>
                <w:b w:val="0"/>
                <w:color w:val="1E293B"/>
                <w:sz w:val="17"/>
              </w:rPr>
              <w:t>Grafana Dashboard Model Import</w:t>
            </w:r>
          </w:p>
        </w:tc>
        <w:tc>
          <w:tcPr>
            <w:tcW w:type="dxa" w:w="2592"/>
            <w:shd w:fill="FFFFFF"/>
            <w:tcMar>
              <w:top w:w="100" w:type="dxa"/>
              <w:bottom w:w="100" w:type="dxa"/>
              <w:left w:w="100" w:type="dxa"/>
              <w:right w:w="100" w:type="dxa"/>
            </w:tcMar>
          </w:tcPr>
          <w:p>
            <w:r>
              <w:rPr>
                <w:rFonts w:ascii="Calibri" w:hAnsi="Calibri"/>
                <w:b w:val="0"/>
                <w:color w:val="1E293B"/>
                <w:sz w:val="17"/>
              </w:rPr>
              <w:t>Validate syntax and schema of grafana_dashboard.json</w:t>
            </w:r>
          </w:p>
        </w:tc>
        <w:tc>
          <w:tcPr>
            <w:tcW w:type="dxa" w:w="2304"/>
            <w:shd w:fill="FFFFFF"/>
            <w:tcMar>
              <w:top w:w="100" w:type="dxa"/>
              <w:bottom w:w="100" w:type="dxa"/>
              <w:left w:w="100" w:type="dxa"/>
              <w:right w:w="100" w:type="dxa"/>
            </w:tcMar>
          </w:tcPr>
          <w:p>
            <w:r>
              <w:rPr>
                <w:rFonts w:ascii="Calibri" w:hAnsi="Calibri"/>
                <w:b w:val="0"/>
                <w:color w:val="1E293B"/>
                <w:sz w:val="17"/>
              </w:rPr>
              <w:t>Valid Grafana schema v38 dashboard with 6 panels</w:t>
            </w:r>
          </w:p>
        </w:tc>
        <w:tc>
          <w:tcPr>
            <w:tcW w:type="dxa" w:w="864"/>
            <w:shd w:fill="FFFFFF"/>
            <w:tcMar>
              <w:top w:w="100" w:type="dxa"/>
              <w:bottom w:w="100" w:type="dxa"/>
              <w:left w:w="100" w:type="dxa"/>
              <w:right w:w="100" w:type="dxa"/>
            </w:tcMar>
          </w:tcPr>
          <w:p>
            <w:pPr>
              <w:jc w:val="center"/>
            </w:pPr>
            <w:r>
              <w:rPr>
                <w:rFonts w:ascii="Calibri" w:hAnsi="Calibri"/>
                <w:b/>
                <w:color w:val="059669"/>
                <w:sz w:val="17"/>
              </w:rPr>
              <w:t>PASS</w:t>
            </w:r>
          </w:p>
        </w:tc>
      </w:tr>
    </w:tbl>
    <w:p>
      <w:pPr>
        <w:keepNext/>
        <w:spacing w:before="360" w:after="120"/>
      </w:pPr>
      <w:r>
        <w:rPr>
          <w:rFonts w:ascii="Calibri" w:hAnsi="Calibri"/>
          <w:b/>
          <w:color w:val="103460"/>
          <w:sz w:val="30"/>
        </w:rPr>
        <w:t>11. References &amp; Bibliography</w:t>
      </w:r>
    </w:p>
    <w:p>
      <w:pPr>
        <w:pStyle w:val="ListBullet"/>
        <w:spacing w:before="20" w:after="80" w:line="276" w:lineRule="auto"/>
      </w:pPr>
      <w:r>
        <w:rPr>
          <w:rFonts w:ascii="Calibri" w:hAnsi="Calibri"/>
          <w:color w:val="1E293B"/>
          <w:sz w:val="22"/>
        </w:rPr>
        <w:t>HCL Career Shaper AIoT Curriculum (Lectures 4–7) &amp; User Architecture Guidelines for Industrial Automation.</w:t>
      </w:r>
    </w:p>
    <w:p>
      <w:pPr>
        <w:pStyle w:val="ListBullet"/>
        <w:spacing w:before="20" w:after="80" w:line="276" w:lineRule="auto"/>
      </w:pPr>
      <w:r>
        <w:rPr>
          <w:rFonts w:ascii="Calibri" w:hAnsi="Calibri"/>
          <w:color w:val="1E293B"/>
          <w:sz w:val="22"/>
        </w:rPr>
        <w:t>Liu, F. T., Ting, K. M., &amp; Zhou, Z.-H. (2008). 'Isolation Forest.' IEEE International Conference on Data Mining (ICDM), pp. 413-422.</w:t>
      </w:r>
    </w:p>
    <w:p>
      <w:pPr>
        <w:pStyle w:val="ListBullet"/>
        <w:spacing w:before="20" w:after="80" w:line="276" w:lineRule="auto"/>
      </w:pPr>
      <w:r>
        <w:rPr>
          <w:rFonts w:ascii="Calibri" w:hAnsi="Calibri"/>
          <w:color w:val="1E293B"/>
          <w:sz w:val="22"/>
        </w:rPr>
        <w:t>Pedregosa et al. (2011). 'Scikit-learn: Machine Learning in Python.' Journal of Machine Learning Research, 12, pp. 2825-2830.</w:t>
      </w:r>
    </w:p>
    <w:p>
      <w:pPr>
        <w:pStyle w:val="ListBullet"/>
        <w:spacing w:before="20" w:after="80" w:line="276" w:lineRule="auto"/>
      </w:pPr>
      <w:r>
        <w:rPr>
          <w:rFonts w:ascii="Calibri" w:hAnsi="Calibri"/>
          <w:color w:val="1E293B"/>
          <w:sz w:val="22"/>
        </w:rPr>
        <w:t>OASIS Standard (2019). 'MQTT Version 5.0.' OASIS Open Standards.</w:t>
      </w:r>
    </w:p>
    <w:p>
      <w:pPr>
        <w:pStyle w:val="ListBullet"/>
        <w:spacing w:before="20" w:after="80" w:line="276" w:lineRule="auto"/>
      </w:pPr>
      <w:r>
        <w:rPr>
          <w:rFonts w:ascii="Calibri" w:hAnsi="Calibri"/>
          <w:color w:val="1E293B"/>
          <w:sz w:val="22"/>
        </w:rPr>
        <w:t>MongoDB, Inc. (2026). 'MongoDB Manual &amp; Time-Series Data Modeling.' https://www.mongodb.com/docs</w:t>
      </w:r>
    </w:p>
    <w:p>
      <w:pPr>
        <w:pStyle w:val="ListBullet"/>
        <w:spacing w:before="20" w:after="80" w:line="276" w:lineRule="auto"/>
      </w:pPr>
      <w:r>
        <w:rPr>
          <w:rFonts w:ascii="Calibri" w:hAnsi="Calibri"/>
          <w:color w:val="1E293B"/>
          <w:sz w:val="22"/>
        </w:rPr>
        <w:t>Streamlit Community Cloud Documentation. (2026). https://docs.streamlit.io</w:t>
      </w:r>
    </w:p>
    <w:p>
      <w:pPr>
        <w:pStyle w:val="ListBullet"/>
        <w:spacing w:before="20" w:after="80" w:line="276" w:lineRule="auto"/>
      </w:pPr>
      <w:r>
        <w:rPr>
          <w:rFonts w:ascii="Calibri" w:hAnsi="Calibri"/>
          <w:color w:val="1E293B"/>
          <w:sz w:val="22"/>
        </w:rPr>
        <w:t>Grafana Labs (2026). 'Grafana Cloud Documentation and Dashboard Provisioning.' https://grafana.com/docs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