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6B" w:val="clear"/>
            <w:tcMar>
              <w:top w:type="dxa" w:w="720"/>
              <w:left w:type="dxa" w:w="900"/>
              <w:bottom w:type="dxa" w:w="720"/>
              <w:right w:type="dxa" w:w="900"/>
            </w:tcMar>
          </w:tcPr>
          <w:p>
            <w:pPr>
              <w:spacing w:after="120" w:before="14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STATEMENT OF WORK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FFD700"/>
                <w:sz w:val="40"/>
                <w:szCs w:val="40"/>
              </w:rPr>
              <w:t xml:space="preserve">E-Commerce Platform — Full-Stack Development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6"/>
                <w:szCs w:val="26"/>
              </w:rPr>
              <w:t xml:space="preserve">Tata CLiQ Replica | Multi-Category Retail Marketplace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20"/>
                <w:szCs w:val="20"/>
              </w:rPr>
              <w:t xml:space="preserve">─────────────────────────────────────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Document Version: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v1.0 — Initial Release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Prepared Date: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May 2026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Prepared By: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Senior Solutions Architect — E-Commerce Division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Project Code: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ECM-TCLIQ-2026-001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Document Status: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FINAL — Approved for Development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Classification: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CONFIDENTIAL — Internal Use Only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20"/>
                <w:szCs w:val="20"/>
              </w:rPr>
              <w:t xml:space="preserve">─────────────────────────────────────</w:t>
            </w:r>
          </w:p>
          <w:p>
            <w:r>
              <w:br w:type="page"/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400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6B"/>
          <w:sz w:val="36"/>
          <w:szCs w:val="36"/>
        </w:rPr>
        <w:t xml:space="preserve">Document Control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700"/>
        <w:gridCol w:w="1760"/>
      </w:tblGrid>
      <w:tr>
        <w:tc>
          <w:tcPr>
            <w:tcW w:type="dxa" w:w="9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Ver.</w:t>
            </w:r>
          </w:p>
        </w:tc>
        <w:tc>
          <w:tcPr>
            <w:tcW w:type="dxa" w:w="20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7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May 2026</w:t>
            </w:r>
          </w:p>
        </w:tc>
        <w:tc>
          <w:tcPr>
            <w:tcW w:type="dxa" w:w="4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Initial SOW — all sections authored</w:t>
            </w:r>
          </w:p>
        </w:tc>
        <w:tc>
          <w:tcPr>
            <w:tcW w:type="dxa" w:w="1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Lead Architect / PM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TBD</w:t>
            </w:r>
          </w:p>
        </w:tc>
        <w:tc>
          <w:tcPr>
            <w:tcW w:type="dxa" w:w="4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 review comments incorporated</w:t>
            </w:r>
          </w:p>
        </w:tc>
        <w:tc>
          <w:tcPr>
            <w:tcW w:type="dxa" w:w="1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2.0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TBD</w:t>
            </w:r>
          </w:p>
        </w:tc>
        <w:tc>
          <w:tcPr>
            <w:tcW w:type="dxa" w:w="4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Final client sign-off version</w:t>
            </w:r>
          </w:p>
        </w:tc>
        <w:tc>
          <w:tcPr>
            <w:tcW w:type="dxa" w:w="1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Stakeholders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400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6B"/>
          <w:sz w:val="36"/>
          <w:szCs w:val="36"/>
        </w:rPr>
        <w:t xml:space="preserve">Table of Contents</w:t>
      </w:r>
    </w:p>
    <w:p>
      <w:r>
        <w:rPr>
          <w:sz w:val="20"/>
          <w:szCs w:val="20"/>
        </w:rPr>
        <w:t xml:space="preserve"/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1.  Executive Summary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	3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2.  Scope of Work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	4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3.  Functional Requirements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	5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4.  Non-Functional Requirements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	9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5.  Technical Architecture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	10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6.  UI/UX &amp; Responsive Design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	12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7.  Project Timeline &amp; Milestones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	13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8.  Team Structure &amp; Resource Plan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	15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9.  Deliverables &amp; Acceptance Criteria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	16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10.  Commercial Terms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	17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11.  Risk Register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	19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12.  Approvals &amp; Sign-off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	20</w:t>
      </w:r>
    </w:p>
    <w:p>
      <w:r>
        <w:br w:type="page"/>
      </w:r>
    </w:p>
    <w:p>
      <w:pPr>
        <w:pStyle w:val="Heading1"/>
        <w:pBdr>
          <w:bottom w:val="single" w:color="E400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6B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This Statement of Work (SOW) defines the complete scope, architecture, feature set, deliverables, timeline, resource plan, and commercial terms for the development of a full-featured e-commerce platform modelled on Tata CLiQ (tatacliq.com). The platform shall replicate the core user experience, product discovery flows, checkout journeys, and backend operations of the reference site, built on a modern, scalable, and maintainable technology stack.</w:t>
      </w:r>
    </w:p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platform will serve as a multi-category online retail marketplace supporting Fashion, Electronics, Luxury Goods, and Home categories. It will be architected for high availability, mobile-first responsiveness, and seamless third-party integrations including payment gateways, logistics providers, and analytics platforms.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Deliver a feature-complete e-commerce clone matching Tata CLiQ functionality and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Implement fully responsive design: Desktop (1280px+), Tablet (768px+), Mobile (320px+)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Achieve sub-2.5-second LCP on mid-range mobile devices under 4G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Support 10,000 concurrent users at launch; horizontally scalable to 100,000+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Achieve PCI-DSS Level 1 compliance for all payment data handling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Deliver full API documentation, 80%+ test coverage, and automated CI/CD pipelines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1.2 Reference Platform Analysis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Tata CLiQ is a premium e-commerce marketplace owned by Tata Group, offering authentic branded products across multiple verticals. The following capabilities form the functional baseline for this SOW: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Multi-brand, multi-category product catalog with rich filtering and faceted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Full authenticated user journey: Registration, OTP login, Social login, Profile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Advanced product pages with zoom images, size guides, and pincode-based delivery estimates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Cart, Guest Checkout, and complete Order Management lifecycle with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Multiple payment methods: Cards, UPI, Net Banking, EMI, Wallets, BNPL, COD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Loyalty program (CLiQ Cash reward points) — earn, redeem, expire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Seller/Brand portal for inventory management and order fulfilment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Admin CMS for banners, promotions, catalog management, and reporting</w:t>
      </w:r>
    </w:p>
    <w:p>
      <w:r>
        <w:br w:type="page"/>
      </w:r>
    </w:p>
    <w:p>
      <w:pPr>
        <w:pStyle w:val="Heading1"/>
        <w:pBdr>
          <w:bottom w:val="single" w:color="E400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6B"/>
          <w:sz w:val="36"/>
          <w:szCs w:val="36"/>
        </w:rPr>
        <w:t xml:space="preserve">2. Scope of 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2.1 In-Scope Deliverables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tcW w:type="dxa" w:w="28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Component</w:t>
            </w:r>
          </w:p>
        </w:tc>
        <w:tc>
          <w:tcPr>
            <w:tcW w:type="dxa" w:w="45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Frontend Application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Next.js 14 SSR, all pages, responsive layout, PWA</w:t>
            </w:r>
          </w:p>
        </w:tc>
        <w:tc>
          <w:tcPr>
            <w:tcW w:type="dxa" w:w="2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1–2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Backend API Services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Node.js microservices: Auth, Catalog, Cart, Orders, Payments</w:t>
            </w:r>
          </w:p>
        </w:tc>
        <w:tc>
          <w:tcPr>
            <w:tcW w:type="dxa" w:w="2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1–2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Database Layer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PostgreSQL (relational), MongoDB (catalog), Redis (cache)</w:t>
            </w:r>
          </w:p>
        </w:tc>
        <w:tc>
          <w:tcPr>
            <w:tcW w:type="dxa" w:w="2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Search Engine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Elasticsearch — full-text, faceted, autocomplete, fuzzy</w:t>
            </w:r>
          </w:p>
        </w:tc>
        <w:tc>
          <w:tcPr>
            <w:tcW w:type="dxa" w:w="2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Admin Panel / CMS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React dashboard — catalog, orders, users, promotions, reports</w:t>
            </w:r>
          </w:p>
        </w:tc>
        <w:tc>
          <w:tcPr>
            <w:tcW w:type="dxa" w:w="2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Seller / Brand Portal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Multi-tenant portal — listings, inventory, payouts, analytics</w:t>
            </w:r>
          </w:p>
        </w:tc>
        <w:tc>
          <w:tcPr>
            <w:tcW w:type="dxa" w:w="2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Payment Integration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Razorpay + PayU — Cards, UPI, Wallets, EMI, BNPL, refunds</w:t>
            </w:r>
          </w:p>
        </w:tc>
        <w:tc>
          <w:tcPr>
            <w:tcW w:type="dxa" w:w="2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Logistics Integration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Shiprocket / Delhivery — AWB, tracking, NDR management</w:t>
            </w:r>
          </w:p>
        </w:tc>
        <w:tc>
          <w:tcPr>
            <w:tcW w:type="dxa" w:w="2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 (SES), SMS (MSG91), Push (FCM), WhatsApp</w:t>
            </w:r>
          </w:p>
        </w:tc>
        <w:tc>
          <w:tcPr>
            <w:tcW w:type="dxa" w:w="2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Analytics &amp; Tracking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Google Analytics 4, Meta Pixel, Mixpanel event tracking</w:t>
            </w:r>
          </w:p>
        </w:tc>
        <w:tc>
          <w:tcPr>
            <w:tcW w:type="dxa" w:w="2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DevOps &amp; Infrastructure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 ECS/Fargate, CloudFront CDN, RDS, CI/CD (GitHub Actions)</w:t>
            </w:r>
          </w:p>
        </w:tc>
        <w:tc>
          <w:tcPr>
            <w:tcW w:type="dxa" w:w="2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QA &amp; Testing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Unit, Integration, E2E (Playwright), Load (k6), Security (OWASP)</w:t>
            </w:r>
          </w:p>
        </w:tc>
        <w:tc>
          <w:tcPr>
            <w:tcW w:type="dxa" w:w="20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Phases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2.2 Out-of-Scope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Native iOS / Android mobile applications (PWA is in-scope)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Physical warehouse management systems or ERP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Custom payment gateway development (third-party APIs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Product content creation — photography, descriptions, or copywriting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Seller recruitment, business development, or partner onboarding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Post-go-live support beyond the 90-day hypercare window (separate retainer)</w:t>
      </w:r>
    </w:p>
    <w:p>
      <w:r>
        <w:br w:type="page"/>
      </w:r>
    </w:p>
    <w:p>
      <w:pPr>
        <w:pStyle w:val="Heading1"/>
        <w:pBdr>
          <w:bottom w:val="single" w:color="E400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6B"/>
          <w:sz w:val="36"/>
          <w:szCs w:val="36"/>
        </w:rPr>
        <w:t xml:space="preserve">3.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3.1 User Authentication &amp; Account Management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4002B"/>
          <w:sz w:val="22"/>
          <w:szCs w:val="22"/>
        </w:rPr>
        <w:t xml:space="preserve">3.1.1 Registration &amp;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Mobile OTP registration (primary) + Email fallback registration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Social login: Google OAuth 2.0, Facebook Login, Apple Sign-In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JWT-based session management with secure refresh token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Multi-device session list with individual remote logout capability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Account merging when same email/phone found across social providers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4002B"/>
          <w:sz w:val="22"/>
          <w:szCs w:val="22"/>
        </w:rPr>
        <w:t xml:space="preserve">3.1.2 User Profile &amp;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Profile management: display name, avatar upload, gender, DOB, anniversary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Address book: multiple saved addresses with Google Maps Places autocomplete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Order history: filterable by status, date range, category,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Wishlist: multi-list creation, share wishlist link, move item to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CLiQ Cash wallet: live balance, transaction history, expiry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Notification preferences: per-channel (Email/SMS/Push/WhatsApp) per event type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3.2 Homepage &amp;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Dynamic hero carousel with CMS-managed slides, auto-play, and swipe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Mega-menu navigation: Categories, Brands, Offers, Luxury section, Sale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Personalised feeds: Recently Viewed, Recommended For You, Trending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Category banners, brand spotlights, flash sale modules with countdown timers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Sticky header with live search bar, cart count badge, wishlist count, profile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Footer: navigational links, app download CTAs, social icons, newsletter signup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3.3 Product Catalog &amp; Discovery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4002B"/>
          <w:sz w:val="22"/>
          <w:szCs w:val="22"/>
        </w:rPr>
        <w:t xml:space="preserve">3.3.1 Category &amp; Listing Pages (PLP)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Faceted filtering: Price range, Brand, Size, Colour, Rating, Discount %, Material, Gender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Sort options: Popularity, Price (asc/desc), Newest Arrivals, Discount, Customer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Infinite scroll and paginated view toggle; grid and list view switcher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Quick-view modal — add to cart or wishlist without full page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SEO-friendly URL slugs per category path; dynamic breadcrumb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Applied filter chips with individual removal and clear-all option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4002B"/>
          <w:sz w:val="22"/>
          <w:szCs w:val="22"/>
        </w:rPr>
        <w:t xml:space="preserve">3.3.2 Product Detail Page (PDP)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Multi-image gallery with pinch-zoom, 360-degree spin viewer, and video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Variant selector: Size and Colour with real-time out-of-stock states per variant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Live inventory display with low-stock urgency messaging (e.g., Only 3 left)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Size guide modal with brand-specific size charts (cm and inches)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Pincode-based delivery estimate, COD eligibility, and expected delivery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EMI calculator: bank-wise, tenure-wise breakdown with no-cost EMI highlight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Brand information section, authenticity guarantee badge, seller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Structured product description, specifications table, care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Ratings and Reviews: star breakdown, verified-purchase badge, photo reviews, Q&amp;A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Related sections: Similar Products, Complete the Look, Frequently Bought Together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3.4 Search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Autocomplete dropdown: trending searches, category suggestions, brand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Full-text search via Elasticsearch: fuzzy matching, synonym support, typo tolerance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Search results page with identical facets and sort options as category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Voice search support via Web Speech API on compatible mobile browsers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Zero-results fallback: curated recommendations and popular category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Search analytics: click-through rate, conversion rate, abandonment tracking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3.5 Cart &amp; Checkout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4002B"/>
          <w:sz w:val="22"/>
          <w:szCs w:val="22"/>
        </w:rPr>
        <w:t xml:space="preserve">3.5.1 Cart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Persistent cart synced across all devices for logged-in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Guest cart with automatic merge on subsequent login (no item loss)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Quantity increment/decrement controls, item removal, Save for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Real-time price recalculation; out-of-stock flagging with remove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Coupon and promo code application with clear inline error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CLiQ Cash and loyalty point partial redemption with slider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Cart summary: MRP total, total discount, delivery charges, tax, net payable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4002B"/>
          <w:sz w:val="22"/>
          <w:szCs w:val="22"/>
        </w:rPr>
        <w:t xml:space="preserve">3.5.2 Checkout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Single-page checkout with clearly delineated Address, Delivery, and Payment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Auto-fill from saved address book; new address creation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Payment methods: Credit/Debit Cards (3DS 2.0), UPI Collect and QR, Net Banking (all major banks), Wallets (Paytm, PhonePe, Amazon Pay), EMI (no-cost and standard), COD, BNPL (Simpl, LazyPay)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Order review and summary screen before final payment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Post-payment: confirmation page, transactional email, SMS, and push notification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3.6 Order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Order lifecycle: Placed &gt; Confirmed &gt; Packed &gt; Shipped &gt; Out for Delivery &gt; Delivered &gt;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Real-time shipment tracking integrated with courier partner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Self-serve return and exchange: reason selection, item pickup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Refund lifecycle: original payment method reversal with status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Downloadable GST invoice (PDF), in-window order cancellation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Support ticket creation linked to specific order line items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3.7 Promotions &amp; Loyalty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Coupon engine: percentage discount, flat discount, free shipping, BXGY, category-specific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Flash sale module with countdown timers and limited-quantity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CLiQ Cash: earn on purchase, expiry on inactivity, burn on next order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Referral programme: unique referral codes, tiered rewards on first-order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Brand-exclusive deals, End of Season Sale pages, curated offer landing pages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3.8 Admin Panel — CMS &amp;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Real-time dashboard: GMV, Orders, Revenue, Conversion Rate, AOV, new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Catalog management: add/edit/archive products, bulk CSV/Excel import with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Banner and content management: homepage carousel, category banners, pop-up modals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User management: view profiles, block/unblock, export user data (GDPR compliant)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Order management: view all orders, reassign, cancel, initiate refunds,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Coupon and campaign management: scheduling, usage caps, segment targeting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Reports: sales, inventory, returns rate, seller performance, search analytics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3.9 Seller / Brand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Seller onboarding: KYC verification, bank account, GST registration, MSME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Product listing: create and edit listings, image upload pipeline, variant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Inventory management: stock levels, low-stock email alerts, bulk stock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Order dashboard: accept, pack, generate shipping label, mark as shipped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Payout dashboard: settlement schedule, transaction reports, dispute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Performance analytics: impressions, clicks, conversion rate, return rate, ratings</w:t>
      </w:r>
    </w:p>
    <w:p>
      <w:r>
        <w:br w:type="page"/>
      </w:r>
    </w:p>
    <w:p>
      <w:pPr>
        <w:pStyle w:val="Heading1"/>
        <w:pBdr>
          <w:bottom w:val="single" w:color="E400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6B"/>
          <w:sz w:val="36"/>
          <w:szCs w:val="36"/>
        </w:rPr>
        <w:t xml:space="preserve">4. Non-Functional Requirements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/ Standard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Page Load — LCP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2.5 seconds on 4G mobile (100ms budget per layer)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 Response (p95)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300ms under normal load; &lt; 800ms under peak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10,000 at launch; auto-scale to 100,000+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Uptime SLA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99.9% (less than 8.76 hours downtime per year)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RTO / RPO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Recovery Time Objective: 1hr; Recovery Point Objective: 15 min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Horizontal Scaling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 ECS auto-scaling on CPU and memory thresholds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JWT RS256, refresh token rotation, MFA-ready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Payment Compliance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PCI-DSS Level 1; tokenised card storage via gateway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OWASP Top 10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remediation required before production go-live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 Encryption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AES-256 at rest; TLS 1.3 for all data in transit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SEO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Core Web Vitals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green: LCP &lt; 2.5s, INP &lt; 200ms, CLS &lt; 0.1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SEO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Rendering Strategy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SSR + ISR via Next.js for all PLP and PDP pages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Compliance Standard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WCAG 2.1 Level AA — keyboard nav, screen reader, contrast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Targets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Chrome 90+, Firefox 88+, Safari 14+, Edge 90+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Mobile Support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Breakpoints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320px, 480px, 768px, 1024px, 1280px, 1440px and above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Internationalisation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Initial Scope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English (India) locale; INR currency; IST timezone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400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6B"/>
          <w:sz w:val="36"/>
          <w:szCs w:val="36"/>
        </w:rPr>
        <w:t xml:space="preserve">5. Technical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5.1 Technology Stack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Next.js 14 (App Router), React 18, TypeScript 5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SSR, ISR, React Server Components, PWA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Tailwind CSS + shadcn/ui component library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Design tokens, theme support, dark mode ready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Zustand (client) + TanStack Query (server)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Optimistic updates, server-state caching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Node.js 20 + Fastify (microservices)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REST APIs + Apollo GraphQL gateway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PostgreSQL 16 (AWS RDS) via Prisma ORM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Users, Orders, Payments, Inventory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Catalog Database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Flexible product schemas and variant attributes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Cache / Sessions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Redis 7 (AWS ElastiCache)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Sessions, rate limiting, cart, search result caching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Elasticsearch 8 / AWS OpenSearch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Full-text, faceted filtering, autocomplete, synonyms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 S3 + CloudFront CDN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Product images, seller assets, PDF invoices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Message Queue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 SQS + SNS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Async order events, notifications fan-out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Razorpay SDK + PayU (failover)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Indian payment methods; webhook reconciliation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 SES (email), MSG91 (SMS), FCM (push)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Transactional and marketing communications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Datadog APM + Sentry + CloudWatch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Distributed traces, error tracking, alerting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 Actions → ECR → ECS Fargate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Blue/green deployments, staging gate approvals</w:t>
            </w:r>
          </w:p>
        </w:tc>
      </w:tr>
      <w:t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Terraform (IaC)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AWS resources version-controlled and reproducible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5.2 Microservices Breakdown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backend is decomposed into independently deployable services communicating over internal VPC via REST and event bus: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auth-service — JWT issuance, OTP, social OAuth flows,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user-service — Profile, address book, wishlist, notification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catalog-service — Products, categories, brands, attributes, media upload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search-service — Elasticsearch index management, query DSL, synonym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cart-service — Persistent cart, real-time price engine, coupon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order-service — Order lifecycle state machine, split shipments, cancellations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payment-service — Gateway orchestration, webhook handling, refund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notification-service — Email/SMS/push/WhatsApp fan-out via SQS consumers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seller-service — Onboarding, inventory, fulfilment, settlement payout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admin-service — CMS APIs, reporting aggregations, operational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api-gateway — Kong/Nginx: rate limiting, auth middleware, request routing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5.3 Security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microservices deployed in private VPC subnets; only API Gateway is publicly exposed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AWS WAF with rate limiting rules, bot detection, and IP reputation block-lists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Secrets exclusively managed via AWS Secrets Manager — no plaintext env vars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Database encrypted at rest (AES-256); TLS 1.3 enforced for all inter-service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RBAC with fine-grained permission scopes for Admin, Seller, Support Agent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PDPB / GDPR readiness: data minimisation, right-to-erasure endpoint, audit log</w:t>
      </w:r>
    </w:p>
    <w:p>
      <w:r>
        <w:br w:type="page"/>
      </w:r>
    </w:p>
    <w:p>
      <w:pPr>
        <w:pStyle w:val="Heading1"/>
        <w:pBdr>
          <w:bottom w:val="single" w:color="E400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6B"/>
          <w:sz w:val="36"/>
          <w:szCs w:val="36"/>
        </w:rPr>
        <w:t xml:space="preserve">6. UI/UX &amp; Responsive Design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6.1 Design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Figma design system with global tokens: colours, typography, spacing, elevation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Component library built on shadcn/ui extended with brand-specific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Primary colour: Tata Navy (#1A1A6B); Accent: Brand Red (#E4002B); Neutrals defined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Typography: Inter (sans-serif) for UI; headings at 4 modular scale ratios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Minimum touch target size: 44x44px on mobile per WCAG 2.1 guideline 2.5.5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6.2 Responsive Breakpoint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15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636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 Behaviour</w:t>
            </w:r>
          </w:p>
        </w:tc>
      </w:tr>
      <w:t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Mobile S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320px – 479px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column, bottom navigation bar, stacked product cards, thumb-zone CTA placement</w:t>
            </w:r>
          </w:p>
        </w:tc>
      </w:tr>
      <w:t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Mobile L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480px – 767px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column, slight layout expansion, 2-column product grid option</w:t>
            </w:r>
          </w:p>
        </w:tc>
      </w:tr>
      <w:t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Tablet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768px – 1023px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Top navigation, 3-column product grid, side filter drawer, expanded PDP layout</w:t>
            </w:r>
          </w:p>
        </w:tc>
      </w:tr>
      <w:t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Laptop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1024px – 1279px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mega-menu, 4-column grid, sticky filter sidebar on PLP</w:t>
            </w:r>
          </w:p>
        </w:tc>
      </w:tr>
      <w:t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Desktop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1280px – 1439px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layout, 4-5 column grid, extended hero carousel, all panels inline</w:t>
            </w:r>
          </w:p>
        </w:tc>
      </w:tr>
      <w:t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Wide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1440px+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Max-width container (1440px) centred; gutter space used for ambient elements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6.3 Mobile-Specific UX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Bottom navigation bar: Home, Categories, Search, Wishlist,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Swipe gestures: product image gallery, category tab scroll, cart item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Sticky add-to-cart bar on PDP replacing the standard button when scrolled past 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Progressive image loading with low-quality image placeholders (LQIP) and lazy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Offline indicator banner; PWA install prompt after 3rd session engagement</w:t>
      </w:r>
    </w:p>
    <w:p>
      <w:r>
        <w:br w:type="page"/>
      </w:r>
    </w:p>
    <w:p>
      <w:pPr>
        <w:pStyle w:val="Heading1"/>
        <w:pBdr>
          <w:bottom w:val="single" w:color="E400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6B"/>
          <w:sz w:val="36"/>
          <w:szCs w:val="36"/>
        </w:rPr>
        <w:t xml:space="preserve">7. Project Timeline &amp; Milestones</w:t>
      </w:r>
    </w:p>
    <w:p>
      <w:pPr>
        <w:spacing w:after="100" w:before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Total estimated duration: 36 weeks (approximately 9 months) from project kick-off date. Timeline assumes prompt client feedback (maximum 5 business days per review cycle) and no major scope changes post Phase 0 requirements lock.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400"/>
        <w:gridCol w:w="1760"/>
      </w:tblGrid>
      <w:tr>
        <w:tc>
          <w:tcPr>
            <w:tcW w:type="dxa" w:w="14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44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and Activities</w:t>
            </w:r>
          </w:p>
        </w:tc>
        <w:tc>
          <w:tcPr>
            <w:tcW w:type="dxa" w:w="176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6B"/>
                <w:sz w:val="18"/>
                <w:szCs w:val="18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Discovery and Architecture: Requirements lock, tech stack finalisation, system design, DB schema, API contracts, cloud environment setup, design system kickoff</w:t>
            </w:r>
          </w:p>
        </w:tc>
        <w:tc>
          <w:tcPr>
            <w:tcW w:type="dxa" w:w="1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 Contracts, ERD, Design System Tokens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6B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Weeks 3–8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Core Infrastructure and Auth: CI/CD pipelines, Terraform IaC, Auth service, User service, base Next.js scaffold, design system components, Homepage skeleton and navigation</w:t>
            </w:r>
          </w:p>
        </w:tc>
        <w:tc>
          <w:tcPr>
            <w:tcW w:type="dxa" w:w="1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 API, User API, Dev + Staging Environments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6B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Weeks 9–16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Catalog, Search and Cart: Catalog service, MongoDB schema, Elasticsearch indexing, PLP with full filter/sort, PDP with all features, image CDN pipeline, Cart service, Wishlist</w:t>
            </w:r>
          </w:p>
        </w:tc>
        <w:tc>
          <w:tcPr>
            <w:tcW w:type="dxa" w:w="1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PLP, PDP, Search, Cart — Fully Functional on Staging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6B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Weeks 17–22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Checkout, Payments and Orders: Complete checkout flow, Razorpay and PayU integration, Order service with state machine, Logistics API, Notification service, Tracking page</w:t>
            </w:r>
          </w:p>
        </w:tc>
        <w:tc>
          <w:tcPr>
            <w:tcW w:type="dxa" w:w="1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End-to-End Checkout and Order Flow on Staging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6B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Weeks 23–27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Panel and Seller Portal: Admin CMS (banners, catalog, orders, users, coupons), Seller portal (onboarding, inventory, orders, payouts), Reporting dashboards</w:t>
            </w:r>
          </w:p>
        </w:tc>
        <w:tc>
          <w:tcPr>
            <w:tcW w:type="dxa" w:w="1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Panel and Seller Portal Live on Staging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6B"/>
                <w:sz w:val="18"/>
                <w:szCs w:val="18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Weeks 28–30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Promotions, Loyalty and Personalisation: Coupon engine, CLiQ Cash module, Referral programme, Personalised product feeds (collaborative filtering), A/B testing framework</w:t>
            </w:r>
          </w:p>
        </w:tc>
        <w:tc>
          <w:tcPr>
            <w:tcW w:type="dxa" w:w="1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Promotions Engine and Loyalty Module Complete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6B"/>
                <w:sz w:val="18"/>
                <w:szCs w:val="18"/>
              </w:rPr>
              <w:t xml:space="preserve">Phase 6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Weeks 31–34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QA, Performance and Security: Full regression suite, E2E automation (Playwright), Load testing (k6) at 10k concurrent, OWASP penetration test, Core Web Vitals optimisation, WCAG audit</w:t>
            </w:r>
          </w:p>
        </w:tc>
        <w:tc>
          <w:tcPr>
            <w:tcW w:type="dxa" w:w="1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QA Reports, VAPT Sign-off, Performance Baseline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6B"/>
                <w:sz w:val="18"/>
                <w:szCs w:val="18"/>
              </w:rPr>
              <w:t xml:space="preserve">Phase 7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Weeks 35–36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UAT, Staging and Go-Live: Client UAT on staging, dedicated bug-fix sprint, blue/green production deployment, DNS cutover, 24/7 hypercare monitoring for 2 weeks post-launch</w:t>
            </w:r>
          </w:p>
        </w:tc>
        <w:tc>
          <w:tcPr>
            <w:tcW w:type="dxa" w:w="17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Production Go-Live — Platform Live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7.1 Key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416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Architecture and Design Signoff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4002B"/>
                <w:sz w:val="18"/>
                <w:szCs w:val="18"/>
              </w:rPr>
              <w:t xml:space="preserve">End of Week 2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stakeholders sign off on ERD, API contracts, and design system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Alpha — Homepage and Auth Live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4002B"/>
                <w:sz w:val="18"/>
                <w:szCs w:val="18"/>
              </w:rPr>
              <w:t xml:space="preserve">End of Week 8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Core infrastructure and authentication complete on staging environment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Beta — Catalog and Search Live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4002B"/>
                <w:sz w:val="18"/>
                <w:szCs w:val="18"/>
              </w:rPr>
              <w:t xml:space="preserve">End of Week 16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catalog browsing, search, and product pages functional on staging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Gamma — Checkout and Orders Live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4002B"/>
                <w:sz w:val="18"/>
                <w:szCs w:val="18"/>
              </w:rPr>
              <w:t xml:space="preserve">End of Week 22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Complete end-to-end purchase flow working on staging with test payments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RC1 — All Modules Integrated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4002B"/>
                <w:sz w:val="18"/>
                <w:szCs w:val="18"/>
              </w:rPr>
              <w:t xml:space="preserve">End of Week 30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features complete; internal QA testing commences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Security and Performance Signoff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4002B"/>
                <w:sz w:val="18"/>
                <w:szCs w:val="18"/>
              </w:rPr>
              <w:t xml:space="preserve">End of Week 34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 test findings remediated; load test target passed; WCAG audit clear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Production Go-Live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4002B"/>
                <w:sz w:val="18"/>
                <w:szCs w:val="18"/>
              </w:rPr>
              <w:t xml:space="preserve">End of Week 36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DNS live; hypercare monitoring active; support team briefed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400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6B"/>
          <w:sz w:val="36"/>
          <w:szCs w:val="36"/>
        </w:rPr>
        <w:t xml:space="preserve">8. Team Structure &amp; Resource Plan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500"/>
        <w:gridCol w:w="4160"/>
      </w:tblGrid>
      <w:tr>
        <w:tc>
          <w:tcPr>
            <w:tcW w:type="dxa" w:w="28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9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5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W w:type="dxa" w:w="416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Solution Architect / Tech Lead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Full-time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System design, architecture governance, tech decisions, code review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Senior Full-Stack Engineers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Full-time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Frontend (Next.js), Backend (Node.js), API and integration development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Frontend Engineers (React / Next.js)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Full-time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UI components, responsive design, performance optimisation, animations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Backend Engineers (Node.js / DB)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Full-time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Microservices, database design, third-party integrations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UI/UX Designer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Full-time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Figma designs, design system, component specs, UX research and testing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DevOps / Platform Engineer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Full-time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 infrastructure, Terraform, CI/CD pipelines, monitoring and alerting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QA / SDET Engineers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Full-time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 automation, E2E tests (Playwright), load testing (k6), regression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Data / Search Engineer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Full-time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Elasticsearch, analytics pipeline, personalisation algorithms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Full-time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planning, client communications, risk management, reporting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Part-time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Requirements documentation, acceptance criteria, UAT coordination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Security Consultant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Part-time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Penetration testing, PCI-DSS advisory, VAPT sign-off review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8.1 Governance &amp; Communication Cadence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Daily stand-ups (15 minutes) — Engineering team; async-first via Slack for distributed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Weekly sprint reviews — PM, Tech Lead, and designated client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Bi-weekly sprint retrospectives — internal engineering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Monthly steering committee — executives, milestone review, risk and budget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Tool stack: Jira (issues), GitHub (code + PRs), Confluence (docs), Figma (design)</w:t>
      </w:r>
    </w:p>
    <w:p>
      <w:r>
        <w:br w:type="page"/>
      </w:r>
    </w:p>
    <w:p>
      <w:pPr>
        <w:pStyle w:val="Heading1"/>
        <w:pBdr>
          <w:bottom w:val="single" w:color="E400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6B"/>
          <w:sz w:val="36"/>
          <w:szCs w:val="36"/>
        </w:rPr>
        <w:t xml:space="preserve">9. Deliverables &amp; Acceptance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9.1 Technical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Fully functional e-commerce web application deployed to production AWS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Source code in private GitHub repositories with complete, well-commented commit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API documentation: OpenAPI 3.0 / Swagger UI for all service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Database schema documentation including ERD diagrams and data dictionary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Infrastructure-as-Code (Terraform modules, environment variable templates, runbooks)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CI/CD pipeline configuration with test gates and blue/green deployment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Monitoring dashboards (Datadog): latency, error rate, uptime SLA tracking, alert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Admin panel and Seller portal as fully functional, separately deployable applications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9.2 Documentation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System Architecture Document (SAD) with component, sequence, and deployment diagrams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API Integration Guide for payment, logistics, and notification provider configurations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Admin User Manual: CMS operations, content publishing workflows, and reporting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Seller Portal Guide: onboarding walkthrough, listing management, and payout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QA Test Reports: coverage summaries, load test results, OWASP VAPT findings and 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Operations Runbook: disaster recovery procedures, scaling guide, on-call playbooks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9.3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P0 and P1 user stories accepted and signed off during UAT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Zero open Critical or High severity bugs at the time of production go-live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Load test: 10,000 concurrent users sustained with less than 1% error rate; API p95 under 300ms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Core Web Vitals: all green thresholds in Google Search Console report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PCI-DSS SAQ-D fully completed; OWASP Top 10 — no High or Critical findings outstanding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WCAG 2.1 AA audit: zero critical accessibility violations across all primary user journeys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Test coverage: greater than 80% for unit and integration tests; greater than 70% for E2E critical paths</w:t>
      </w:r>
    </w:p>
    <w:p>
      <w:r>
        <w:br w:type="page"/>
      </w:r>
    </w:p>
    <w:p>
      <w:pPr>
        <w:pStyle w:val="Heading1"/>
        <w:pBdr>
          <w:bottom w:val="single" w:color="E400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6B"/>
          <w:sz w:val="36"/>
          <w:szCs w:val="36"/>
        </w:rPr>
        <w:t xml:space="preserve">10. Commercial Terms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10.1 Engagement Model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This project will be executed under a Fixed-Price and Time-and-Materials (T&amp;M) hybrid engagement model. The core platform build covering Phases 0 through 6 is fixed-price. Phase 7 (UAT support and hypercare monitoring) is T&amp;M with an agreed cap.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10.2 Payment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Payment Milestone</w:t>
            </w:r>
          </w:p>
        </w:tc>
        <w:tc>
          <w:tcPr>
            <w:tcW w:type="dxa" w:w="12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496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Terms and Conditions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Contract Execution / Project Kick-off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4002B"/>
                <w:sz w:val="18"/>
                <w:szCs w:val="18"/>
              </w:rPr>
              <w:t xml:space="preserve">10%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Payable within 3 business days of signed contract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1 Signoff — Architecture and Auth Complete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4002B"/>
                <w:sz w:val="18"/>
                <w:szCs w:val="18"/>
              </w:rPr>
              <w:t xml:space="preserve">10%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milestone acceptance and written sign-off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2 Signoff — Catalog and Search Complete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4002B"/>
                <w:sz w:val="18"/>
                <w:szCs w:val="18"/>
              </w:rPr>
              <w:t xml:space="preserve">15%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milestone acceptance and written sign-off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3 Signoff — Checkout and Orders Complete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4002B"/>
                <w:sz w:val="18"/>
                <w:szCs w:val="18"/>
              </w:rPr>
              <w:t xml:space="preserve">20%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milestone acceptance and written sign-off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4 Signoff — Admin and Seller Portal Complete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4002B"/>
                <w:sz w:val="18"/>
                <w:szCs w:val="18"/>
              </w:rPr>
              <w:t xml:space="preserve">15%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milestone acceptance and written sign-off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Phase 5–6 Signoff — QA, Security and Performance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4002B"/>
                <w:sz w:val="18"/>
                <w:szCs w:val="18"/>
              </w:rPr>
              <w:t xml:space="preserve">15%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penetration test and load test acceptance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Production Go-Live — Final Acceptance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4002B"/>
                <w:sz w:val="18"/>
                <w:szCs w:val="18"/>
              </w:rPr>
              <w:t xml:space="preserve">15%</w:t>
            </w:r>
          </w:p>
        </w:tc>
        <w:tc>
          <w:tcPr>
            <w:tcW w:type="dxa" w:w="4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full UAT sign-off and production deployment verified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10.3 Assumptions and Dependencies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Client will provide all brand assets (logos, fonts, colour palettes) within 5 business days of kick-off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API keys and credentials for all third-party services (Razorpay, MSG91, etc.) provided by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Client UAT feedback provided within 5 business days of each staging deployment per phase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AWS account provisioned by client with IAM access granted to the development 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scope changes post Phase 0 requirements lock are subject to a formal Change Request process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10.4 Change Request Process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Any modification to agreed scope, timeline, or budget must follow this Change Request process: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Client raises Change Request in writing with description and business justification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Technical team assesses impact within 3 business days: effort estimate, cost delta, timeline impact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Change Request approved by authorised representatives of both parties before any work commences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Change Requests under 8 hours of effort may be approved via email by designated representatives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10.5 Intellectual Property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Upon receipt of the final payment milestone, the client shall own all custom-developed source code, designs, and documentation produced under this SOW. Open-source components remain governed by their respective licences. Third-party API integrations are subject to each provider's terms of service.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6B"/>
          <w:sz w:val="26"/>
          <w:szCs w:val="26"/>
        </w:rPr>
        <w:t xml:space="preserve">10.6 Warranty and Post-Go-Live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90-day hypercare period: bug fixes for P0 and P1 severity issues at no additional cost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Warranty scope covers defects in delivered functionality, not new feature requests or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Ongoing support and enhancements are available under a separately negotiated retainer 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Hypercare SLA: P0 — 1-hour response, 4-hour resolution; P1 — 4-hour response, 24-hour resolution; P2 — 2 business days</w:t>
      </w:r>
    </w:p>
    <w:p>
      <w:r>
        <w:br w:type="page"/>
      </w:r>
    </w:p>
    <w:p>
      <w:pPr>
        <w:pStyle w:val="Heading1"/>
        <w:pBdr>
          <w:bottom w:val="single" w:color="E400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6B"/>
          <w:sz w:val="36"/>
          <w:szCs w:val="36"/>
        </w:rPr>
        <w:t xml:space="preserve">11. Risk Register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Probability and Impact are rated as: H = High, M = Medium, L = 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700"/>
        <w:gridCol w:w="4000"/>
        <w:gridCol w:w="1360"/>
      </w:tblGrid>
      <w:tr>
        <w:tc>
          <w:tcPr>
            <w:tcW w:type="dxa" w:w="26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7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0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Strategy</w:t>
            </w:r>
          </w:p>
        </w:tc>
        <w:tc>
          <w:tcPr>
            <w:tcW w:type="dxa" w:w="136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Scope creep — uncontrolled additions post requirements lock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H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H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Strict Change Request process; Phase 0 lock; weekly scope review with PM</w:t>
            </w:r>
          </w:p>
        </w:tc>
        <w:tc>
          <w:tcPr>
            <w:tcW w:type="dxa" w:w="1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PM / Client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Third-party API instability — payment or logistics gateways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H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Fallback gateway (Razorpay primary, PayU fallback); retry logic; circuit breakers</w:t>
            </w:r>
          </w:p>
        </w:tc>
        <w:tc>
          <w:tcPr>
            <w:tcW w:type="dxa" w:w="1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Architect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Key resource attrition during project execution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H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Knowledge documentation; pair programming; cross-training; bench resources ready</w:t>
            </w:r>
          </w:p>
        </w:tc>
        <w:tc>
          <w:tcPr>
            <w:tcW w:type="dxa" w:w="1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PM / HR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Performance targets not met under load testing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H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Early load testing from Phase 2; CDN and caching strategy implemented from Phase 1</w:t>
            </w:r>
          </w:p>
        </w:tc>
        <w:tc>
          <w:tcPr>
            <w:tcW w:type="dxa" w:w="1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PCI-DSS compliance delays blocking go-live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H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Engage QSA auditor early; tokenise all card data via gateway (no raw PAN stored)</w:t>
            </w:r>
          </w:p>
        </w:tc>
        <w:tc>
          <w:tcPr>
            <w:tcW w:type="dxa" w:w="1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 feedback delays causing timeline drift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H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Contractual 5-day feedback SLA; escalation path defined; parallel workstreams planned</w:t>
            </w:r>
          </w:p>
        </w:tc>
        <w:tc>
          <w:tcPr>
            <w:tcW w:type="dxa" w:w="1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Elasticsearch cluster degradation under high catalogue write load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Index design review in Phase 0; async indexing via SQS queue; dedicated ingest nodes</w:t>
            </w:r>
          </w:p>
        </w:tc>
        <w:tc>
          <w:tcPr>
            <w:tcW w:type="dxa" w:w="1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Search Eng.</w:t>
            </w:r>
          </w:p>
        </w:tc>
      </w:tr>
      <w:t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Cross-browser and mobile compatibility regressions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BrowserStack automated cross-browser testing integrated in CI from Phase 1 onwards</w:t>
            </w:r>
          </w:p>
        </w:tc>
        <w:tc>
          <w:tcPr>
            <w:tcW w:type="dxa" w:w="1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4002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6B"/>
          <w:sz w:val="36"/>
          <w:szCs w:val="36"/>
        </w:rPr>
        <w:t xml:space="preserve">12. Approvals &amp; Sign-off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By signing below, the authorised representatives of both parties confirm their agreement to all terms, scope, timeline, team structure, deliverables, and commercial conditions set forth in this Statement of Work.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Party</w:t>
            </w:r>
          </w:p>
        </w:tc>
        <w:tc>
          <w:tcPr>
            <w:tcW w:type="dxa" w:w="234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Title</w:t>
            </w:r>
          </w:p>
        </w:tc>
        <w:tc>
          <w:tcPr>
            <w:tcW w:type="dxa" w:w="234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1A1A6B" w:sz="4"/>
              <w:left w:val="single" w:color="1A1A6B" w:sz="4"/>
              <w:bottom w:val="single" w:color="1A1A6B" w:sz="4"/>
              <w:right w:val="single" w:color="1A1A6B" w:sz="4"/>
            </w:tcBorders>
            <w:shd w:fill="1A1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Signed</w:t>
            </w:r>
          </w:p>
        </w:tc>
      </w:tr>
      <w:tr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Client — Authorised Representative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80"/>
              <w:left w:type="dxa" w:w="130"/>
              <w:bottom w:type="dxa" w:w="50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80"/>
              <w:left w:type="dxa" w:w="130"/>
              <w:bottom w:type="dxa" w:w="50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80"/>
              <w:left w:type="dxa" w:w="130"/>
              <w:bottom w:type="dxa" w:w="50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Development Partner — Lead Architect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80"/>
              <w:left w:type="dxa" w:w="130"/>
              <w:bottom w:type="dxa" w:w="50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80"/>
              <w:left w:type="dxa" w:w="130"/>
              <w:bottom w:type="dxa" w:w="50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80"/>
              <w:left w:type="dxa" w:w="130"/>
              <w:bottom w:type="dxa" w:w="50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QA / Compliance Signatory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80"/>
              <w:left w:type="dxa" w:w="130"/>
              <w:bottom w:type="dxa" w:w="50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80"/>
              <w:left w:type="dxa" w:w="130"/>
              <w:bottom w:type="dxa" w:w="50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80"/>
              <w:left w:type="dxa" w:w="130"/>
              <w:bottom w:type="dxa" w:w="50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BDBDBD" w:sz="4" w:space="4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757575"/>
          <w:sz w:val="16"/>
          <w:szCs w:val="16"/>
        </w:rPr>
        <w:t xml:space="preserve">This document is CONFIDENTIAL and PROPRIETARY. Unauthorised reproduction or distribution is strictly prohibited.</w:t>
      </w:r>
    </w:p>
    <w:p>
      <w:pPr>
        <w:jc w:val="center"/>
      </w:pPr>
      <w:r>
        <w:rPr>
          <w:rFonts w:ascii="Arial" w:cs="Arial" w:eastAsia="Arial" w:hAnsi="Arial"/>
          <w:color w:val="757575"/>
          <w:sz w:val="16"/>
          <w:szCs w:val="16"/>
        </w:rPr>
        <w:t xml:space="preserve">SOW v1.0  |  May 2026  |  Project Code: ECM-TCLIQ-2026-001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4"/>
      </w:pBdr>
    </w:pPr>
    <w:r>
      <w:rPr>
        <w:sz w:val="4"/>
        <w:szCs w:val="4"/>
      </w:rPr>
      <w:t xml:space="preserve"/>
    </w: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</w:tcPr>
        <w:p>
          <w:r>
            <w:rPr>
              <w:rFonts w:ascii="Arial" w:cs="Arial" w:eastAsia="Arial" w:hAnsi="Arial"/>
              <w:color w:val="757575"/>
              <w:sz w:val="14"/>
              <w:szCs w:val="14"/>
            </w:rPr>
            <w:t xml:space="preserve">ECM-TCLIQ-2026-001  |  E-Commerce Platform SOW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</w:tcPr>
        <w:p>
          <w:pPr>
            <w:jc w:val="right"/>
          </w:pPr>
          <w:r>
            <w:rPr>
              <w:rFonts w:ascii="Arial" w:cs="Arial" w:eastAsia="Arial" w:hAnsi="Arial"/>
              <w:color w:val="757575"/>
              <w:sz w:val="14"/>
              <w:szCs w:val="14"/>
            </w:rPr>
            <w:t xml:space="preserve">Page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88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</w:tcPr>
        <w:p>
          <w:r>
            <w:rPr>
              <w:rFonts w:ascii="Arial" w:cs="Arial" w:eastAsia="Arial" w:hAnsi="Arial"/>
              <w:b/>
              <w:bCs/>
              <w:color w:val="1A1A6B"/>
              <w:sz w:val="16"/>
              <w:szCs w:val="16"/>
            </w:rPr>
            <w:t xml:space="preserve">Statement of Work — Tata CLiQ E-Commerce Clone</w:t>
          </w:r>
        </w:p>
      </w:tc>
      <w:tc>
        <w:tcPr>
          <w:tcW w:type="dxa" w:w="3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</w:tcPr>
        <w:p>
          <w:pPr>
            <w:jc w:val="right"/>
          </w:pPr>
          <w:r>
            <w:rPr>
              <w:rFonts w:ascii="Arial" w:cs="Arial" w:eastAsia="Arial" w:hAnsi="Arial"/>
              <w:color w:val="757575"/>
              <w:sz w:val="16"/>
              <w:szCs w:val="16"/>
            </w:rPr>
            <w:t xml:space="preserve">v1.0  |  CONFIDENTIAL  |  May 2026</w:t>
          </w:r>
        </w:p>
      </w:tc>
    </w:tr>
  </w:tbl>
  <w:p>
    <w:pPr>
      <w:pBdr>
        <w:bottom w:val="single" w:color="E4002B" w:sz="8" w:space="4"/>
      </w:pBdr>
    </w:pPr>
    <w:r>
      <w:rPr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E400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2026-05-01T04:48:06.174Z</dcterms:created>
  <dcterms:modified xsi:type="dcterms:W3CDTF">2026-05-01T04:48:06.209Z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