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pPr>
      <w:r>
        <w:t xml:space="preserve"/>
      </w:r>
    </w:p>
    <w:p>
      <w:pPr>
        <w:jc w:val="center"/>
      </w:pPr>
      <w:r>
        <w:rPr>
          <w:rFonts w:ascii="Arial" w:cs="Arial" w:eastAsia="Arial" w:hAnsi="Arial"/>
          <w:b/>
          <w:bCs/>
          <w:color w:val="555555"/>
          <w:sz w:val="22"/>
          <w:szCs w:val="22"/>
        </w:rPr>
        <w:t xml:space="preserve">COLLEGE OF COMPUTER SCIENCE &amp; ENGINEERING</w:t>
      </w:r>
    </w:p>
    <w:p>
      <w:pPr>
        <w:spacing w:before="40" w:after="0"/>
      </w:pPr>
      <w:r>
        <w:t xml:space="preserve"/>
      </w:r>
    </w:p>
    <w:p>
      <w:pPr>
        <w:pBdr>
          <w:bottom w:val="single" w:color="1A3C6E" w:sz="8" w:space="10"/>
        </w:pBdr>
        <w:jc w:val="center"/>
      </w:pPr>
      <w:r>
        <w:t xml:space="preserve"/>
      </w:r>
    </w:p>
    <w:p>
      <w:pPr>
        <w:spacing w:before="360" w:after="0"/>
      </w:pPr>
      <w:r>
        <w:t xml:space="preserve"/>
      </w:r>
    </w:p>
    <w:p>
      <w:pPr>
        <w:jc w:val="center"/>
      </w:pPr>
      <w:r>
        <w:rPr>
          <w:rFonts w:ascii="Arial" w:cs="Arial" w:eastAsia="Arial" w:hAnsi="Arial"/>
          <w:b/>
          <w:bCs/>
          <w:color w:val="1A3C6E"/>
          <w:sz w:val="28"/>
          <w:szCs w:val="28"/>
        </w:rPr>
        <w:t xml:space="preserve">PROJECT DOCUMENTATION REPORT</w:t>
      </w:r>
    </w:p>
    <w:p>
      <w:pPr>
        <w:spacing w:before="140" w:after="0"/>
      </w:pPr>
      <w:r>
        <w:t xml:space="preserve"/>
      </w:r>
    </w:p>
    <w:p>
      <w:pPr>
        <w:jc w:val="center"/>
      </w:pPr>
      <w:r>
        <w:rPr>
          <w:rFonts w:ascii="Arial" w:cs="Arial" w:eastAsia="Arial" w:hAnsi="Arial"/>
          <w:b/>
          <w:bCs/>
          <w:color w:val="1A3C6E"/>
          <w:sz w:val="48"/>
          <w:szCs w:val="48"/>
        </w:rPr>
        <w:t xml:space="preserve">2. Project Design Phase</w:t>
      </w:r>
    </w:p>
    <w:p>
      <w:pPr>
        <w:spacing w:before="180" w:after="0"/>
      </w:pPr>
      <w:r>
        <w:t xml:space="preserve"/>
      </w:r>
    </w:p>
    <w:p>
      <w:pPr>
        <w:pBdr>
          <w:bottom w:val="single" w:color="2E5FA3" w:sz="4" w:space="8"/>
        </w:pBdr>
        <w:jc w:val="center"/>
      </w:pPr>
      <w:r>
        <w:rPr>
          <w:rFonts w:ascii="Arial" w:cs="Arial" w:eastAsia="Arial" w:hAnsi="Arial"/>
          <w:i/>
          <w:iCs/>
          <w:color w:val="444444"/>
          <w:sz w:val="22"/>
          <w:szCs w:val="22"/>
        </w:rPr>
        <w:t xml:space="preserve">Smart Student Portal System  —  Academic Year 2025–2026</w:t>
      </w:r>
    </w:p>
    <w:p>
      <w:pPr>
        <w:spacing w:before="560" w:after="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700"/>
        <w:gridCol w:w="4500"/>
      </w:tblGrid>
      <w:tr>
        <w:tc>
          <w:tcPr>
            <w:tcW w:type="dxa" w:w="270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20"/>
                <w:szCs w:val="20"/>
              </w:rPr>
              <w:t xml:space="preserve">Project Title</w:t>
            </w:r>
          </w:p>
        </w:tc>
        <w:tc>
          <w:tcPr>
            <w:tcW w:type="dxa" w:w="45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Smart Student Portal System</w:t>
            </w:r>
          </w:p>
        </w:tc>
      </w:tr>
      <w:tr>
        <w:tc>
          <w:tcPr>
            <w:tcW w:type="dxa" w:w="270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20"/>
                <w:szCs w:val="20"/>
              </w:rPr>
              <w:t xml:space="preserve">Document Phase</w:t>
            </w:r>
          </w:p>
        </w:tc>
        <w:tc>
          <w:tcPr>
            <w:tcW w:type="dxa" w:w="45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Phase 2 — Project Design Phase</w:t>
            </w:r>
          </w:p>
        </w:tc>
      </w:tr>
      <w:tr>
        <w:tc>
          <w:tcPr>
            <w:tcW w:type="dxa" w:w="270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20"/>
                <w:szCs w:val="20"/>
              </w:rPr>
              <w:t xml:space="preserve">Submitted By</w:t>
            </w:r>
          </w:p>
        </w:tc>
        <w:tc>
          <w:tcPr>
            <w:tcW w:type="dxa" w:w="45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[Student Name(s)]</w:t>
            </w:r>
          </w:p>
        </w:tc>
      </w:tr>
      <w:tr>
        <w:tc>
          <w:tcPr>
            <w:tcW w:type="dxa" w:w="270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20"/>
                <w:szCs w:val="20"/>
              </w:rPr>
              <w:t xml:space="preserve">Roll Number(s)</w:t>
            </w:r>
          </w:p>
        </w:tc>
        <w:tc>
          <w:tcPr>
            <w:tcW w:type="dxa" w:w="45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[Roll No.]</w:t>
            </w:r>
          </w:p>
        </w:tc>
      </w:tr>
      <w:tr>
        <w:tc>
          <w:tcPr>
            <w:tcW w:type="dxa" w:w="270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20"/>
                <w:szCs w:val="20"/>
              </w:rPr>
              <w:t xml:space="preserve">Supervisor</w:t>
            </w:r>
          </w:p>
        </w:tc>
        <w:tc>
          <w:tcPr>
            <w:tcW w:type="dxa" w:w="45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[Supervisor Name &amp; Designation]</w:t>
            </w:r>
          </w:p>
        </w:tc>
      </w:tr>
      <w:tr>
        <w:tc>
          <w:tcPr>
            <w:tcW w:type="dxa" w:w="270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20"/>
                <w:szCs w:val="20"/>
              </w:rPr>
              <w:t xml:space="preserve">Submission Date</w:t>
            </w:r>
          </w:p>
        </w:tc>
        <w:tc>
          <w:tcPr>
            <w:tcW w:type="dxa" w:w="45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March 2026</w:t>
            </w:r>
          </w:p>
        </w:tc>
      </w:tr>
    </w:tbl>
    <w:p>
      <w:pPr>
        <w:spacing w:before="1200" w:after="0"/>
      </w:pPr>
      <w:r>
        <w:t xml:space="preserve"/>
      </w:r>
    </w:p>
    <w:p>
      <w:pPr>
        <w:pBdr>
          <w:top w:val="single" w:color="1A3C6E" w:sz="8" w:space="10"/>
        </w:pBdr>
        <w:jc w:val="center"/>
      </w:pPr>
      <w:r>
        <w:rPr>
          <w:rFonts w:ascii="Arial" w:cs="Arial" w:eastAsia="Arial" w:hAnsi="Arial"/>
          <w:b/>
          <w:bCs/>
          <w:color w:val="555555"/>
          <w:sz w:val="18"/>
          <w:szCs w:val="18"/>
        </w:rPr>
        <w:t xml:space="preserve">CONFIDENTIAL — FOR ACADEMIC PURPOSES ONLY</w:t>
      </w:r>
    </w:p>
    <w:p>
      <w:pPr>
        <w:sectPr>
          <w:pgSz w:w="12240" w:h="15840" w:orient="portrait"/>
          <w:pgMar w:top="1440" w:right="1440" w:bottom="1440" w:left="1440" w:header="708" w:footer="708" w:gutter="0"/>
          <w:pgNumType/>
          <w:docGrid w:linePitch="360"/>
        </w:sectPr>
      </w:pPr>
    </w:p>
    <w:p>
      <w:pPr>
        <w:pStyle w:val="Heading1"/>
        <w:pBdr>
          <w:bottom w:val="single" w:color="1A3C6E" w:sz="6" w:space="6"/>
        </w:pBdr>
        <w:spacing w:before="480" w:after="200"/>
      </w:pPr>
      <w:r>
        <w:rPr>
          <w:rFonts w:ascii="Arial" w:cs="Arial" w:eastAsia="Arial" w:hAnsi="Arial"/>
          <w:b/>
          <w:bCs/>
          <w:color w:val="1A3C6E"/>
          <w:sz w:val="32"/>
          <w:szCs w:val="32"/>
        </w:rPr>
        <w:t xml:space="preserve">2.1  Introduction to the Design Phase</w:t>
      </w:r>
    </w:p>
    <w:p>
      <w:pPr>
        <w:spacing w:before="80" w:after="120"/>
        <w:jc w:val="both"/>
      </w:pPr>
      <w:r>
        <w:rPr>
          <w:rFonts w:ascii="Arial" w:cs="Arial" w:eastAsia="Arial" w:hAnsi="Arial"/>
          <w:sz w:val="22"/>
          <w:szCs w:val="22"/>
        </w:rPr>
        <w:t xml:space="preserve">The Project Design Phase constitutes the second and one of the most architecturally significant phases in the software development lifecycle of the Smart Student Portal System. Having established the project requirements, objectives, and feasibility in Phase 1, this phase translates those specifications into concrete, actionable design artefacts that govern all subsequent implementation activities.</w:t>
      </w:r>
    </w:p>
    <w:p>
      <w:pPr>
        <w:spacing w:before="80" w:after="120"/>
        <w:jc w:val="both"/>
      </w:pPr>
      <w:r>
        <w:rPr>
          <w:rFonts w:ascii="Arial" w:cs="Arial" w:eastAsia="Arial" w:hAnsi="Arial"/>
          <w:sz w:val="22"/>
          <w:szCs w:val="22"/>
        </w:rPr>
        <w:t xml:space="preserve">Design in software engineering encompasses multiple layers of abstraction — from high-level system architecture and module decomposition, through data modelling and interface design, down to the definition of individual component interactions and control flows. This document systematically addresses each of these layers to produce a complete and cohesive design blueprint for the proposed system.</w:t>
      </w:r>
    </w:p>
    <w:p>
      <w:pPr>
        <w:spacing w:before="80" w:after="120"/>
        <w:jc w:val="both"/>
      </w:pPr>
      <w:r>
        <w:rPr>
          <w:rFonts w:ascii="Arial" w:cs="Arial" w:eastAsia="Arial" w:hAnsi="Arial"/>
          <w:sz w:val="22"/>
          <w:szCs w:val="22"/>
        </w:rPr>
        <w:t xml:space="preserve">The design artefacts contained herein conform to industry-standard notations including the Unified Modeling Language (UML) and Entity-Relationship (ER) modelling conventions. All design decisions are explicitly justified with reference to the non-functional requirements established in Phase 1, particularly those pertaining to performance, scalability, security, and maintainability.</w:t>
      </w:r>
    </w:p>
    <w:p>
      <w:pPr>
        <w:pStyle w:val="Heading1"/>
        <w:pBdr>
          <w:bottom w:val="single" w:color="1A3C6E" w:sz="6" w:space="6"/>
        </w:pBdr>
        <w:spacing w:before="480" w:after="200"/>
      </w:pPr>
      <w:r>
        <w:rPr>
          <w:rFonts w:ascii="Arial" w:cs="Arial" w:eastAsia="Arial" w:hAnsi="Arial"/>
          <w:b/>
          <w:bCs/>
          <w:color w:val="1A3C6E"/>
          <w:sz w:val="32"/>
          <w:szCs w:val="32"/>
        </w:rPr>
        <w:t xml:space="preserve">2.2  Design Principles and Methodology</w:t>
      </w:r>
    </w:p>
    <w:p>
      <w:pPr>
        <w:spacing w:before="80" w:after="120"/>
        <w:jc w:val="both"/>
      </w:pPr>
      <w:r>
        <w:rPr>
          <w:rFonts w:ascii="Arial" w:cs="Arial" w:eastAsia="Arial" w:hAnsi="Arial"/>
          <w:sz w:val="22"/>
          <w:szCs w:val="22"/>
        </w:rPr>
        <w:t xml:space="preserve">The design of the Smart Student Portal System is guided by a set of established software engineering principles that promote code quality, system longevity, and ease of maintenance. The following core principles have been adopted throughout all design decisions:</w:t>
      </w:r>
    </w:p>
    <w:p>
      <w:pPr>
        <w:pStyle w:val="Heading2"/>
        <w:spacing w:before="300" w:after="160"/>
      </w:pPr>
      <w:r>
        <w:rPr>
          <w:rFonts w:ascii="Arial" w:cs="Arial" w:eastAsia="Arial" w:hAnsi="Arial"/>
          <w:b/>
          <w:bCs/>
          <w:color w:val="2E5FA3"/>
          <w:sz w:val="26"/>
          <w:szCs w:val="26"/>
        </w:rPr>
        <w:t xml:space="preserve">2.2.1  Adopted Design Principles</w:t>
      </w:r>
    </w:p>
    <w:p>
      <w:pPr>
        <w:pStyle w:val="ListParagraph"/>
        <w:numPr>
          <w:ilvl w:val="0"/>
          <w:numId w:val="2"/>
        </w:numPr>
        <w:spacing w:before="60" w:after="60"/>
      </w:pPr>
      <w:r>
        <w:rPr>
          <w:rFonts w:ascii="Arial" w:cs="Arial" w:eastAsia="Arial" w:hAnsi="Arial"/>
          <w:sz w:val="22"/>
          <w:szCs w:val="22"/>
        </w:rPr>
        <w:t xml:space="preserve">Separation of Concerns (SoC): The system is decomposed into distinct modules, each addressing a specific domain concern. This minimises interdependencies and allows individual components to be developed, tested, and modified independently.</w:t>
      </w:r>
    </w:p>
    <w:p>
      <w:pPr>
        <w:pStyle w:val="ListParagraph"/>
        <w:numPr>
          <w:ilvl w:val="0"/>
          <w:numId w:val="2"/>
        </w:numPr>
        <w:spacing w:before="60" w:after="60"/>
      </w:pPr>
      <w:r>
        <w:rPr>
          <w:rFonts w:ascii="Arial" w:cs="Arial" w:eastAsia="Arial" w:hAnsi="Arial"/>
          <w:sz w:val="22"/>
          <w:szCs w:val="22"/>
        </w:rPr>
        <w:t xml:space="preserve">Single Responsibility Principle (SRP): Each module, class, and function is assigned a single, clearly defined responsibility, reducing cognitive complexity and the likelihood of unintended side effects during maintenance.</w:t>
      </w:r>
    </w:p>
    <w:p>
      <w:pPr>
        <w:pStyle w:val="ListParagraph"/>
        <w:numPr>
          <w:ilvl w:val="0"/>
          <w:numId w:val="2"/>
        </w:numPr>
        <w:spacing w:before="60" w:after="60"/>
      </w:pPr>
      <w:r>
        <w:rPr>
          <w:rFonts w:ascii="Arial" w:cs="Arial" w:eastAsia="Arial" w:hAnsi="Arial"/>
          <w:sz w:val="22"/>
          <w:szCs w:val="22"/>
        </w:rPr>
        <w:t xml:space="preserve">Don't Repeat Yourself (DRY): Shared logic is abstracted into reusable utility functions and services, eliminating code duplication and ensuring that modifications need only be applied in a single location.</w:t>
      </w:r>
    </w:p>
    <w:p>
      <w:pPr>
        <w:pStyle w:val="ListParagraph"/>
        <w:numPr>
          <w:ilvl w:val="0"/>
          <w:numId w:val="2"/>
        </w:numPr>
        <w:spacing w:before="60" w:after="60"/>
      </w:pPr>
      <w:r>
        <w:rPr>
          <w:rFonts w:ascii="Arial" w:cs="Arial" w:eastAsia="Arial" w:hAnsi="Arial"/>
          <w:sz w:val="22"/>
          <w:szCs w:val="22"/>
        </w:rPr>
        <w:t xml:space="preserve">Open/Closed Principle: System components are designed to be open for extension but closed for modification, enabling the addition of future features without disrupting existing functionality.</w:t>
      </w:r>
    </w:p>
    <w:p>
      <w:pPr>
        <w:pStyle w:val="ListParagraph"/>
        <w:numPr>
          <w:ilvl w:val="0"/>
          <w:numId w:val="2"/>
        </w:numPr>
        <w:spacing w:before="60" w:after="60"/>
      </w:pPr>
      <w:r>
        <w:rPr>
          <w:rFonts w:ascii="Arial" w:cs="Arial" w:eastAsia="Arial" w:hAnsi="Arial"/>
          <w:sz w:val="22"/>
          <w:szCs w:val="22"/>
        </w:rPr>
        <w:t xml:space="preserve">Principle of Least Privilege: Access to system resources, data, and operations is restricted to the minimum necessary for each user role, reinforcing the security posture of the application.</w:t>
      </w:r>
    </w:p>
    <w:p>
      <w:pPr>
        <w:pStyle w:val="Heading2"/>
        <w:spacing w:before="300" w:after="160"/>
      </w:pPr>
      <w:r>
        <w:rPr>
          <w:rFonts w:ascii="Arial" w:cs="Arial" w:eastAsia="Arial" w:hAnsi="Arial"/>
          <w:b/>
          <w:bCs/>
          <w:color w:val="2E5FA3"/>
          <w:sz w:val="26"/>
          <w:szCs w:val="26"/>
        </w:rPr>
        <w:t xml:space="preserve">2.2.2  Design Methodology</w:t>
      </w:r>
    </w:p>
    <w:p>
      <w:pPr>
        <w:spacing w:before="80" w:after="120"/>
        <w:jc w:val="both"/>
      </w:pPr>
      <w:r>
        <w:rPr>
          <w:rFonts w:ascii="Arial" w:cs="Arial" w:eastAsia="Arial" w:hAnsi="Arial"/>
          <w:sz w:val="22"/>
          <w:szCs w:val="22"/>
        </w:rPr>
        <w:t xml:space="preserve">The design methodology employed is a top-down, structured approach in which the system is first conceptualised at the architectural level and progressively refined through successive layers of detail. This approach ensures that high-level design decisions are coherent before detailed component design commences, thereby reducing the risk of architectural inconsistencies.</w:t>
      </w:r>
    </w:p>
    <w:p>
      <w:pPr>
        <w:spacing w:before="80" w:after="120"/>
        <w:jc w:val="both"/>
      </w:pPr>
      <w:r>
        <w:rPr>
          <w:rFonts w:ascii="Arial" w:cs="Arial" w:eastAsia="Arial" w:hAnsi="Arial"/>
          <w:sz w:val="22"/>
          <w:szCs w:val="22"/>
        </w:rPr>
        <w:t xml:space="preserve">Design reviews are scheduled at the conclusion of each design sub-phase to validate artefacts against the requirements specification and to obtain supervisor approval prior to advancing to subsequent design activities.</w:t>
      </w:r>
    </w:p>
    <w:p>
      <w:pPr>
        <w:pStyle w:val="Heading1"/>
        <w:pBdr>
          <w:bottom w:val="single" w:color="1A3C6E" w:sz="6" w:space="6"/>
        </w:pBdr>
        <w:spacing w:before="480" w:after="200"/>
      </w:pPr>
      <w:r>
        <w:rPr>
          <w:rFonts w:ascii="Arial" w:cs="Arial" w:eastAsia="Arial" w:hAnsi="Arial"/>
          <w:b/>
          <w:bCs/>
          <w:color w:val="1A3C6E"/>
          <w:sz w:val="32"/>
          <w:szCs w:val="32"/>
        </w:rPr>
        <w:t xml:space="preserve">2.3  System Architecture Design</w:t>
      </w:r>
    </w:p>
    <w:p>
      <w:pPr>
        <w:pStyle w:val="Heading2"/>
        <w:spacing w:before="300" w:after="160"/>
      </w:pPr>
      <w:r>
        <w:rPr>
          <w:rFonts w:ascii="Arial" w:cs="Arial" w:eastAsia="Arial" w:hAnsi="Arial"/>
          <w:b/>
          <w:bCs/>
          <w:color w:val="2E5FA3"/>
          <w:sz w:val="26"/>
          <w:szCs w:val="26"/>
        </w:rPr>
        <w:t xml:space="preserve">2.3.1  Architectural Pattern</w:t>
      </w:r>
    </w:p>
    <w:p>
      <w:pPr>
        <w:spacing w:before="80" w:after="120"/>
        <w:jc w:val="both"/>
      </w:pPr>
      <w:r>
        <w:rPr>
          <w:rFonts w:ascii="Arial" w:cs="Arial" w:eastAsia="Arial" w:hAnsi="Arial"/>
          <w:sz w:val="22"/>
          <w:szCs w:val="22"/>
        </w:rPr>
        <w:t xml:space="preserve">The Smart Student Portal System adopts a three-tier client-server architecture, comprising a Presentation Tier, an Application Logic Tier, and a Data Tier. This architectural pattern provides a clear separation of concerns between the user interface, business logic, and data persistence layers, and is well-established as the standard architecture for scalable web applications.</w:t>
      </w:r>
    </w:p>
    <w:p>
      <w:pPr>
        <w:spacing w:before="80" w:after="120"/>
        <w:jc w:val="both"/>
      </w:pPr>
      <w:r>
        <w:rPr>
          <w:rFonts w:ascii="Arial" w:cs="Arial" w:eastAsia="Arial" w:hAnsi="Arial"/>
          <w:sz w:val="22"/>
          <w:szCs w:val="22"/>
        </w:rPr>
        <w:t xml:space="preserve">The three tiers are described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A3C6E" w:sz="4"/>
              <w:left w:val="single" w:color="1A3C6E" w:sz="4"/>
              <w:bottom w:val="single" w:color="1A3C6E" w:sz="4"/>
              <w:right w:val="single" w:color="1A3C6E" w:sz="4"/>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Tier</w:t>
            </w:r>
          </w:p>
        </w:tc>
        <w:tc>
          <w:tcPr>
            <w:tcW w:type="dxa" w:w="2800"/>
            <w:tcBorders>
              <w:top w:val="single" w:color="1A3C6E" w:sz="4"/>
              <w:left w:val="single" w:color="1A3C6E" w:sz="4"/>
              <w:bottom w:val="single" w:color="1A3C6E" w:sz="4"/>
              <w:right w:val="single" w:color="1A3C6E" w:sz="4"/>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Component</w:t>
            </w:r>
          </w:p>
        </w:tc>
        <w:tc>
          <w:tcPr>
            <w:tcW w:type="dxa" w:w="4560"/>
            <w:tcBorders>
              <w:top w:val="single" w:color="1A3C6E" w:sz="4"/>
              <w:left w:val="single" w:color="1A3C6E" w:sz="4"/>
              <w:bottom w:val="single" w:color="1A3C6E" w:sz="4"/>
              <w:right w:val="single" w:color="1A3C6E" w:sz="4"/>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Presentation Tier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React.js SPA (Single Page Application)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Renders the user interface, manages client-side routing, and communicates with the API layer via HTTP requests.</w:t>
            </w:r>
          </w:p>
        </w:tc>
      </w:tr>
      <w:tr>
        <w:tc>
          <w:tcPr>
            <w:tcW w:type="dxa" w:w="20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Application Logic Tier</w:t>
            </w:r>
          </w:p>
        </w:tc>
        <w:tc>
          <w:tcPr>
            <w:tcW w:type="dxa" w:w="28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Node.js / Express.js REST API</w:t>
            </w:r>
          </w:p>
        </w:tc>
        <w:tc>
          <w:tcPr>
            <w:tcW w:type="dxa" w:w="456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Processes business logic, validates requests, enforces access control, and orchestrates data operations.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Data Tier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PostgreSQL RDBMS + Prisma ORM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Persists all application data, enforces referential integrity, and provides structured query capabilities.</w:t>
            </w:r>
          </w:p>
        </w:tc>
      </w:tr>
    </w:tbl>
    <w:p>
      <w:pPr>
        <w:spacing w:before="60" w:after="160"/>
        <w:jc w:val="center"/>
      </w:pPr>
      <w:r>
        <w:rPr>
          <w:rFonts w:ascii="Arial" w:cs="Arial" w:eastAsia="Arial" w:hAnsi="Arial"/>
          <w:i/>
          <w:iCs/>
          <w:color w:val="555555"/>
          <w:sz w:val="18"/>
          <w:szCs w:val="18"/>
        </w:rPr>
        <w:t xml:space="preserve">Table 2.1 — Three-Tier Architecture Overview</w:t>
      </w:r>
    </w:p>
    <w:p>
      <w:pPr>
        <w:pStyle w:val="Heading2"/>
        <w:spacing w:before="300" w:after="160"/>
      </w:pPr>
      <w:r>
        <w:rPr>
          <w:rFonts w:ascii="Arial" w:cs="Arial" w:eastAsia="Arial" w:hAnsi="Arial"/>
          <w:b/>
          <w:bCs/>
          <w:color w:val="2E5FA3"/>
          <w:sz w:val="26"/>
          <w:szCs w:val="26"/>
        </w:rPr>
        <w:t xml:space="preserve">2.3.2  Component Architecture</w:t>
      </w:r>
    </w:p>
    <w:p>
      <w:pPr>
        <w:spacing w:before="80" w:after="120"/>
        <w:jc w:val="both"/>
      </w:pPr>
      <w:r>
        <w:rPr>
          <w:rFonts w:ascii="Arial" w:cs="Arial" w:eastAsia="Arial" w:hAnsi="Arial"/>
          <w:sz w:val="22"/>
          <w:szCs w:val="22"/>
        </w:rPr>
        <w:t xml:space="preserve">Within the Application Logic Tier, the system is further decomposed into a modular, layered component architecture consisting of the following sub-layers:</w:t>
      </w:r>
    </w:p>
    <w:p>
      <w:pPr>
        <w:pStyle w:val="ListParagraph"/>
        <w:numPr>
          <w:ilvl w:val="0"/>
          <w:numId w:val="2"/>
        </w:numPr>
        <w:spacing w:before="60" w:after="60"/>
      </w:pPr>
      <w:r>
        <w:rPr>
          <w:rFonts w:ascii="Arial" w:cs="Arial" w:eastAsia="Arial" w:hAnsi="Arial"/>
          <w:sz w:val="22"/>
          <w:szCs w:val="22"/>
        </w:rPr>
        <w:t xml:space="preserve">Router Layer: Receives incoming HTTP requests and routes them to the appropriate controller based on the endpoint path and HTTP method.</w:t>
      </w:r>
    </w:p>
    <w:p>
      <w:pPr>
        <w:pStyle w:val="ListParagraph"/>
        <w:numPr>
          <w:ilvl w:val="0"/>
          <w:numId w:val="2"/>
        </w:numPr>
        <w:spacing w:before="60" w:after="60"/>
      </w:pPr>
      <w:r>
        <w:rPr>
          <w:rFonts w:ascii="Arial" w:cs="Arial" w:eastAsia="Arial" w:hAnsi="Arial"/>
          <w:sz w:val="22"/>
          <w:szCs w:val="22"/>
        </w:rPr>
        <w:t xml:space="preserve">Controller Layer: Orchestrates the handling of each request by invoking the relevant service functions and formatting the HTTP response.</w:t>
      </w:r>
    </w:p>
    <w:p>
      <w:pPr>
        <w:pStyle w:val="ListParagraph"/>
        <w:numPr>
          <w:ilvl w:val="0"/>
          <w:numId w:val="2"/>
        </w:numPr>
        <w:spacing w:before="60" w:after="60"/>
      </w:pPr>
      <w:r>
        <w:rPr>
          <w:rFonts w:ascii="Arial" w:cs="Arial" w:eastAsia="Arial" w:hAnsi="Arial"/>
          <w:sz w:val="22"/>
          <w:szCs w:val="22"/>
        </w:rPr>
        <w:t xml:space="preserve">Service Layer: Contains all business logic and domain rules, decoupled from HTTP concerns. Services interact exclusively with the repository layer for data access.</w:t>
      </w:r>
    </w:p>
    <w:p>
      <w:pPr>
        <w:pStyle w:val="ListParagraph"/>
        <w:numPr>
          <w:ilvl w:val="0"/>
          <w:numId w:val="2"/>
        </w:numPr>
        <w:spacing w:before="60" w:after="60"/>
      </w:pPr>
      <w:r>
        <w:rPr>
          <w:rFonts w:ascii="Arial" w:cs="Arial" w:eastAsia="Arial" w:hAnsi="Arial"/>
          <w:sz w:val="22"/>
          <w:szCs w:val="22"/>
        </w:rPr>
        <w:t xml:space="preserve">Repository Layer (Data Access Layer): Encapsulates all database interactions using Prisma ORM, providing an abstraction over raw SQL and enabling straightforward database provider substitution if required.</w:t>
      </w:r>
    </w:p>
    <w:p>
      <w:pPr>
        <w:pStyle w:val="ListParagraph"/>
        <w:numPr>
          <w:ilvl w:val="0"/>
          <w:numId w:val="2"/>
        </w:numPr>
        <w:spacing w:before="60" w:after="60"/>
      </w:pPr>
      <w:r>
        <w:rPr>
          <w:rFonts w:ascii="Arial" w:cs="Arial" w:eastAsia="Arial" w:hAnsi="Arial"/>
          <w:sz w:val="22"/>
          <w:szCs w:val="22"/>
        </w:rPr>
        <w:t xml:space="preserve">Middleware Layer: Implements cross-cutting concerns including authentication verification, input validation, error handling, and request logging.</w:t>
      </w:r>
    </w:p>
    <w:p>
      <w:pPr>
        <w:pStyle w:val="Heading2"/>
        <w:spacing w:before="300" w:after="160"/>
      </w:pPr>
      <w:r>
        <w:rPr>
          <w:rFonts w:ascii="Arial" w:cs="Arial" w:eastAsia="Arial" w:hAnsi="Arial"/>
          <w:b/>
          <w:bCs/>
          <w:color w:val="2E5FA3"/>
          <w:sz w:val="26"/>
          <w:szCs w:val="26"/>
        </w:rPr>
        <w:t xml:space="preserve">2.3.3  Deployment Architecture</w:t>
      </w:r>
    </w:p>
    <w:p>
      <w:pPr>
        <w:spacing w:before="80" w:after="120"/>
        <w:jc w:val="both"/>
      </w:pPr>
      <w:r>
        <w:rPr>
          <w:rFonts w:ascii="Arial" w:cs="Arial" w:eastAsia="Arial" w:hAnsi="Arial"/>
          <w:sz w:val="22"/>
          <w:szCs w:val="22"/>
        </w:rPr>
        <w:t xml:space="preserve">The production deployment architecture utilises containerisation to ensure environment consistency across development, staging, and production environments. The deployment topology is as follows:</w:t>
      </w:r>
    </w:p>
    <w:p>
      <w:pPr>
        <w:pStyle w:val="ListParagraph"/>
        <w:numPr>
          <w:ilvl w:val="0"/>
          <w:numId w:val="2"/>
        </w:numPr>
        <w:spacing w:before="60" w:after="60"/>
      </w:pPr>
      <w:r>
        <w:rPr>
          <w:rFonts w:ascii="Arial" w:cs="Arial" w:eastAsia="Arial" w:hAnsi="Arial"/>
          <w:sz w:val="22"/>
          <w:szCs w:val="22"/>
        </w:rPr>
        <w:t xml:space="preserve">The React.js front-end application is built into a static bundle and served via an Nginx web server container.</w:t>
      </w:r>
    </w:p>
    <w:p>
      <w:pPr>
        <w:pStyle w:val="ListParagraph"/>
        <w:numPr>
          <w:ilvl w:val="0"/>
          <w:numId w:val="2"/>
        </w:numPr>
        <w:spacing w:before="60" w:after="60"/>
      </w:pPr>
      <w:r>
        <w:rPr>
          <w:rFonts w:ascii="Arial" w:cs="Arial" w:eastAsia="Arial" w:hAnsi="Arial"/>
          <w:sz w:val="22"/>
          <w:szCs w:val="22"/>
        </w:rPr>
        <w:t xml:space="preserve">The Node.js API server runs within a dedicated Docker container behind a reverse proxy.</w:t>
      </w:r>
    </w:p>
    <w:p>
      <w:pPr>
        <w:pStyle w:val="ListParagraph"/>
        <w:numPr>
          <w:ilvl w:val="0"/>
          <w:numId w:val="2"/>
        </w:numPr>
        <w:spacing w:before="60" w:after="60"/>
      </w:pPr>
      <w:r>
        <w:rPr>
          <w:rFonts w:ascii="Arial" w:cs="Arial" w:eastAsia="Arial" w:hAnsi="Arial"/>
          <w:sz w:val="22"/>
          <w:szCs w:val="22"/>
        </w:rPr>
        <w:t xml:space="preserve">The PostgreSQL database is provisioned as a managed cloud service (AWS RDS) with automated daily backups and multi-availability-zone replication for high availability.</w:t>
      </w:r>
    </w:p>
    <w:p>
      <w:pPr>
        <w:pStyle w:val="ListParagraph"/>
        <w:numPr>
          <w:ilvl w:val="0"/>
          <w:numId w:val="2"/>
        </w:numPr>
        <w:spacing w:before="60" w:after="60"/>
      </w:pPr>
      <w:r>
        <w:rPr>
          <w:rFonts w:ascii="Arial" w:cs="Arial" w:eastAsia="Arial" w:hAnsi="Arial"/>
          <w:sz w:val="22"/>
          <w:szCs w:val="22"/>
        </w:rPr>
        <w:t xml:space="preserve">An AWS Application Load Balancer distributes incoming traffic across multiple API server instances, enabling horizontal scalability.</w:t>
      </w:r>
    </w:p>
    <w:p>
      <w:pPr>
        <w:pStyle w:val="ListParagraph"/>
        <w:numPr>
          <w:ilvl w:val="0"/>
          <w:numId w:val="2"/>
        </w:numPr>
        <w:spacing w:before="60" w:after="60"/>
      </w:pPr>
      <w:r>
        <w:rPr>
          <w:rFonts w:ascii="Arial" w:cs="Arial" w:eastAsia="Arial" w:hAnsi="Arial"/>
          <w:sz w:val="22"/>
          <w:szCs w:val="22"/>
        </w:rPr>
        <w:t xml:space="preserve">All inter-service communication is secured via TLS 1.3, and environment-specific secrets are managed using AWS Secrets Manager.</w:t>
      </w:r>
    </w:p>
    <w:p>
      <w:pPr>
        <w:pStyle w:val="Heading1"/>
        <w:pBdr>
          <w:bottom w:val="single" w:color="1A3C6E" w:sz="6" w:space="6"/>
        </w:pBdr>
        <w:spacing w:before="480" w:after="200"/>
      </w:pPr>
      <w:r>
        <w:rPr>
          <w:rFonts w:ascii="Arial" w:cs="Arial" w:eastAsia="Arial" w:hAnsi="Arial"/>
          <w:b/>
          <w:bCs/>
          <w:color w:val="1A3C6E"/>
          <w:sz w:val="32"/>
          <w:szCs w:val="32"/>
        </w:rPr>
        <w:t xml:space="preserve">2.4  Database Design</w:t>
      </w:r>
    </w:p>
    <w:p>
      <w:pPr>
        <w:pStyle w:val="Heading2"/>
        <w:spacing w:before="300" w:after="160"/>
      </w:pPr>
      <w:r>
        <w:rPr>
          <w:rFonts w:ascii="Arial" w:cs="Arial" w:eastAsia="Arial" w:hAnsi="Arial"/>
          <w:b/>
          <w:bCs/>
          <w:color w:val="2E5FA3"/>
          <w:sz w:val="26"/>
          <w:szCs w:val="26"/>
        </w:rPr>
        <w:t xml:space="preserve">2.4.1  Entity-Relationship (ER) Model</w:t>
      </w:r>
    </w:p>
    <w:p>
      <w:pPr>
        <w:spacing w:before="80" w:after="120"/>
        <w:jc w:val="both"/>
      </w:pPr>
      <w:r>
        <w:rPr>
          <w:rFonts w:ascii="Arial" w:cs="Arial" w:eastAsia="Arial" w:hAnsi="Arial"/>
          <w:sz w:val="22"/>
          <w:szCs w:val="22"/>
        </w:rPr>
        <w:t xml:space="preserve">The data model is designed using the relational paradigm and captures all entities required to support the functional requirements of the system. The following principal entities have been identified and their relationships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1A3C6E" w:sz="4"/>
              <w:left w:val="single" w:color="1A3C6E" w:sz="4"/>
              <w:bottom w:val="single" w:color="1A3C6E" w:sz="4"/>
              <w:right w:val="single" w:color="1A3C6E" w:sz="4"/>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Entity</w:t>
            </w:r>
          </w:p>
        </w:tc>
        <w:tc>
          <w:tcPr>
            <w:tcW w:type="dxa" w:w="3200"/>
            <w:tcBorders>
              <w:top w:val="single" w:color="1A3C6E" w:sz="4"/>
              <w:left w:val="single" w:color="1A3C6E" w:sz="4"/>
              <w:bottom w:val="single" w:color="1A3C6E" w:sz="4"/>
              <w:right w:val="single" w:color="1A3C6E" w:sz="4"/>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Primary Key</w:t>
            </w:r>
          </w:p>
        </w:tc>
        <w:tc>
          <w:tcPr>
            <w:tcW w:type="dxa" w:w="3960"/>
            <w:tcBorders>
              <w:top w:val="single" w:color="1A3C6E" w:sz="4"/>
              <w:left w:val="single" w:color="1A3C6E" w:sz="4"/>
              <w:bottom w:val="single" w:color="1A3C6E" w:sz="4"/>
              <w:right w:val="single" w:color="1A3C6E" w:sz="4"/>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user_id (UUID)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Stores authentication credentials and profile information for all system users.</w:t>
            </w:r>
          </w:p>
        </w:tc>
      </w:tr>
      <w:tr>
        <w:tc>
          <w:tcPr>
            <w:tcW w:type="dxa" w:w="22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Student</w:t>
            </w:r>
          </w:p>
        </w:tc>
        <w:tc>
          <w:tcPr>
            <w:tcW w:type="dxa" w:w="32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student_id (UUID)</w:t>
            </w:r>
          </w:p>
        </w:tc>
        <w:tc>
          <w:tcPr>
            <w:tcW w:type="dxa" w:w="396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Extends User with academic attributes specific to student users.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Faculty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faculty_id (UUID)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Extends User with professional attributes specific to faculty members.</w:t>
            </w:r>
          </w:p>
        </w:tc>
      </w:tr>
      <w:tr>
        <w:tc>
          <w:tcPr>
            <w:tcW w:type="dxa" w:w="22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Course</w:t>
            </w:r>
          </w:p>
        </w:tc>
        <w:tc>
          <w:tcPr>
            <w:tcW w:type="dxa" w:w="32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course_id (UUID)</w:t>
            </w:r>
          </w:p>
        </w:tc>
        <w:tc>
          <w:tcPr>
            <w:tcW w:type="dxa" w:w="396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Represents an academic course offering including metadata and credit hours.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Enrollment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enrollment_id (UUID)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Junction entity linking Student to Course with enrollment status and grade.</w:t>
            </w:r>
          </w:p>
        </w:tc>
      </w:tr>
      <w:tr>
        <w:tc>
          <w:tcPr>
            <w:tcW w:type="dxa" w:w="22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Assignment</w:t>
            </w:r>
          </w:p>
        </w:tc>
        <w:tc>
          <w:tcPr>
            <w:tcW w:type="dxa" w:w="32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assignment_id (UUID)</w:t>
            </w:r>
          </w:p>
        </w:tc>
        <w:tc>
          <w:tcPr>
            <w:tcW w:type="dxa" w:w="396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Represents coursework tasks published by faculty for a given course.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Submission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submission_id (UUID)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Records a student's submission of an assignment including file reference.</w:t>
            </w:r>
          </w:p>
        </w:tc>
      </w:tr>
      <w:tr>
        <w:tc>
          <w:tcPr>
            <w:tcW w:type="dxa" w:w="22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Attendance</w:t>
            </w:r>
          </w:p>
        </w:tc>
        <w:tc>
          <w:tcPr>
            <w:tcW w:type="dxa" w:w="32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attendance_id (UUID)</w:t>
            </w:r>
          </w:p>
        </w:tc>
        <w:tc>
          <w:tcPr>
            <w:tcW w:type="dxa" w:w="396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Records per-session attendance status for each student per course.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Announcement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announcement_id (UUID)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Stores course-level or system-wide announcements published by faculty or admins.</w:t>
            </w:r>
          </w:p>
        </w:tc>
      </w:tr>
      <w:tr>
        <w:tc>
          <w:tcPr>
            <w:tcW w:type="dxa" w:w="22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Notification</w:t>
            </w:r>
          </w:p>
        </w:tc>
        <w:tc>
          <w:tcPr>
            <w:tcW w:type="dxa" w:w="32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notification_id (UUID)</w:t>
            </w:r>
          </w:p>
        </w:tc>
        <w:tc>
          <w:tcPr>
            <w:tcW w:type="dxa" w:w="396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Tracks per-user notifications generated by system events.</w:t>
            </w:r>
          </w:p>
        </w:tc>
      </w:tr>
    </w:tbl>
    <w:p>
      <w:pPr>
        <w:spacing w:before="60" w:after="160"/>
        <w:jc w:val="center"/>
      </w:pPr>
      <w:r>
        <w:rPr>
          <w:rFonts w:ascii="Arial" w:cs="Arial" w:eastAsia="Arial" w:hAnsi="Arial"/>
          <w:i/>
          <w:iCs/>
          <w:color w:val="555555"/>
          <w:sz w:val="18"/>
          <w:szCs w:val="18"/>
        </w:rPr>
        <w:t xml:space="preserve">Table 2.2 — Principal Entities and Primary Keys</w:t>
      </w:r>
    </w:p>
    <w:p>
      <w:pPr>
        <w:pStyle w:val="Heading2"/>
        <w:spacing w:before="300" w:after="160"/>
      </w:pPr>
      <w:r>
        <w:rPr>
          <w:rFonts w:ascii="Arial" w:cs="Arial" w:eastAsia="Arial" w:hAnsi="Arial"/>
          <w:b/>
          <w:bCs/>
          <w:color w:val="2E5FA3"/>
          <w:sz w:val="26"/>
          <w:szCs w:val="26"/>
        </w:rPr>
        <w:t xml:space="preserve">2.4.2  Key Relationships</w:t>
      </w:r>
    </w:p>
    <w:p>
      <w:pPr>
        <w:spacing w:before="80" w:after="120"/>
        <w:jc w:val="both"/>
      </w:pPr>
      <w:r>
        <w:rPr>
          <w:rFonts w:ascii="Arial" w:cs="Arial" w:eastAsia="Arial" w:hAnsi="Arial"/>
          <w:sz w:val="22"/>
          <w:szCs w:val="22"/>
        </w:rPr>
        <w:t xml:space="preserve">The following entity relationships govern the structural integrity of the data model:</w:t>
      </w:r>
    </w:p>
    <w:p>
      <w:pPr>
        <w:pStyle w:val="ListParagraph"/>
        <w:numPr>
          <w:ilvl w:val="0"/>
          <w:numId w:val="2"/>
        </w:numPr>
        <w:spacing w:before="60" w:after="60"/>
      </w:pPr>
      <w:r>
        <w:rPr>
          <w:rFonts w:ascii="Arial" w:cs="Arial" w:eastAsia="Arial" w:hAnsi="Arial"/>
          <w:sz w:val="22"/>
          <w:szCs w:val="22"/>
        </w:rPr>
        <w:t xml:space="preserve">A User may be associated with exactly one Student profile or one Faculty profile, determined by the assigned role. This is implemented as a one-to-one optional relationship.</w:t>
      </w:r>
    </w:p>
    <w:p>
      <w:pPr>
        <w:pStyle w:val="ListParagraph"/>
        <w:numPr>
          <w:ilvl w:val="0"/>
          <w:numId w:val="2"/>
        </w:numPr>
        <w:spacing w:before="60" w:after="60"/>
      </w:pPr>
      <w:r>
        <w:rPr>
          <w:rFonts w:ascii="Arial" w:cs="Arial" w:eastAsia="Arial" w:hAnsi="Arial"/>
          <w:sz w:val="22"/>
          <w:szCs w:val="22"/>
        </w:rPr>
        <w:t xml:space="preserve">A Faculty member may be assigned to teach one or many Courses; a Course is assigned to exactly one Faculty member per semester (one-to-many).</w:t>
      </w:r>
    </w:p>
    <w:p>
      <w:pPr>
        <w:pStyle w:val="ListParagraph"/>
        <w:numPr>
          <w:ilvl w:val="0"/>
          <w:numId w:val="2"/>
        </w:numPr>
        <w:spacing w:before="60" w:after="60"/>
      </w:pPr>
      <w:r>
        <w:rPr>
          <w:rFonts w:ascii="Arial" w:cs="Arial" w:eastAsia="Arial" w:hAnsi="Arial"/>
          <w:sz w:val="22"/>
          <w:szCs w:val="22"/>
        </w:rPr>
        <w:t xml:space="preserve">A Student may enrol in zero or many Courses; a Course may have zero or many enrolled Students. This many-to-many relationship is resolved through the Enrollment junction entity.</w:t>
      </w:r>
    </w:p>
    <w:p>
      <w:pPr>
        <w:pStyle w:val="ListParagraph"/>
        <w:numPr>
          <w:ilvl w:val="0"/>
          <w:numId w:val="2"/>
        </w:numPr>
        <w:spacing w:before="60" w:after="60"/>
      </w:pPr>
      <w:r>
        <w:rPr>
          <w:rFonts w:ascii="Arial" w:cs="Arial" w:eastAsia="Arial" w:hAnsi="Arial"/>
          <w:sz w:val="22"/>
          <w:szCs w:val="22"/>
        </w:rPr>
        <w:t xml:space="preserve">A Course may contain zero or many Assignments; each Assignment belongs to exactly one Course (one-to-many).</w:t>
      </w:r>
    </w:p>
    <w:p>
      <w:pPr>
        <w:pStyle w:val="ListParagraph"/>
        <w:numPr>
          <w:ilvl w:val="0"/>
          <w:numId w:val="2"/>
        </w:numPr>
        <w:spacing w:before="60" w:after="60"/>
      </w:pPr>
      <w:r>
        <w:rPr>
          <w:rFonts w:ascii="Arial" w:cs="Arial" w:eastAsia="Arial" w:hAnsi="Arial"/>
          <w:sz w:val="22"/>
          <w:szCs w:val="22"/>
        </w:rPr>
        <w:t xml:space="preserve">A Student may make zero or many Submissions; each Submission is associated with exactly one Assignment and one Student (many-to-one).</w:t>
      </w:r>
    </w:p>
    <w:p>
      <w:pPr>
        <w:pStyle w:val="ListParagraph"/>
        <w:numPr>
          <w:ilvl w:val="0"/>
          <w:numId w:val="2"/>
        </w:numPr>
        <w:spacing w:before="60" w:after="60"/>
      </w:pPr>
      <w:r>
        <w:rPr>
          <w:rFonts w:ascii="Arial" w:cs="Arial" w:eastAsia="Arial" w:hAnsi="Arial"/>
          <w:sz w:val="22"/>
          <w:szCs w:val="22"/>
        </w:rPr>
        <w:t xml:space="preserve">Attendance records are created per session, per student, per course, forming a composite relationship governed by a unique constraint on (student_id, course_id, session_date).</w:t>
      </w:r>
    </w:p>
    <w:p>
      <w:pPr>
        <w:pStyle w:val="Heading2"/>
        <w:spacing w:before="300" w:after="160"/>
      </w:pPr>
      <w:r>
        <w:rPr>
          <w:rFonts w:ascii="Arial" w:cs="Arial" w:eastAsia="Arial" w:hAnsi="Arial"/>
          <w:b/>
          <w:bCs/>
          <w:color w:val="2E5FA3"/>
          <w:sz w:val="26"/>
          <w:szCs w:val="26"/>
        </w:rPr>
        <w:t xml:space="preserve">2.4.3  Database Schema Conventions</w:t>
      </w:r>
    </w:p>
    <w:p>
      <w:pPr>
        <w:spacing w:before="80" w:after="120"/>
        <w:jc w:val="both"/>
      </w:pPr>
      <w:r>
        <w:rPr>
          <w:rFonts w:ascii="Arial" w:cs="Arial" w:eastAsia="Arial" w:hAnsi="Arial"/>
          <w:sz w:val="22"/>
          <w:szCs w:val="22"/>
        </w:rPr>
        <w:t xml:space="preserve">The following conventions are applied uniformly across all database tables to ensure consistency and adherence to best practices:</w:t>
      </w:r>
    </w:p>
    <w:p>
      <w:pPr>
        <w:pStyle w:val="ListParagraph"/>
        <w:numPr>
          <w:ilvl w:val="0"/>
          <w:numId w:val="2"/>
        </w:numPr>
        <w:spacing w:before="60" w:after="60"/>
      </w:pPr>
      <w:r>
        <w:rPr>
          <w:rFonts w:ascii="Arial" w:cs="Arial" w:eastAsia="Arial" w:hAnsi="Arial"/>
          <w:sz w:val="22"/>
          <w:szCs w:val="22"/>
        </w:rPr>
        <w:t xml:space="preserve">All primary keys are of type UUID (version 4), generated at the application layer, to avoid sequential ID enumeration vulnerabilities.</w:t>
      </w:r>
    </w:p>
    <w:p>
      <w:pPr>
        <w:pStyle w:val="ListParagraph"/>
        <w:numPr>
          <w:ilvl w:val="0"/>
          <w:numId w:val="2"/>
        </w:numPr>
        <w:spacing w:before="60" w:after="60"/>
      </w:pPr>
      <w:r>
        <w:rPr>
          <w:rFonts w:ascii="Arial" w:cs="Arial" w:eastAsia="Arial" w:hAnsi="Arial"/>
          <w:sz w:val="22"/>
          <w:szCs w:val="22"/>
        </w:rPr>
        <w:t xml:space="preserve">All tables include created_at and updated_at timestamp columns, managed automatically by the ORM via @default(now()) and @updatedAt decorators.</w:t>
      </w:r>
    </w:p>
    <w:p>
      <w:pPr>
        <w:pStyle w:val="ListParagraph"/>
        <w:numPr>
          <w:ilvl w:val="0"/>
          <w:numId w:val="2"/>
        </w:numPr>
        <w:spacing w:before="60" w:after="60"/>
      </w:pPr>
      <w:r>
        <w:rPr>
          <w:rFonts w:ascii="Arial" w:cs="Arial" w:eastAsia="Arial" w:hAnsi="Arial"/>
          <w:sz w:val="22"/>
          <w:szCs w:val="22"/>
        </w:rPr>
        <w:t xml:space="preserve">Soft deletion is implemented using a deleted_at nullable timestamp column, preserving historical records while logically removing them from active queries.</w:t>
      </w:r>
    </w:p>
    <w:p>
      <w:pPr>
        <w:pStyle w:val="ListParagraph"/>
        <w:numPr>
          <w:ilvl w:val="0"/>
          <w:numId w:val="2"/>
        </w:numPr>
        <w:spacing w:before="60" w:after="60"/>
      </w:pPr>
      <w:r>
        <w:rPr>
          <w:rFonts w:ascii="Arial" w:cs="Arial" w:eastAsia="Arial" w:hAnsi="Arial"/>
          <w:sz w:val="22"/>
          <w:szCs w:val="22"/>
        </w:rPr>
        <w:t xml:space="preserve">All foreign key constraints are enforced at the database level with appropriate ON DELETE and ON UPDATE actions defined per relationship.</w:t>
      </w:r>
    </w:p>
    <w:p>
      <w:pPr>
        <w:pStyle w:val="ListParagraph"/>
        <w:numPr>
          <w:ilvl w:val="0"/>
          <w:numId w:val="2"/>
        </w:numPr>
        <w:spacing w:before="60" w:after="60"/>
      </w:pPr>
      <w:r>
        <w:rPr>
          <w:rFonts w:ascii="Arial" w:cs="Arial" w:eastAsia="Arial" w:hAnsi="Arial"/>
          <w:sz w:val="22"/>
          <w:szCs w:val="22"/>
        </w:rPr>
        <w:t xml:space="preserve">Database columns storing sensitive personal data are designated for application-layer encryption prior to persistence.</w:t>
      </w:r>
    </w:p>
    <w:p>
      <w:pPr>
        <w:pStyle w:val="Heading1"/>
        <w:pBdr>
          <w:bottom w:val="single" w:color="1A3C6E" w:sz="6" w:space="6"/>
        </w:pBdr>
        <w:spacing w:before="480" w:after="200"/>
      </w:pPr>
      <w:r>
        <w:rPr>
          <w:rFonts w:ascii="Arial" w:cs="Arial" w:eastAsia="Arial" w:hAnsi="Arial"/>
          <w:b/>
          <w:bCs/>
          <w:color w:val="1A3C6E"/>
          <w:sz w:val="32"/>
          <w:szCs w:val="32"/>
        </w:rPr>
        <w:t xml:space="preserve">2.5  User Interface Design</w:t>
      </w:r>
    </w:p>
    <w:p>
      <w:pPr>
        <w:pStyle w:val="Heading2"/>
        <w:spacing w:before="300" w:after="160"/>
      </w:pPr>
      <w:r>
        <w:rPr>
          <w:rFonts w:ascii="Arial" w:cs="Arial" w:eastAsia="Arial" w:hAnsi="Arial"/>
          <w:b/>
          <w:bCs/>
          <w:color w:val="2E5FA3"/>
          <w:sz w:val="26"/>
          <w:szCs w:val="26"/>
        </w:rPr>
        <w:t xml:space="preserve">2.5.1  Design Language and Visual System</w:t>
      </w:r>
    </w:p>
    <w:p>
      <w:pPr>
        <w:spacing w:before="80" w:after="120"/>
        <w:jc w:val="both"/>
      </w:pPr>
      <w:r>
        <w:rPr>
          <w:rFonts w:ascii="Arial" w:cs="Arial" w:eastAsia="Arial" w:hAnsi="Arial"/>
          <w:sz w:val="22"/>
          <w:szCs w:val="22"/>
        </w:rPr>
        <w:t xml:space="preserve">The user interface adopts a clean, professional design language consistent with contemporary academic web applications. The visual system is defined by the following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A3C6E" w:sz="4"/>
              <w:left w:val="single" w:color="1A3C6E" w:sz="4"/>
              <w:bottom w:val="single" w:color="1A3C6E" w:sz="4"/>
              <w:right w:val="single" w:color="1A3C6E" w:sz="4"/>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Design Element</w:t>
            </w:r>
          </w:p>
        </w:tc>
        <w:tc>
          <w:tcPr>
            <w:tcW w:type="dxa" w:w="3200"/>
            <w:tcBorders>
              <w:top w:val="single" w:color="1A3C6E" w:sz="4"/>
              <w:left w:val="single" w:color="1A3C6E" w:sz="4"/>
              <w:bottom w:val="single" w:color="1A3C6E" w:sz="4"/>
              <w:right w:val="single" w:color="1A3C6E" w:sz="4"/>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Specification</w:t>
            </w:r>
          </w:p>
        </w:tc>
        <w:tc>
          <w:tcPr>
            <w:tcW w:type="dxa" w:w="3760"/>
            <w:tcBorders>
              <w:top w:val="single" w:color="1A3C6E" w:sz="4"/>
              <w:left w:val="single" w:color="1A3C6E" w:sz="4"/>
              <w:bottom w:val="single" w:color="1A3C6E" w:sz="4"/>
              <w:right w:val="single" w:color="1A3C6E" w:sz="4"/>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Primary Colour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#1A3C6E (Deep Navy)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Conveys academic authority and institutional trust.</w:t>
            </w:r>
          </w:p>
        </w:tc>
      </w:tr>
      <w:tr>
        <w:tc>
          <w:tcPr>
            <w:tcW w:type="dxa" w:w="24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Accent Colour</w:t>
            </w:r>
          </w:p>
        </w:tc>
        <w:tc>
          <w:tcPr>
            <w:tcW w:type="dxa" w:w="32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#2E5FA3 (Royal Blue)</w:t>
            </w:r>
          </w:p>
        </w:tc>
        <w:tc>
          <w:tcPr>
            <w:tcW w:type="dxa" w:w="376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Highlights interactive elements and calls to 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Background Colour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#F5F7FA (Light Grey)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Reduces eye strain during extended use; separates content zones.</w:t>
            </w:r>
          </w:p>
        </w:tc>
      </w:tr>
      <w:tr>
        <w:tc>
          <w:tcPr>
            <w:tcW w:type="dxa" w:w="24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Primary Typeface</w:t>
            </w:r>
          </w:p>
        </w:tc>
        <w:tc>
          <w:tcPr>
            <w:tcW w:type="dxa" w:w="32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Inter (sans-serif)</w:t>
            </w:r>
          </w:p>
        </w:tc>
        <w:tc>
          <w:tcPr>
            <w:tcW w:type="dxa" w:w="376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High legibility at all sizes; broad Unicode support.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Body Font Size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14px / 16px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Ensures readability across desktop and mobile viewports.</w:t>
            </w:r>
          </w:p>
        </w:tc>
      </w:tr>
      <w:tr>
        <w:tc>
          <w:tcPr>
            <w:tcW w:type="dxa" w:w="24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Grid System</w:t>
            </w:r>
          </w:p>
        </w:tc>
        <w:tc>
          <w:tcPr>
            <w:tcW w:type="dxa" w:w="32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12-column CSS Grid</w:t>
            </w:r>
          </w:p>
        </w:tc>
        <w:tc>
          <w:tcPr>
            <w:tcW w:type="dxa" w:w="376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Provides a consistent responsive layout scaffold.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Breakpoints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Mobile: 640px, Tablet: 768px, Desktop: 1024px+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Supports all target device categories.</w:t>
            </w:r>
          </w:p>
        </w:tc>
      </w:tr>
      <w:tr>
        <w:tc>
          <w:tcPr>
            <w:tcW w:type="dxa" w:w="24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Icon Library</w:t>
            </w:r>
          </w:p>
        </w:tc>
        <w:tc>
          <w:tcPr>
            <w:tcW w:type="dxa" w:w="32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Lucide React (outline style)</w:t>
            </w:r>
          </w:p>
        </w:tc>
        <w:tc>
          <w:tcPr>
            <w:tcW w:type="dxa" w:w="376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Lightweight and visually consistent across all UI contexts.</w:t>
            </w:r>
          </w:p>
        </w:tc>
      </w:tr>
    </w:tbl>
    <w:p>
      <w:pPr>
        <w:spacing w:before="60" w:after="160"/>
        <w:jc w:val="center"/>
      </w:pPr>
      <w:r>
        <w:rPr>
          <w:rFonts w:ascii="Arial" w:cs="Arial" w:eastAsia="Arial" w:hAnsi="Arial"/>
          <w:i/>
          <w:iCs/>
          <w:color w:val="555555"/>
          <w:sz w:val="18"/>
          <w:szCs w:val="18"/>
        </w:rPr>
        <w:t xml:space="preserve">Table 2.3 — UI Design Language Specifications</w:t>
      </w:r>
    </w:p>
    <w:p>
      <w:pPr>
        <w:pStyle w:val="Heading2"/>
        <w:spacing w:before="300" w:after="160"/>
      </w:pPr>
      <w:r>
        <w:rPr>
          <w:rFonts w:ascii="Arial" w:cs="Arial" w:eastAsia="Arial" w:hAnsi="Arial"/>
          <w:b/>
          <w:bCs/>
          <w:color w:val="2E5FA3"/>
          <w:sz w:val="26"/>
          <w:szCs w:val="26"/>
        </w:rPr>
        <w:t xml:space="preserve">2.5.2  Screen Layout and Navigation</w:t>
      </w:r>
    </w:p>
    <w:p>
      <w:pPr>
        <w:spacing w:before="80" w:after="120"/>
        <w:jc w:val="both"/>
      </w:pPr>
      <w:r>
        <w:rPr>
          <w:rFonts w:ascii="Arial" w:cs="Arial" w:eastAsia="Arial" w:hAnsi="Arial"/>
          <w:sz w:val="22"/>
          <w:szCs w:val="22"/>
        </w:rPr>
        <w:t xml:space="preserve">The application adopts a persistent sidebar navigation pattern for desktop viewports, transitioning to a bottom navigation bar on mobile devices. This approach ensures that primary navigation remains accessible at all times without consuming primary content area.</w:t>
      </w:r>
    </w:p>
    <w:p>
      <w:pPr>
        <w:spacing w:before="80" w:after="120"/>
        <w:jc w:val="both"/>
      </w:pPr>
      <w:r>
        <w:rPr>
          <w:rFonts w:ascii="Arial" w:cs="Arial" w:eastAsia="Arial" w:hAnsi="Arial"/>
          <w:sz w:val="22"/>
          <w:szCs w:val="22"/>
        </w:rPr>
        <w:t xml:space="preserve">The layout structure for authenticated user screens is as follows:</w:t>
      </w:r>
    </w:p>
    <w:p>
      <w:pPr>
        <w:pStyle w:val="ListParagraph"/>
        <w:numPr>
          <w:ilvl w:val="0"/>
          <w:numId w:val="2"/>
        </w:numPr>
        <w:spacing w:before="60" w:after="60"/>
      </w:pPr>
      <w:r>
        <w:rPr>
          <w:rFonts w:ascii="Arial" w:cs="Arial" w:eastAsia="Arial" w:hAnsi="Arial"/>
          <w:sz w:val="22"/>
          <w:szCs w:val="22"/>
        </w:rPr>
        <w:t xml:space="preserve">Top Header Bar: Displays the institutional logo, current page title, notification bell icon with unread count badge, and user avatar with dropdown profile menu.</w:t>
      </w:r>
    </w:p>
    <w:p>
      <w:pPr>
        <w:pStyle w:val="ListParagraph"/>
        <w:numPr>
          <w:ilvl w:val="0"/>
          <w:numId w:val="2"/>
        </w:numPr>
        <w:spacing w:before="60" w:after="60"/>
      </w:pPr>
      <w:r>
        <w:rPr>
          <w:rFonts w:ascii="Arial" w:cs="Arial" w:eastAsia="Arial" w:hAnsi="Arial"/>
          <w:sz w:val="22"/>
          <w:szCs w:val="22"/>
        </w:rPr>
        <w:t xml:space="preserve">Left Sidebar (Desktop): Contains role-specific primary navigation links, collapsible to icon-only mode on smaller desktop viewports.</w:t>
      </w:r>
    </w:p>
    <w:p>
      <w:pPr>
        <w:pStyle w:val="ListParagraph"/>
        <w:numPr>
          <w:ilvl w:val="0"/>
          <w:numId w:val="2"/>
        </w:numPr>
        <w:spacing w:before="60" w:after="60"/>
      </w:pPr>
      <w:r>
        <w:rPr>
          <w:rFonts w:ascii="Arial" w:cs="Arial" w:eastAsia="Arial" w:hAnsi="Arial"/>
          <w:sz w:val="22"/>
          <w:szCs w:val="22"/>
        </w:rPr>
        <w:t xml:space="preserve">Main Content Area: Renders the active module view with responsive padding and maximum width constraints to maintain readability on wide viewports.</w:t>
      </w:r>
    </w:p>
    <w:p>
      <w:pPr>
        <w:pStyle w:val="ListParagraph"/>
        <w:numPr>
          <w:ilvl w:val="0"/>
          <w:numId w:val="2"/>
        </w:numPr>
        <w:spacing w:before="60" w:after="60"/>
      </w:pPr>
      <w:r>
        <w:rPr>
          <w:rFonts w:ascii="Arial" w:cs="Arial" w:eastAsia="Arial" w:hAnsi="Arial"/>
          <w:sz w:val="22"/>
          <w:szCs w:val="22"/>
        </w:rPr>
        <w:t xml:space="preserve">Bottom Navigation (Mobile): Presents the four most-used navigation items as icon-label pairs, with an overflow menu for additional items.</w:t>
      </w:r>
    </w:p>
    <w:p>
      <w:pPr>
        <w:pStyle w:val="Heading2"/>
        <w:spacing w:before="300" w:after="160"/>
      </w:pPr>
      <w:r>
        <w:rPr>
          <w:rFonts w:ascii="Arial" w:cs="Arial" w:eastAsia="Arial" w:hAnsi="Arial"/>
          <w:b/>
          <w:bCs/>
          <w:color w:val="2E5FA3"/>
          <w:sz w:val="26"/>
          <w:szCs w:val="26"/>
        </w:rPr>
        <w:t xml:space="preserve">2.5.3  Key Screen Designs</w:t>
      </w:r>
    </w:p>
    <w:p>
      <w:pPr>
        <w:spacing w:before="80" w:after="120"/>
        <w:jc w:val="both"/>
      </w:pPr>
      <w:r>
        <w:rPr>
          <w:rFonts w:ascii="Arial" w:cs="Arial" w:eastAsia="Arial" w:hAnsi="Arial"/>
          <w:sz w:val="22"/>
          <w:szCs w:val="22"/>
        </w:rPr>
        <w:t xml:space="preserve">The following primary screens have been designed and validated through low-fidelity wireframing and stakeholder review:</w:t>
      </w:r>
    </w:p>
    <w:p>
      <w:pPr>
        <w:pStyle w:val="Heading3"/>
        <w:spacing w:before="220" w:after="120"/>
      </w:pPr>
      <w:r>
        <w:rPr>
          <w:rFonts w:ascii="Arial" w:cs="Arial" w:eastAsia="Arial" w:hAnsi="Arial"/>
          <w:b/>
          <w:bCs/>
          <w:color w:val="3A6EAF"/>
          <w:sz w:val="24"/>
          <w:szCs w:val="24"/>
        </w:rPr>
        <w:t xml:space="preserve">Student Dashboard</w:t>
      </w:r>
    </w:p>
    <w:p>
      <w:pPr>
        <w:spacing w:before="80" w:after="120"/>
        <w:jc w:val="both"/>
      </w:pPr>
      <w:r>
        <w:rPr>
          <w:rFonts w:ascii="Arial" w:cs="Arial" w:eastAsia="Arial" w:hAnsi="Arial"/>
          <w:sz w:val="22"/>
          <w:szCs w:val="22"/>
        </w:rPr>
        <w:t xml:space="preserve">The student dashboard presents a personalised overview upon login, comprising the following widgets arranged in a responsive card grid: a course summary card displaying enrolled courses with quick-access links; an upcoming deadlines widget listing assignments and examinations in chronological order; a GPA tracker with a visual progress indicator; and a recent announcements feed.</w:t>
      </w:r>
    </w:p>
    <w:p>
      <w:pPr>
        <w:pStyle w:val="Heading3"/>
        <w:spacing w:before="220" w:after="120"/>
      </w:pPr>
      <w:r>
        <w:rPr>
          <w:rFonts w:ascii="Arial" w:cs="Arial" w:eastAsia="Arial" w:hAnsi="Arial"/>
          <w:b/>
          <w:bCs/>
          <w:color w:val="3A6EAF"/>
          <w:sz w:val="24"/>
          <w:szCs w:val="24"/>
        </w:rPr>
        <w:t xml:space="preserve">Course Detail View</w:t>
      </w:r>
    </w:p>
    <w:p>
      <w:pPr>
        <w:spacing w:before="80" w:after="120"/>
        <w:jc w:val="both"/>
      </w:pPr>
      <w:r>
        <w:rPr>
          <w:rFonts w:ascii="Arial" w:cs="Arial" w:eastAsia="Arial" w:hAnsi="Arial"/>
          <w:sz w:val="22"/>
          <w:szCs w:val="22"/>
        </w:rPr>
        <w:t xml:space="preserve">The course detail view is structured as a tabbed interface with the following tabs: Overview (course description, faculty information, schedule); Materials (lecture notes and resources with download functionality); Assignments (listing with due dates, submission status, and grade feedback); and Attendance (per-session attendance history with percentage summary).</w:t>
      </w:r>
    </w:p>
    <w:p>
      <w:pPr>
        <w:pStyle w:val="Heading3"/>
        <w:spacing w:before="220" w:after="120"/>
      </w:pPr>
      <w:r>
        <w:rPr>
          <w:rFonts w:ascii="Arial" w:cs="Arial" w:eastAsia="Arial" w:hAnsi="Arial"/>
          <w:b/>
          <w:bCs/>
          <w:color w:val="3A6EAF"/>
          <w:sz w:val="24"/>
          <w:szCs w:val="24"/>
        </w:rPr>
        <w:t xml:space="preserve">Faculty Grade Submission Screen</w:t>
      </w:r>
    </w:p>
    <w:p>
      <w:pPr>
        <w:spacing w:before="80" w:after="120"/>
        <w:jc w:val="both"/>
      </w:pPr>
      <w:r>
        <w:rPr>
          <w:rFonts w:ascii="Arial" w:cs="Arial" w:eastAsia="Arial" w:hAnsi="Arial"/>
          <w:sz w:val="22"/>
          <w:szCs w:val="22"/>
        </w:rPr>
        <w:t xml:space="preserve">The grade submission screen presents a sortable, filterable student roster for the selected course. Faculty members may enter grades individually via inline text input or import a bulk CSV file. Grades are staged for review before final submission to prevent accidental premature publishing. A grade distribution histogram is rendered in real time as entries are populated.</w:t>
      </w:r>
    </w:p>
    <w:p>
      <w:pPr>
        <w:pStyle w:val="Heading3"/>
        <w:spacing w:before="220" w:after="120"/>
      </w:pPr>
      <w:r>
        <w:rPr>
          <w:rFonts w:ascii="Arial" w:cs="Arial" w:eastAsia="Arial" w:hAnsi="Arial"/>
          <w:b/>
          <w:bCs/>
          <w:color w:val="3A6EAF"/>
          <w:sz w:val="24"/>
          <w:szCs w:val="24"/>
        </w:rPr>
        <w:t xml:space="preserve">Administrator User Management Panel</w:t>
      </w:r>
    </w:p>
    <w:p>
      <w:pPr>
        <w:spacing w:before="80" w:after="120"/>
        <w:jc w:val="both"/>
      </w:pPr>
      <w:r>
        <w:rPr>
          <w:rFonts w:ascii="Arial" w:cs="Arial" w:eastAsia="Arial" w:hAnsi="Arial"/>
          <w:sz w:val="22"/>
          <w:szCs w:val="22"/>
        </w:rPr>
        <w:t xml:space="preserve">The administrator panel presents a paginated, searchable table of all system users with filtering options by role, status, and registration date. Administrators may create individual user accounts via a modal form, trigger bulk import from an institutional CSV export, deactivate accounts, and assign or revoke roles. All administrative actions are logged in an immutable audit trail.</w:t>
      </w:r>
    </w:p>
    <w:p>
      <w:pPr>
        <w:pStyle w:val="Heading1"/>
        <w:pBdr>
          <w:bottom w:val="single" w:color="1A3C6E" w:sz="6" w:space="6"/>
        </w:pBdr>
        <w:spacing w:before="480" w:after="200"/>
      </w:pPr>
      <w:r>
        <w:rPr>
          <w:rFonts w:ascii="Arial" w:cs="Arial" w:eastAsia="Arial" w:hAnsi="Arial"/>
          <w:b/>
          <w:bCs/>
          <w:color w:val="1A3C6E"/>
          <w:sz w:val="32"/>
          <w:szCs w:val="32"/>
        </w:rPr>
        <w:t xml:space="preserve">2.6  API Design</w:t>
      </w:r>
    </w:p>
    <w:p>
      <w:pPr>
        <w:pStyle w:val="Heading2"/>
        <w:spacing w:before="300" w:after="160"/>
      </w:pPr>
      <w:r>
        <w:rPr>
          <w:rFonts w:ascii="Arial" w:cs="Arial" w:eastAsia="Arial" w:hAnsi="Arial"/>
          <w:b/>
          <w:bCs/>
          <w:color w:val="2E5FA3"/>
          <w:sz w:val="26"/>
          <w:szCs w:val="26"/>
        </w:rPr>
        <w:t xml:space="preserve">2.6.1  API Architecture Overview</w:t>
      </w:r>
    </w:p>
    <w:p>
      <w:pPr>
        <w:spacing w:before="80" w:after="120"/>
        <w:jc w:val="both"/>
      </w:pPr>
      <w:r>
        <w:rPr>
          <w:rFonts w:ascii="Arial" w:cs="Arial" w:eastAsia="Arial" w:hAnsi="Arial"/>
          <w:sz w:val="22"/>
          <w:szCs w:val="22"/>
        </w:rPr>
        <w:t xml:space="preserve">The system exposes a RESTful API following the HTTP/1.1 specification and JSON:API conventions. All endpoints are versioned under the /api/v1/ prefix to facilitate non-breaking future iterations. API communication is secured via HTTPS, and all requests to protected endpoints must include a valid JSON Web Token (JWT) in the Authorization header using the Bearer scheme.</w:t>
      </w:r>
    </w:p>
    <w:p>
      <w:pPr>
        <w:pStyle w:val="Heading2"/>
        <w:spacing w:before="300" w:after="160"/>
      </w:pPr>
      <w:r>
        <w:rPr>
          <w:rFonts w:ascii="Arial" w:cs="Arial" w:eastAsia="Arial" w:hAnsi="Arial"/>
          <w:b/>
          <w:bCs/>
          <w:color w:val="2E5FA3"/>
          <w:sz w:val="26"/>
          <w:szCs w:val="26"/>
        </w:rPr>
        <w:t xml:space="preserve">2.6.2  Core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2160"/>
        <w:gridCol w:w="3000"/>
      </w:tblGrid>
      <w:tr>
        <w:trPr>
          <w:tblHeader/>
        </w:trPr>
        <w:tc>
          <w:tcPr>
            <w:tcW w:type="dxa" w:w="1000"/>
            <w:tcBorders>
              <w:top w:val="single" w:color="1A3C6E" w:sz="4"/>
              <w:left w:val="single" w:color="1A3C6E" w:sz="4"/>
              <w:bottom w:val="single" w:color="1A3C6E" w:sz="4"/>
              <w:right w:val="single" w:color="1A3C6E" w:sz="4"/>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3200"/>
            <w:tcBorders>
              <w:top w:val="single" w:color="1A3C6E" w:sz="4"/>
              <w:left w:val="single" w:color="1A3C6E" w:sz="4"/>
              <w:bottom w:val="single" w:color="1A3C6E" w:sz="4"/>
              <w:right w:val="single" w:color="1A3C6E" w:sz="4"/>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w:t>
            </w:r>
          </w:p>
        </w:tc>
        <w:tc>
          <w:tcPr>
            <w:tcW w:type="dxa" w:w="2160"/>
            <w:tcBorders>
              <w:top w:val="single" w:color="1A3C6E" w:sz="4"/>
              <w:left w:val="single" w:color="1A3C6E" w:sz="4"/>
              <w:bottom w:val="single" w:color="1A3C6E" w:sz="4"/>
              <w:right w:val="single" w:color="1A3C6E" w:sz="4"/>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Auth Required</w:t>
            </w:r>
          </w:p>
        </w:tc>
        <w:tc>
          <w:tcPr>
            <w:tcW w:type="dxa" w:w="3000"/>
            <w:tcBorders>
              <w:top w:val="single" w:color="1A3C6E" w:sz="4"/>
              <w:left w:val="single" w:color="1A3C6E" w:sz="4"/>
              <w:bottom w:val="single" w:color="1A3C6E" w:sz="4"/>
              <w:right w:val="single" w:color="1A3C6E" w:sz="4"/>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/api/v1/auth/login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Authenticates a user and returns a signed JWT access token and refresh token.</w:t>
            </w:r>
          </w:p>
        </w:tc>
      </w:tr>
      <w:tr>
        <w:tc>
          <w:tcPr>
            <w:tcW w:type="dxa" w:w="10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/api/v1/auth/refresh</w:t>
            </w:r>
          </w:p>
        </w:tc>
        <w:tc>
          <w:tcPr>
            <w:tcW w:type="dxa" w:w="216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No</w:t>
            </w:r>
          </w:p>
        </w:tc>
        <w:tc>
          <w:tcPr>
            <w:tcW w:type="dxa" w:w="30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Issues a new access token using a valid refresh token.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/api/v1/auth/logout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Invalidates the current session and revokes the refresh token.</w:t>
            </w:r>
          </w:p>
        </w:tc>
      </w:tr>
      <w:tr>
        <w:tc>
          <w:tcPr>
            <w:tcW w:type="dxa" w:w="10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/api/v1/students/:id</w:t>
            </w:r>
          </w:p>
        </w:tc>
        <w:tc>
          <w:tcPr>
            <w:tcW w:type="dxa" w:w="216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Yes (Student/Admin)</w:t>
            </w:r>
          </w:p>
        </w:tc>
        <w:tc>
          <w:tcPr>
            <w:tcW w:type="dxa" w:w="30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Retrieves the profile and academic summary for a specified student.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/api/v1/courses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Returns a paginated list of all available courses for the current semester.</w:t>
            </w:r>
          </w:p>
        </w:tc>
      </w:tr>
      <w:tr>
        <w:tc>
          <w:tcPr>
            <w:tcW w:type="dxa" w:w="10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/api/v1/courses/:id/enroll</w:t>
            </w:r>
          </w:p>
        </w:tc>
        <w:tc>
          <w:tcPr>
            <w:tcW w:type="dxa" w:w="216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Yes (Student)</w:t>
            </w:r>
          </w:p>
        </w:tc>
        <w:tc>
          <w:tcPr>
            <w:tcW w:type="dxa" w:w="30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Enrolls the authenticated student in the specified course.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/api/v1/courses/:id/assignments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Retrieves all assignments associated with the specified course.</w:t>
            </w:r>
          </w:p>
        </w:tc>
      </w:tr>
      <w:tr>
        <w:tc>
          <w:tcPr>
            <w:tcW w:type="dxa" w:w="10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/api/v1/assignments/:id/submit</w:t>
            </w:r>
          </w:p>
        </w:tc>
        <w:tc>
          <w:tcPr>
            <w:tcW w:type="dxa" w:w="216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Yes (Student)</w:t>
            </w:r>
          </w:p>
        </w:tc>
        <w:tc>
          <w:tcPr>
            <w:tcW w:type="dxa" w:w="30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Accepts a multipart file upload as a student assignment submission.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/api/v1/grades/:enrollmentId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 (Faculty)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Updates the final grade for a student's course enrollment record.</w:t>
            </w:r>
          </w:p>
        </w:tc>
      </w:tr>
      <w:tr>
        <w:tc>
          <w:tcPr>
            <w:tcW w:type="dxa" w:w="10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/api/v1/notifications</w:t>
            </w:r>
          </w:p>
        </w:tc>
        <w:tc>
          <w:tcPr>
            <w:tcW w:type="dxa" w:w="216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Yes</w:t>
            </w:r>
          </w:p>
        </w:tc>
        <w:tc>
          <w:tcPr>
            <w:tcW w:type="dxa" w:w="30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Returns all unread notifications for the authenticated user.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/api/v1/admin/reports/enrollment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 (Admin)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Generates and returns an enrollment summary report in JSON or CSV format.</w:t>
            </w:r>
          </w:p>
        </w:tc>
      </w:tr>
    </w:tbl>
    <w:p>
      <w:pPr>
        <w:spacing w:before="60" w:after="160"/>
        <w:jc w:val="center"/>
      </w:pPr>
      <w:r>
        <w:rPr>
          <w:rFonts w:ascii="Arial" w:cs="Arial" w:eastAsia="Arial" w:hAnsi="Arial"/>
          <w:i/>
          <w:iCs/>
          <w:color w:val="555555"/>
          <w:sz w:val="18"/>
          <w:szCs w:val="18"/>
        </w:rPr>
        <w:t xml:space="preserve">Table 2.4 — Core REST API Endpoints</w:t>
      </w:r>
    </w:p>
    <w:p>
      <w:pPr>
        <w:pStyle w:val="Heading2"/>
        <w:spacing w:before="300" w:after="160"/>
      </w:pPr>
      <w:r>
        <w:rPr>
          <w:rFonts w:ascii="Arial" w:cs="Arial" w:eastAsia="Arial" w:hAnsi="Arial"/>
          <w:b/>
          <w:bCs/>
          <w:color w:val="2E5FA3"/>
          <w:sz w:val="26"/>
          <w:szCs w:val="26"/>
        </w:rPr>
        <w:t xml:space="preserve">2.6.3  API Response Standards</w:t>
      </w:r>
    </w:p>
    <w:p>
      <w:pPr>
        <w:spacing w:before="80" w:after="120"/>
        <w:jc w:val="both"/>
      </w:pPr>
      <w:r>
        <w:rPr>
          <w:rFonts w:ascii="Arial" w:cs="Arial" w:eastAsia="Arial" w:hAnsi="Arial"/>
          <w:sz w:val="22"/>
          <w:szCs w:val="22"/>
        </w:rPr>
        <w:t xml:space="preserve">All API responses conform to a standardised JSON envelope structure to ensure predictable client-side handling. Successful responses include a data key containing the requested resource, a meta key with pagination information where applicable, and an HTTP 200 or 201 status code. Error responses include a consistent error object containing a machine-readable code, a human-readable message, and, where applicable, a field-level validation errors array. HTTP status codes are applied semantically in accordance with RFC 7231.</w:t>
      </w:r>
    </w:p>
    <w:p>
      <w:pPr>
        <w:pStyle w:val="Heading1"/>
        <w:pBdr>
          <w:bottom w:val="single" w:color="1A3C6E" w:sz="6" w:space="6"/>
        </w:pBdr>
        <w:spacing w:before="480" w:after="200"/>
      </w:pPr>
      <w:r>
        <w:rPr>
          <w:rFonts w:ascii="Arial" w:cs="Arial" w:eastAsia="Arial" w:hAnsi="Arial"/>
          <w:b/>
          <w:bCs/>
          <w:color w:val="1A3C6E"/>
          <w:sz w:val="32"/>
          <w:szCs w:val="32"/>
        </w:rPr>
        <w:t xml:space="preserve">2.7  Security Design</w:t>
      </w:r>
    </w:p>
    <w:p>
      <w:pPr>
        <w:pStyle w:val="Heading2"/>
        <w:spacing w:before="300" w:after="160"/>
      </w:pPr>
      <w:r>
        <w:rPr>
          <w:rFonts w:ascii="Arial" w:cs="Arial" w:eastAsia="Arial" w:hAnsi="Arial"/>
          <w:b/>
          <w:bCs/>
          <w:color w:val="2E5FA3"/>
          <w:sz w:val="26"/>
          <w:szCs w:val="26"/>
        </w:rPr>
        <w:t xml:space="preserve">2.7.1  Authentication and Session Management</w:t>
      </w:r>
    </w:p>
    <w:p>
      <w:pPr>
        <w:spacing w:before="80" w:after="120"/>
        <w:jc w:val="both"/>
      </w:pPr>
      <w:r>
        <w:rPr>
          <w:rFonts w:ascii="Arial" w:cs="Arial" w:eastAsia="Arial" w:hAnsi="Arial"/>
          <w:sz w:val="22"/>
          <w:szCs w:val="22"/>
        </w:rPr>
        <w:t xml:space="preserve">Authentication is implemented using a stateless JWT-based mechanism. Upon successful credential verification, the server issues a short-lived access token (15-minute expiry) and a longer-lived refresh token (7-day expiry) stored in an HTTP-only, Secure, SameSite=Strict cookie. This design mitigates Cross-Site Scripting (XSS) attacks by preventing client-side JavaScript access to the refresh token.</w:t>
      </w:r>
    </w:p>
    <w:p>
      <w:pPr>
        <w:spacing w:before="80" w:after="120"/>
        <w:jc w:val="both"/>
      </w:pPr>
      <w:r>
        <w:rPr>
          <w:rFonts w:ascii="Arial" w:cs="Arial" w:eastAsia="Arial" w:hAnsi="Arial"/>
          <w:sz w:val="22"/>
          <w:szCs w:val="22"/>
        </w:rPr>
        <w:t xml:space="preserve">Token revocation is handled via a server-side token blacklist stored in an in-memory Redis cache, enabling immediate invalidation upon logout or security event without requiring a stateful session store for routine operations.</w:t>
      </w:r>
    </w:p>
    <w:p>
      <w:pPr>
        <w:pStyle w:val="Heading2"/>
        <w:spacing w:before="300" w:after="160"/>
      </w:pPr>
      <w:r>
        <w:rPr>
          <w:rFonts w:ascii="Arial" w:cs="Arial" w:eastAsia="Arial" w:hAnsi="Arial"/>
          <w:b/>
          <w:bCs/>
          <w:color w:val="2E5FA3"/>
          <w:sz w:val="26"/>
          <w:szCs w:val="26"/>
        </w:rPr>
        <w:t xml:space="preserve">2.7.2  Authorisation Model</w:t>
      </w:r>
    </w:p>
    <w:p>
      <w:pPr>
        <w:spacing w:before="80" w:after="120"/>
        <w:jc w:val="both"/>
      </w:pPr>
      <w:r>
        <w:rPr>
          <w:rFonts w:ascii="Arial" w:cs="Arial" w:eastAsia="Arial" w:hAnsi="Arial"/>
          <w:sz w:val="22"/>
          <w:szCs w:val="22"/>
        </w:rPr>
        <w:t xml:space="preserve">The system implements Role-Based Access Control (RBAC) with three primary roles: Student, Faculty, and Administrator. Each API endpoint is decorated with a role guard middleware that evaluates the authenticated user's role against the required permission level before processing the request. The following table summarises the role permission matrix for core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2000"/>
        <w:gridCol w:w="2000"/>
        <w:gridCol w:w="2200"/>
      </w:tblGrid>
      <w:tr>
        <w:trPr>
          <w:tblHeader/>
        </w:trPr>
        <w:tc>
          <w:tcPr>
            <w:tcW w:type="dxa" w:w="3160"/>
            <w:tcBorders>
              <w:top w:val="single" w:color="1A3C6E" w:sz="4"/>
              <w:left w:val="single" w:color="1A3C6E" w:sz="4"/>
              <w:bottom w:val="single" w:color="1A3C6E" w:sz="4"/>
              <w:right w:val="single" w:color="1A3C6E" w:sz="4"/>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Module / Action</w:t>
            </w:r>
          </w:p>
        </w:tc>
        <w:tc>
          <w:tcPr>
            <w:tcW w:type="dxa" w:w="2000"/>
            <w:tcBorders>
              <w:top w:val="single" w:color="1A3C6E" w:sz="4"/>
              <w:left w:val="single" w:color="1A3C6E" w:sz="4"/>
              <w:bottom w:val="single" w:color="1A3C6E" w:sz="4"/>
              <w:right w:val="single" w:color="1A3C6E" w:sz="4"/>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Student</w:t>
            </w:r>
          </w:p>
        </w:tc>
        <w:tc>
          <w:tcPr>
            <w:tcW w:type="dxa" w:w="2000"/>
            <w:tcBorders>
              <w:top w:val="single" w:color="1A3C6E" w:sz="4"/>
              <w:left w:val="single" w:color="1A3C6E" w:sz="4"/>
              <w:bottom w:val="single" w:color="1A3C6E" w:sz="4"/>
              <w:right w:val="single" w:color="1A3C6E" w:sz="4"/>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Faculty</w:t>
            </w:r>
          </w:p>
        </w:tc>
        <w:tc>
          <w:tcPr>
            <w:tcW w:type="dxa" w:w="2200"/>
            <w:tcBorders>
              <w:top w:val="single" w:color="1A3C6E" w:sz="4"/>
              <w:left w:val="single" w:color="1A3C6E" w:sz="4"/>
              <w:bottom w:val="single" w:color="1A3C6E" w:sz="4"/>
              <w:right w:val="single" w:color="1A3C6E" w:sz="4"/>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Administrator</w:t>
            </w:r>
          </w:p>
        </w:tc>
      </w:tr>
      <w:tr>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View own profile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316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View any user profile</w:t>
            </w:r>
          </w:p>
        </w:tc>
        <w:tc>
          <w:tcPr>
            <w:tcW w:type="dxa" w:w="20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Enroll in / drop a course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316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Create / manage course content</w:t>
            </w:r>
          </w:p>
        </w:tc>
        <w:tc>
          <w:tcPr>
            <w:tcW w:type="dxa" w:w="20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Submit assignment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r>
      <w:tr>
        <w:tc>
          <w:tcPr>
            <w:tcW w:type="dxa" w:w="316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Submit / edit grades</w:t>
            </w:r>
          </w:p>
        </w:tc>
        <w:tc>
          <w:tcPr>
            <w:tcW w:type="dxa" w:w="20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Mark attendance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316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Manage user accounts</w:t>
            </w:r>
          </w:p>
        </w:tc>
        <w:tc>
          <w:tcPr>
            <w:tcW w:type="dxa" w:w="20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Generate system reports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r>
    </w:tbl>
    <w:p>
      <w:pPr>
        <w:spacing w:before="60" w:after="160"/>
        <w:jc w:val="center"/>
      </w:pPr>
      <w:r>
        <w:rPr>
          <w:rFonts w:ascii="Arial" w:cs="Arial" w:eastAsia="Arial" w:hAnsi="Arial"/>
          <w:i/>
          <w:iCs/>
          <w:color w:val="555555"/>
          <w:sz w:val="18"/>
          <w:szCs w:val="18"/>
        </w:rPr>
        <w:t xml:space="preserve">Table 2.5 — Role-Based Access Control Permission Matrix</w:t>
      </w:r>
    </w:p>
    <w:p>
      <w:pPr>
        <w:pStyle w:val="Heading2"/>
        <w:spacing w:before="300" w:after="160"/>
      </w:pPr>
      <w:r>
        <w:rPr>
          <w:rFonts w:ascii="Arial" w:cs="Arial" w:eastAsia="Arial" w:hAnsi="Arial"/>
          <w:b/>
          <w:bCs/>
          <w:color w:val="2E5FA3"/>
          <w:sz w:val="26"/>
          <w:szCs w:val="26"/>
        </w:rPr>
        <w:t xml:space="preserve">2.7.3  Input Validation and Injection Prevention</w:t>
      </w:r>
    </w:p>
    <w:p>
      <w:pPr>
        <w:spacing w:before="80" w:after="120"/>
        <w:jc w:val="both"/>
      </w:pPr>
      <w:r>
        <w:rPr>
          <w:rFonts w:ascii="Arial" w:cs="Arial" w:eastAsia="Arial" w:hAnsi="Arial"/>
          <w:sz w:val="22"/>
          <w:szCs w:val="22"/>
        </w:rPr>
        <w:t xml:space="preserve">All API inputs are validated using a schema-based validation library (Zod) at the controller layer before being processed by any service function. Validation schemas enforce strict data types, length constraints, and permissible value ranges. Any request failing validation is rejected with an HTTP 422 status and a detailed error response prior to database access, thereby preventing injection attacks at the input boundary.</w:t>
      </w:r>
    </w:p>
    <w:p>
      <w:pPr>
        <w:spacing w:before="80" w:after="120"/>
        <w:jc w:val="both"/>
      </w:pPr>
      <w:r>
        <w:rPr>
          <w:rFonts w:ascii="Arial" w:cs="Arial" w:eastAsia="Arial" w:hAnsi="Arial"/>
          <w:sz w:val="22"/>
          <w:szCs w:val="22"/>
        </w:rPr>
        <w:t xml:space="preserve">Parameterised queries are enforced by default through the Prisma ORM, eliminating the possibility of SQL injection at the data access layer. All user-generated content rendered in the front-end is escaped using React's built-in XSS protection, and a Content Security Policy (CSP) header is configured on the Nginx server to restrict script execution to trusted sources.</w:t>
      </w:r>
    </w:p>
    <w:p>
      <w:pPr>
        <w:pStyle w:val="Heading1"/>
        <w:pBdr>
          <w:bottom w:val="single" w:color="1A3C6E" w:sz="6" w:space="6"/>
        </w:pBdr>
        <w:spacing w:before="480" w:after="200"/>
      </w:pPr>
      <w:r>
        <w:rPr>
          <w:rFonts w:ascii="Arial" w:cs="Arial" w:eastAsia="Arial" w:hAnsi="Arial"/>
          <w:b/>
          <w:bCs/>
          <w:color w:val="1A3C6E"/>
          <w:sz w:val="32"/>
          <w:szCs w:val="32"/>
        </w:rPr>
        <w:t xml:space="preserve">2.8  UML Diagrams</w:t>
      </w:r>
    </w:p>
    <w:p>
      <w:pPr>
        <w:pStyle w:val="Heading2"/>
        <w:spacing w:before="300" w:after="160"/>
      </w:pPr>
      <w:r>
        <w:rPr>
          <w:rFonts w:ascii="Arial" w:cs="Arial" w:eastAsia="Arial" w:hAnsi="Arial"/>
          <w:b/>
          <w:bCs/>
          <w:color w:val="2E5FA3"/>
          <w:sz w:val="26"/>
          <w:szCs w:val="26"/>
        </w:rPr>
        <w:t xml:space="preserve">2.8.1  Use Case Diagram — Overview</w:t>
      </w:r>
    </w:p>
    <w:p>
      <w:pPr>
        <w:spacing w:before="80" w:after="120"/>
        <w:jc w:val="both"/>
      </w:pPr>
      <w:r>
        <w:rPr>
          <w:rFonts w:ascii="Arial" w:cs="Arial" w:eastAsia="Arial" w:hAnsi="Arial"/>
          <w:sz w:val="22"/>
          <w:szCs w:val="22"/>
        </w:rPr>
        <w:t xml:space="preserve">The primary actors of the Smart Student Portal System are the Student, Faculty Member, and System Administrator. Each actor interacts with the system through a defined set of use cases corresponding to their role permissions. The principal use cases are enumerated below, organised by actor:</w:t>
      </w:r>
    </w:p>
    <w:p>
      <w:pPr>
        <w:pStyle w:val="Heading3"/>
        <w:spacing w:before="220" w:after="120"/>
      </w:pPr>
      <w:r>
        <w:rPr>
          <w:rFonts w:ascii="Arial" w:cs="Arial" w:eastAsia="Arial" w:hAnsi="Arial"/>
          <w:b/>
          <w:bCs/>
          <w:color w:val="3A6EAF"/>
          <w:sz w:val="24"/>
          <w:szCs w:val="24"/>
        </w:rPr>
        <w:t xml:space="preserve">Student Actor</w:t>
      </w:r>
    </w:p>
    <w:p>
      <w:pPr>
        <w:pStyle w:val="ListParagraph"/>
        <w:numPr>
          <w:ilvl w:val="0"/>
          <w:numId w:val="2"/>
        </w:numPr>
        <w:spacing w:before="60" w:after="60"/>
      </w:pPr>
      <w:r>
        <w:rPr>
          <w:rFonts w:ascii="Arial" w:cs="Arial" w:eastAsia="Arial" w:hAnsi="Arial"/>
          <w:sz w:val="22"/>
          <w:szCs w:val="22"/>
        </w:rPr>
        <w:t xml:space="preserve">Login and logout of the system.</w:t>
      </w:r>
    </w:p>
    <w:p>
      <w:pPr>
        <w:pStyle w:val="ListParagraph"/>
        <w:numPr>
          <w:ilvl w:val="0"/>
          <w:numId w:val="2"/>
        </w:numPr>
        <w:spacing w:before="60" w:after="60"/>
      </w:pPr>
      <w:r>
        <w:rPr>
          <w:rFonts w:ascii="Arial" w:cs="Arial" w:eastAsia="Arial" w:hAnsi="Arial"/>
          <w:sz w:val="22"/>
          <w:szCs w:val="22"/>
        </w:rPr>
        <w:t xml:space="preserve">View and update personal profile.</w:t>
      </w:r>
    </w:p>
    <w:p>
      <w:pPr>
        <w:pStyle w:val="ListParagraph"/>
        <w:numPr>
          <w:ilvl w:val="0"/>
          <w:numId w:val="2"/>
        </w:numPr>
        <w:spacing w:before="60" w:after="60"/>
      </w:pPr>
      <w:r>
        <w:rPr>
          <w:rFonts w:ascii="Arial" w:cs="Arial" w:eastAsia="Arial" w:hAnsi="Arial"/>
          <w:sz w:val="22"/>
          <w:szCs w:val="22"/>
        </w:rPr>
        <w:t xml:space="preserve">Browse the course catalog and view course details.</w:t>
      </w:r>
    </w:p>
    <w:p>
      <w:pPr>
        <w:pStyle w:val="ListParagraph"/>
        <w:numPr>
          <w:ilvl w:val="0"/>
          <w:numId w:val="2"/>
        </w:numPr>
        <w:spacing w:before="60" w:after="60"/>
      </w:pPr>
      <w:r>
        <w:rPr>
          <w:rFonts w:ascii="Arial" w:cs="Arial" w:eastAsia="Arial" w:hAnsi="Arial"/>
          <w:sz w:val="22"/>
          <w:szCs w:val="22"/>
        </w:rPr>
        <w:t xml:space="preserve">Enroll in or drop courses within the registration window.</w:t>
      </w:r>
    </w:p>
    <w:p>
      <w:pPr>
        <w:pStyle w:val="ListParagraph"/>
        <w:numPr>
          <w:ilvl w:val="0"/>
          <w:numId w:val="2"/>
        </w:numPr>
        <w:spacing w:before="60" w:after="60"/>
      </w:pPr>
      <w:r>
        <w:rPr>
          <w:rFonts w:ascii="Arial" w:cs="Arial" w:eastAsia="Arial" w:hAnsi="Arial"/>
          <w:sz w:val="22"/>
          <w:szCs w:val="22"/>
        </w:rPr>
        <w:t xml:space="preserve">View course materials, lecture notes, and resources.</w:t>
      </w:r>
    </w:p>
    <w:p>
      <w:pPr>
        <w:pStyle w:val="ListParagraph"/>
        <w:numPr>
          <w:ilvl w:val="0"/>
          <w:numId w:val="2"/>
        </w:numPr>
        <w:spacing w:before="60" w:after="60"/>
      </w:pPr>
      <w:r>
        <w:rPr>
          <w:rFonts w:ascii="Arial" w:cs="Arial" w:eastAsia="Arial" w:hAnsi="Arial"/>
          <w:sz w:val="22"/>
          <w:szCs w:val="22"/>
        </w:rPr>
        <w:t xml:space="preserve">Submit assignments and view submission history.</w:t>
      </w:r>
    </w:p>
    <w:p>
      <w:pPr>
        <w:pStyle w:val="ListParagraph"/>
        <w:numPr>
          <w:ilvl w:val="0"/>
          <w:numId w:val="2"/>
        </w:numPr>
        <w:spacing w:before="60" w:after="60"/>
      </w:pPr>
      <w:r>
        <w:rPr>
          <w:rFonts w:ascii="Arial" w:cs="Arial" w:eastAsia="Arial" w:hAnsi="Arial"/>
          <w:sz w:val="22"/>
          <w:szCs w:val="22"/>
        </w:rPr>
        <w:t xml:space="preserve">View grades and attendance records.</w:t>
      </w:r>
    </w:p>
    <w:p>
      <w:pPr>
        <w:pStyle w:val="ListParagraph"/>
        <w:numPr>
          <w:ilvl w:val="0"/>
          <w:numId w:val="2"/>
        </w:numPr>
        <w:spacing w:before="60" w:after="60"/>
      </w:pPr>
      <w:r>
        <w:rPr>
          <w:rFonts w:ascii="Arial" w:cs="Arial" w:eastAsia="Arial" w:hAnsi="Arial"/>
          <w:sz w:val="22"/>
          <w:szCs w:val="22"/>
        </w:rPr>
        <w:t xml:space="preserve">Receive and view system notifications and announcements.</w:t>
      </w:r>
    </w:p>
    <w:p>
      <w:pPr>
        <w:pStyle w:val="Heading3"/>
        <w:spacing w:before="220" w:after="120"/>
      </w:pPr>
      <w:r>
        <w:rPr>
          <w:rFonts w:ascii="Arial" w:cs="Arial" w:eastAsia="Arial" w:hAnsi="Arial"/>
          <w:b/>
          <w:bCs/>
          <w:color w:val="3A6EAF"/>
          <w:sz w:val="24"/>
          <w:szCs w:val="24"/>
        </w:rPr>
        <w:t xml:space="preserve">Faculty Actor</w:t>
      </w:r>
    </w:p>
    <w:p>
      <w:pPr>
        <w:pStyle w:val="ListParagraph"/>
        <w:numPr>
          <w:ilvl w:val="0"/>
          <w:numId w:val="2"/>
        </w:numPr>
        <w:spacing w:before="60" w:after="60"/>
      </w:pPr>
      <w:r>
        <w:rPr>
          <w:rFonts w:ascii="Arial" w:cs="Arial" w:eastAsia="Arial" w:hAnsi="Arial"/>
          <w:sz w:val="22"/>
          <w:szCs w:val="22"/>
        </w:rPr>
        <w:t xml:space="preserve">Login and logout of the system.</w:t>
      </w:r>
    </w:p>
    <w:p>
      <w:pPr>
        <w:pStyle w:val="ListParagraph"/>
        <w:numPr>
          <w:ilvl w:val="0"/>
          <w:numId w:val="2"/>
        </w:numPr>
        <w:spacing w:before="60" w:after="60"/>
      </w:pPr>
      <w:r>
        <w:rPr>
          <w:rFonts w:ascii="Arial" w:cs="Arial" w:eastAsia="Arial" w:hAnsi="Arial"/>
          <w:sz w:val="22"/>
          <w:szCs w:val="22"/>
        </w:rPr>
        <w:t xml:space="preserve">View and manage assigned course content and materials.</w:t>
      </w:r>
    </w:p>
    <w:p>
      <w:pPr>
        <w:pStyle w:val="ListParagraph"/>
        <w:numPr>
          <w:ilvl w:val="0"/>
          <w:numId w:val="2"/>
        </w:numPr>
        <w:spacing w:before="60" w:after="60"/>
      </w:pPr>
      <w:r>
        <w:rPr>
          <w:rFonts w:ascii="Arial" w:cs="Arial" w:eastAsia="Arial" w:hAnsi="Arial"/>
          <w:sz w:val="22"/>
          <w:szCs w:val="22"/>
        </w:rPr>
        <w:t xml:space="preserve">Create, publish, and manage assignments.</w:t>
      </w:r>
    </w:p>
    <w:p>
      <w:pPr>
        <w:pStyle w:val="ListParagraph"/>
        <w:numPr>
          <w:ilvl w:val="0"/>
          <w:numId w:val="2"/>
        </w:numPr>
        <w:spacing w:before="60" w:after="60"/>
      </w:pPr>
      <w:r>
        <w:rPr>
          <w:rFonts w:ascii="Arial" w:cs="Arial" w:eastAsia="Arial" w:hAnsi="Arial"/>
          <w:sz w:val="22"/>
          <w:szCs w:val="22"/>
        </w:rPr>
        <w:t xml:space="preserve">Mark and manage student attendance per session.</w:t>
      </w:r>
    </w:p>
    <w:p>
      <w:pPr>
        <w:pStyle w:val="ListParagraph"/>
        <w:numPr>
          <w:ilvl w:val="0"/>
          <w:numId w:val="2"/>
        </w:numPr>
        <w:spacing w:before="60" w:after="60"/>
      </w:pPr>
      <w:r>
        <w:rPr>
          <w:rFonts w:ascii="Arial" w:cs="Arial" w:eastAsia="Arial" w:hAnsi="Arial"/>
          <w:sz w:val="22"/>
          <w:szCs w:val="22"/>
        </w:rPr>
        <w:t xml:space="preserve">Review student submissions and provide grade feedback.</w:t>
      </w:r>
    </w:p>
    <w:p>
      <w:pPr>
        <w:pStyle w:val="ListParagraph"/>
        <w:numPr>
          <w:ilvl w:val="0"/>
          <w:numId w:val="2"/>
        </w:numPr>
        <w:spacing w:before="60" w:after="60"/>
      </w:pPr>
      <w:r>
        <w:rPr>
          <w:rFonts w:ascii="Arial" w:cs="Arial" w:eastAsia="Arial" w:hAnsi="Arial"/>
          <w:sz w:val="22"/>
          <w:szCs w:val="22"/>
        </w:rPr>
        <w:t xml:space="preserve">Submit final grades for enrolled students.</w:t>
      </w:r>
    </w:p>
    <w:p>
      <w:pPr>
        <w:pStyle w:val="ListParagraph"/>
        <w:numPr>
          <w:ilvl w:val="0"/>
          <w:numId w:val="2"/>
        </w:numPr>
        <w:spacing w:before="60" w:after="60"/>
      </w:pPr>
      <w:r>
        <w:rPr>
          <w:rFonts w:ascii="Arial" w:cs="Arial" w:eastAsia="Arial" w:hAnsi="Arial"/>
          <w:sz w:val="22"/>
          <w:szCs w:val="22"/>
        </w:rPr>
        <w:t xml:space="preserve">Publish course-level announcements.</w:t>
      </w:r>
    </w:p>
    <w:p>
      <w:pPr>
        <w:pStyle w:val="Heading3"/>
        <w:spacing w:before="220" w:after="120"/>
      </w:pPr>
      <w:r>
        <w:rPr>
          <w:rFonts w:ascii="Arial" w:cs="Arial" w:eastAsia="Arial" w:hAnsi="Arial"/>
          <w:b/>
          <w:bCs/>
          <w:color w:val="3A6EAF"/>
          <w:sz w:val="24"/>
          <w:szCs w:val="24"/>
        </w:rPr>
        <w:t xml:space="preserve">Administrator Actor</w:t>
      </w:r>
    </w:p>
    <w:p>
      <w:pPr>
        <w:pStyle w:val="ListParagraph"/>
        <w:numPr>
          <w:ilvl w:val="0"/>
          <w:numId w:val="2"/>
        </w:numPr>
        <w:spacing w:before="60" w:after="60"/>
      </w:pPr>
      <w:r>
        <w:rPr>
          <w:rFonts w:ascii="Arial" w:cs="Arial" w:eastAsia="Arial" w:hAnsi="Arial"/>
          <w:sz w:val="22"/>
          <w:szCs w:val="22"/>
        </w:rPr>
        <w:t xml:space="preserve">Manage all user accounts (create, deactivate, assign roles).</w:t>
      </w:r>
    </w:p>
    <w:p>
      <w:pPr>
        <w:pStyle w:val="ListParagraph"/>
        <w:numPr>
          <w:ilvl w:val="0"/>
          <w:numId w:val="2"/>
        </w:numPr>
        <w:spacing w:before="60" w:after="60"/>
      </w:pPr>
      <w:r>
        <w:rPr>
          <w:rFonts w:ascii="Arial" w:cs="Arial" w:eastAsia="Arial" w:hAnsi="Arial"/>
          <w:sz w:val="22"/>
          <w:szCs w:val="22"/>
        </w:rPr>
        <w:t xml:space="preserve">Configure course scheduling and faculty assignments.</w:t>
      </w:r>
    </w:p>
    <w:p>
      <w:pPr>
        <w:pStyle w:val="ListParagraph"/>
        <w:numPr>
          <w:ilvl w:val="0"/>
          <w:numId w:val="2"/>
        </w:numPr>
        <w:spacing w:before="60" w:after="60"/>
      </w:pPr>
      <w:r>
        <w:rPr>
          <w:rFonts w:ascii="Arial" w:cs="Arial" w:eastAsia="Arial" w:hAnsi="Arial"/>
          <w:sz w:val="22"/>
          <w:szCs w:val="22"/>
        </w:rPr>
        <w:t xml:space="preserve">Monitor system activity and audit logs.</w:t>
      </w:r>
    </w:p>
    <w:p>
      <w:pPr>
        <w:pStyle w:val="ListParagraph"/>
        <w:numPr>
          <w:ilvl w:val="0"/>
          <w:numId w:val="2"/>
        </w:numPr>
        <w:spacing w:before="60" w:after="60"/>
      </w:pPr>
      <w:r>
        <w:rPr>
          <w:rFonts w:ascii="Arial" w:cs="Arial" w:eastAsia="Arial" w:hAnsi="Arial"/>
          <w:sz w:val="22"/>
          <w:szCs w:val="22"/>
        </w:rPr>
        <w:t xml:space="preserve">Generate and export academic and enrollment reports.</w:t>
      </w:r>
    </w:p>
    <w:p>
      <w:pPr>
        <w:pStyle w:val="ListParagraph"/>
        <w:numPr>
          <w:ilvl w:val="0"/>
          <w:numId w:val="2"/>
        </w:numPr>
        <w:spacing w:before="60" w:after="60"/>
      </w:pPr>
      <w:r>
        <w:rPr>
          <w:rFonts w:ascii="Arial" w:cs="Arial" w:eastAsia="Arial" w:hAnsi="Arial"/>
          <w:sz w:val="22"/>
          <w:szCs w:val="22"/>
        </w:rPr>
        <w:t xml:space="preserve">Manage system-wide announcements and notifications.</w:t>
      </w:r>
    </w:p>
    <w:p>
      <w:pPr>
        <w:pStyle w:val="Heading2"/>
        <w:spacing w:before="300" w:after="160"/>
      </w:pPr>
      <w:r>
        <w:rPr>
          <w:rFonts w:ascii="Arial" w:cs="Arial" w:eastAsia="Arial" w:hAnsi="Arial"/>
          <w:b/>
          <w:bCs/>
          <w:color w:val="2E5FA3"/>
          <w:sz w:val="26"/>
          <w:szCs w:val="26"/>
        </w:rPr>
        <w:t xml:space="preserve">2.8.2  Sequence Diagram — Student Login Flow</w:t>
      </w:r>
    </w:p>
    <w:p>
      <w:pPr>
        <w:spacing w:before="80" w:after="120"/>
        <w:jc w:val="both"/>
      </w:pPr>
      <w:r>
        <w:rPr>
          <w:rFonts w:ascii="Arial" w:cs="Arial" w:eastAsia="Arial" w:hAnsi="Arial"/>
          <w:sz w:val="22"/>
          <w:szCs w:val="22"/>
        </w:rPr>
        <w:t xml:space="preserve">The following narrative describes the sequence of interactions during the student authentication process:</w:t>
      </w:r>
    </w:p>
    <w:p>
      <w:pPr>
        <w:pStyle w:val="ListParagraph"/>
        <w:numPr>
          <w:ilvl w:val="0"/>
          <w:numId w:val="3"/>
        </w:numPr>
        <w:spacing w:before="60" w:after="60"/>
      </w:pPr>
      <w:r>
        <w:rPr>
          <w:rFonts w:ascii="Arial" w:cs="Arial" w:eastAsia="Arial" w:hAnsi="Arial"/>
          <w:sz w:val="22"/>
          <w:szCs w:val="22"/>
        </w:rPr>
        <w:t xml:space="preserve">The Student submits their credentials (institutional email and password) via the Login screen.</w:t>
      </w:r>
    </w:p>
    <w:p>
      <w:pPr>
        <w:pStyle w:val="ListParagraph"/>
        <w:numPr>
          <w:ilvl w:val="0"/>
          <w:numId w:val="3"/>
        </w:numPr>
        <w:spacing w:before="60" w:after="60"/>
      </w:pPr>
      <w:r>
        <w:rPr>
          <w:rFonts w:ascii="Arial" w:cs="Arial" w:eastAsia="Arial" w:hAnsi="Arial"/>
          <w:sz w:val="22"/>
          <w:szCs w:val="22"/>
        </w:rPr>
        <w:t xml:space="preserve">The React front-end dispatches a POST /api/v1/auth/login request to the API server with the credentials in the request body.</w:t>
      </w:r>
    </w:p>
    <w:p>
      <w:pPr>
        <w:pStyle w:val="ListParagraph"/>
        <w:numPr>
          <w:ilvl w:val="0"/>
          <w:numId w:val="3"/>
        </w:numPr>
        <w:spacing w:before="60" w:after="60"/>
      </w:pPr>
      <w:r>
        <w:rPr>
          <w:rFonts w:ascii="Arial" w:cs="Arial" w:eastAsia="Arial" w:hAnsi="Arial"/>
          <w:sz w:val="22"/>
          <w:szCs w:val="22"/>
        </w:rPr>
        <w:t xml:space="preserve">The Authentication Middleware validates the request structure and passes it to the Auth Controller.</w:t>
      </w:r>
    </w:p>
    <w:p>
      <w:pPr>
        <w:pStyle w:val="ListParagraph"/>
        <w:numPr>
          <w:ilvl w:val="0"/>
          <w:numId w:val="3"/>
        </w:numPr>
        <w:spacing w:before="60" w:after="60"/>
      </w:pPr>
      <w:r>
        <w:rPr>
          <w:rFonts w:ascii="Arial" w:cs="Arial" w:eastAsia="Arial" w:hAnsi="Arial"/>
          <w:sz w:val="22"/>
          <w:szCs w:val="22"/>
        </w:rPr>
        <w:t xml:space="preserve">The Auth Service queries the User Repository to retrieve the user record matching the provided email.</w:t>
      </w:r>
    </w:p>
    <w:p>
      <w:pPr>
        <w:pStyle w:val="ListParagraph"/>
        <w:numPr>
          <w:ilvl w:val="0"/>
          <w:numId w:val="3"/>
        </w:numPr>
        <w:spacing w:before="60" w:after="60"/>
      </w:pPr>
      <w:r>
        <w:rPr>
          <w:rFonts w:ascii="Arial" w:cs="Arial" w:eastAsia="Arial" w:hAnsi="Arial"/>
          <w:sz w:val="22"/>
          <w:szCs w:val="22"/>
        </w:rPr>
        <w:t xml:space="preserve">If no matching user is found, the service returns a 401 Unauthorised error response.</w:t>
      </w:r>
    </w:p>
    <w:p>
      <w:pPr>
        <w:pStyle w:val="ListParagraph"/>
        <w:numPr>
          <w:ilvl w:val="0"/>
          <w:numId w:val="3"/>
        </w:numPr>
        <w:spacing w:before="60" w:after="60"/>
      </w:pPr>
      <w:r>
        <w:rPr>
          <w:rFonts w:ascii="Arial" w:cs="Arial" w:eastAsia="Arial" w:hAnsi="Arial"/>
          <w:sz w:val="22"/>
          <w:szCs w:val="22"/>
        </w:rPr>
        <w:t xml:space="preserve">If a user is found, the Auth Service uses bcrypt to compare the provided password against the stored hash.</w:t>
      </w:r>
    </w:p>
    <w:p>
      <w:pPr>
        <w:pStyle w:val="ListParagraph"/>
        <w:numPr>
          <w:ilvl w:val="0"/>
          <w:numId w:val="3"/>
        </w:numPr>
        <w:spacing w:before="60" w:after="60"/>
      </w:pPr>
      <w:r>
        <w:rPr>
          <w:rFonts w:ascii="Arial" w:cs="Arial" w:eastAsia="Arial" w:hAnsi="Arial"/>
          <w:sz w:val="22"/>
          <w:szCs w:val="22"/>
        </w:rPr>
        <w:t xml:space="preserve">Upon successful verification, the Auth Service generates a signed JWT access token and a refresh token.</w:t>
      </w:r>
    </w:p>
    <w:p>
      <w:pPr>
        <w:pStyle w:val="ListParagraph"/>
        <w:numPr>
          <w:ilvl w:val="0"/>
          <w:numId w:val="3"/>
        </w:numPr>
        <w:spacing w:before="60" w:after="60"/>
      </w:pPr>
      <w:r>
        <w:rPr>
          <w:rFonts w:ascii="Arial" w:cs="Arial" w:eastAsia="Arial" w:hAnsi="Arial"/>
          <w:sz w:val="22"/>
          <w:szCs w:val="22"/>
        </w:rPr>
        <w:t xml:space="preserve">The access token is returned in the JSON response body; the refresh token is set as an HTTP-only cookie.</w:t>
      </w:r>
    </w:p>
    <w:p>
      <w:pPr>
        <w:pStyle w:val="ListParagraph"/>
        <w:numPr>
          <w:ilvl w:val="0"/>
          <w:numId w:val="3"/>
        </w:numPr>
        <w:spacing w:before="60" w:after="60"/>
      </w:pPr>
      <w:r>
        <w:rPr>
          <w:rFonts w:ascii="Arial" w:cs="Arial" w:eastAsia="Arial" w:hAnsi="Arial"/>
          <w:sz w:val="22"/>
          <w:szCs w:val="22"/>
        </w:rPr>
        <w:t xml:space="preserve">The React client stores the access token in memory and redirects the user to their role-specific dashboard.</w:t>
      </w:r>
    </w:p>
    <w:p>
      <w:pPr>
        <w:pStyle w:val="Heading2"/>
        <w:spacing w:before="300" w:after="160"/>
      </w:pPr>
      <w:r>
        <w:rPr>
          <w:rFonts w:ascii="Arial" w:cs="Arial" w:eastAsia="Arial" w:hAnsi="Arial"/>
          <w:b/>
          <w:bCs/>
          <w:color w:val="2E5FA3"/>
          <w:sz w:val="26"/>
          <w:szCs w:val="26"/>
        </w:rPr>
        <w:t xml:space="preserve">2.8.3  Activity Diagram — Assignment Submission Flow</w:t>
      </w:r>
    </w:p>
    <w:p>
      <w:pPr>
        <w:spacing w:before="80" w:after="120"/>
        <w:jc w:val="both"/>
      </w:pPr>
      <w:r>
        <w:rPr>
          <w:rFonts w:ascii="Arial" w:cs="Arial" w:eastAsia="Arial" w:hAnsi="Arial"/>
          <w:sz w:val="22"/>
          <w:szCs w:val="22"/>
        </w:rPr>
        <w:t xml:space="preserve">The assignment submission process follows the activity sequence described below:</w:t>
      </w:r>
    </w:p>
    <w:p>
      <w:pPr>
        <w:pStyle w:val="ListParagraph"/>
        <w:numPr>
          <w:ilvl w:val="0"/>
          <w:numId w:val="3"/>
        </w:numPr>
        <w:spacing w:before="60" w:after="60"/>
      </w:pPr>
      <w:r>
        <w:rPr>
          <w:rFonts w:ascii="Arial" w:cs="Arial" w:eastAsia="Arial" w:hAnsi="Arial"/>
          <w:sz w:val="22"/>
          <w:szCs w:val="22"/>
        </w:rPr>
        <w:t xml:space="preserve">The Student navigates to the Assignments tab within the Course Detail View.</w:t>
      </w:r>
    </w:p>
    <w:p>
      <w:pPr>
        <w:pStyle w:val="ListParagraph"/>
        <w:numPr>
          <w:ilvl w:val="0"/>
          <w:numId w:val="3"/>
        </w:numPr>
        <w:spacing w:before="60" w:after="60"/>
      </w:pPr>
      <w:r>
        <w:rPr>
          <w:rFonts w:ascii="Arial" w:cs="Arial" w:eastAsia="Arial" w:hAnsi="Arial"/>
          <w:sz w:val="22"/>
          <w:szCs w:val="22"/>
        </w:rPr>
        <w:t xml:space="preserve">The student selects the target assignment and clicks the Submit Assignment button.</w:t>
      </w:r>
    </w:p>
    <w:p>
      <w:pPr>
        <w:pStyle w:val="ListParagraph"/>
        <w:numPr>
          <w:ilvl w:val="0"/>
          <w:numId w:val="3"/>
        </w:numPr>
        <w:spacing w:before="60" w:after="60"/>
      </w:pPr>
      <w:r>
        <w:rPr>
          <w:rFonts w:ascii="Arial" w:cs="Arial" w:eastAsia="Arial" w:hAnsi="Arial"/>
          <w:sz w:val="22"/>
          <w:szCs w:val="22"/>
        </w:rPr>
        <w:t xml:space="preserve">The system validates that the current date is within the assignment submission window.</w:t>
      </w:r>
    </w:p>
    <w:p>
      <w:pPr>
        <w:pStyle w:val="ListParagraph"/>
        <w:numPr>
          <w:ilvl w:val="0"/>
          <w:numId w:val="3"/>
        </w:numPr>
        <w:spacing w:before="60" w:after="60"/>
      </w:pPr>
      <w:r>
        <w:rPr>
          <w:rFonts w:ascii="Arial" w:cs="Arial" w:eastAsia="Arial" w:hAnsi="Arial"/>
          <w:sz w:val="22"/>
          <w:szCs w:val="22"/>
        </w:rPr>
        <w:t xml:space="preserve">If the deadline has passed, the system displays a submission-closed notification and terminates the flow.</w:t>
      </w:r>
    </w:p>
    <w:p>
      <w:pPr>
        <w:pStyle w:val="ListParagraph"/>
        <w:numPr>
          <w:ilvl w:val="0"/>
          <w:numId w:val="3"/>
        </w:numPr>
        <w:spacing w:before="60" w:after="60"/>
      </w:pPr>
      <w:r>
        <w:rPr>
          <w:rFonts w:ascii="Arial" w:cs="Arial" w:eastAsia="Arial" w:hAnsi="Arial"/>
          <w:sz w:val="22"/>
          <w:szCs w:val="22"/>
        </w:rPr>
        <w:t xml:space="preserve">If the deadline is active, the student is presented with a file upload modal supporting PDF, DOCX, and ZIP formats up to 20MB.</w:t>
      </w:r>
    </w:p>
    <w:p>
      <w:pPr>
        <w:pStyle w:val="ListParagraph"/>
        <w:numPr>
          <w:ilvl w:val="0"/>
          <w:numId w:val="3"/>
        </w:numPr>
        <w:spacing w:before="60" w:after="60"/>
      </w:pPr>
      <w:r>
        <w:rPr>
          <w:rFonts w:ascii="Arial" w:cs="Arial" w:eastAsia="Arial" w:hAnsi="Arial"/>
          <w:sz w:val="22"/>
          <w:szCs w:val="22"/>
        </w:rPr>
        <w:t xml:space="preserve">The student selects their file and confirms the submission.</w:t>
      </w:r>
    </w:p>
    <w:p>
      <w:pPr>
        <w:pStyle w:val="ListParagraph"/>
        <w:numPr>
          <w:ilvl w:val="0"/>
          <w:numId w:val="3"/>
        </w:numPr>
        <w:spacing w:before="60" w:after="60"/>
      </w:pPr>
      <w:r>
        <w:rPr>
          <w:rFonts w:ascii="Arial" w:cs="Arial" w:eastAsia="Arial" w:hAnsi="Arial"/>
          <w:sz w:val="22"/>
          <w:szCs w:val="22"/>
        </w:rPr>
        <w:t xml:space="preserve">The front-end dispatches a POST multipart/form-data request to /api/v1/assignments/:id/submit.</w:t>
      </w:r>
    </w:p>
    <w:p>
      <w:pPr>
        <w:pStyle w:val="ListParagraph"/>
        <w:numPr>
          <w:ilvl w:val="0"/>
          <w:numId w:val="3"/>
        </w:numPr>
        <w:spacing w:before="60" w:after="60"/>
      </w:pPr>
      <w:r>
        <w:rPr>
          <w:rFonts w:ascii="Arial" w:cs="Arial" w:eastAsia="Arial" w:hAnsi="Arial"/>
          <w:sz w:val="22"/>
          <w:szCs w:val="22"/>
        </w:rPr>
        <w:t xml:space="preserve">The API server validates the file type and size constraints.</w:t>
      </w:r>
    </w:p>
    <w:p>
      <w:pPr>
        <w:pStyle w:val="ListParagraph"/>
        <w:numPr>
          <w:ilvl w:val="0"/>
          <w:numId w:val="3"/>
        </w:numPr>
        <w:spacing w:before="60" w:after="60"/>
      </w:pPr>
      <w:r>
        <w:rPr>
          <w:rFonts w:ascii="Arial" w:cs="Arial" w:eastAsia="Arial" w:hAnsi="Arial"/>
          <w:sz w:val="22"/>
          <w:szCs w:val="22"/>
        </w:rPr>
        <w:t xml:space="preserve">The file is uploaded to cloud object storage (AWS S3) and the storage URL is persisted in the Submission entity.</w:t>
      </w:r>
    </w:p>
    <w:p>
      <w:pPr>
        <w:pStyle w:val="ListParagraph"/>
        <w:numPr>
          <w:ilvl w:val="0"/>
          <w:numId w:val="3"/>
        </w:numPr>
        <w:spacing w:before="60" w:after="60"/>
      </w:pPr>
      <w:r>
        <w:rPr>
          <w:rFonts w:ascii="Arial" w:cs="Arial" w:eastAsia="Arial" w:hAnsi="Arial"/>
          <w:sz w:val="22"/>
          <w:szCs w:val="22"/>
        </w:rPr>
        <w:t xml:space="preserve">A confirmation notification is dispatched to the student, and the submission status on the dashboard is updated to Submitted.</w:t>
      </w:r>
    </w:p>
    <w:p>
      <w:pPr>
        <w:pStyle w:val="Heading1"/>
        <w:pBdr>
          <w:bottom w:val="single" w:color="1A3C6E" w:sz="6" w:space="6"/>
        </w:pBdr>
        <w:spacing w:before="480" w:after="200"/>
      </w:pPr>
      <w:r>
        <w:rPr>
          <w:rFonts w:ascii="Arial" w:cs="Arial" w:eastAsia="Arial" w:hAnsi="Arial"/>
          <w:b/>
          <w:bCs/>
          <w:color w:val="1A3C6E"/>
          <w:sz w:val="32"/>
          <w:szCs w:val="32"/>
        </w:rPr>
        <w:t xml:space="preserve">2.9  Design Validation and Review</w:t>
      </w:r>
    </w:p>
    <w:p>
      <w:pPr>
        <w:pStyle w:val="Heading2"/>
        <w:spacing w:before="300" w:after="160"/>
      </w:pPr>
      <w:r>
        <w:rPr>
          <w:rFonts w:ascii="Arial" w:cs="Arial" w:eastAsia="Arial" w:hAnsi="Arial"/>
          <w:b/>
          <w:bCs/>
          <w:color w:val="2E5FA3"/>
          <w:sz w:val="26"/>
          <w:szCs w:val="26"/>
        </w:rPr>
        <w:t xml:space="preserve">2.9.1  Design Review Process</w:t>
      </w:r>
    </w:p>
    <w:p>
      <w:pPr>
        <w:spacing w:before="80" w:after="120"/>
        <w:jc w:val="both"/>
      </w:pPr>
      <w:r>
        <w:rPr>
          <w:rFonts w:ascii="Arial" w:cs="Arial" w:eastAsia="Arial" w:hAnsi="Arial"/>
          <w:sz w:val="22"/>
          <w:szCs w:val="22"/>
        </w:rPr>
        <w:t xml:space="preserve">All design artefacts produced during this phase are subject to a formal design review process comprising two review stages: an internal peer review conducted by team members not involved in producing the artefact, and a supervisor review resulting in written approval or revision requests. No design artefact is considered finalised until written supervisor approval has been obtained and recorded.</w:t>
      </w:r>
    </w:p>
    <w:p>
      <w:pPr>
        <w:pStyle w:val="Heading2"/>
        <w:spacing w:before="300" w:after="160"/>
      </w:pPr>
      <w:r>
        <w:rPr>
          <w:rFonts w:ascii="Arial" w:cs="Arial" w:eastAsia="Arial" w:hAnsi="Arial"/>
          <w:b/>
          <w:bCs/>
          <w:color w:val="2E5FA3"/>
          <w:sz w:val="26"/>
          <w:szCs w:val="26"/>
        </w:rPr>
        <w:t xml:space="preserve">2.9.2  Design Review Checklist</w:t>
      </w:r>
    </w:p>
    <w:p>
      <w:pPr>
        <w:spacing w:before="80" w:after="120"/>
        <w:jc w:val="both"/>
      </w:pPr>
      <w:r>
        <w:rPr>
          <w:rFonts w:ascii="Arial" w:cs="Arial" w:eastAsia="Arial" w:hAnsi="Arial"/>
          <w:sz w:val="22"/>
          <w:szCs w:val="22"/>
        </w:rPr>
        <w:t xml:space="preserve">The following checklist is applied during all design reviews to verify completeness and correctness:</w:t>
      </w:r>
    </w:p>
    <w:p>
      <w:pPr>
        <w:pStyle w:val="ListParagraph"/>
        <w:numPr>
          <w:ilvl w:val="0"/>
          <w:numId w:val="2"/>
        </w:numPr>
        <w:spacing w:before="60" w:after="60"/>
      </w:pPr>
      <w:r>
        <w:rPr>
          <w:rFonts w:ascii="Arial" w:cs="Arial" w:eastAsia="Arial" w:hAnsi="Arial"/>
          <w:sz w:val="22"/>
          <w:szCs w:val="22"/>
        </w:rPr>
        <w:t xml:space="preserve">All functional requirements from Phase 1 are traceable to at least one design element.</w:t>
      </w:r>
    </w:p>
    <w:p>
      <w:pPr>
        <w:pStyle w:val="ListParagraph"/>
        <w:numPr>
          <w:ilvl w:val="0"/>
          <w:numId w:val="2"/>
        </w:numPr>
        <w:spacing w:before="60" w:after="60"/>
      </w:pPr>
      <w:r>
        <w:rPr>
          <w:rFonts w:ascii="Arial" w:cs="Arial" w:eastAsia="Arial" w:hAnsi="Arial"/>
          <w:sz w:val="22"/>
          <w:szCs w:val="22"/>
        </w:rPr>
        <w:t xml:space="preserve">The database schema enforces all identified entity relationships with appropriate constraints.</w:t>
      </w:r>
    </w:p>
    <w:p>
      <w:pPr>
        <w:pStyle w:val="ListParagraph"/>
        <w:numPr>
          <w:ilvl w:val="0"/>
          <w:numId w:val="2"/>
        </w:numPr>
        <w:spacing w:before="60" w:after="60"/>
      </w:pPr>
      <w:r>
        <w:rPr>
          <w:rFonts w:ascii="Arial" w:cs="Arial" w:eastAsia="Arial" w:hAnsi="Arial"/>
          <w:sz w:val="22"/>
          <w:szCs w:val="22"/>
        </w:rPr>
        <w:t xml:space="preserve">All API endpoints are documented with request/response schemas and authentication requirements.</w:t>
      </w:r>
    </w:p>
    <w:p>
      <w:pPr>
        <w:pStyle w:val="ListParagraph"/>
        <w:numPr>
          <w:ilvl w:val="0"/>
          <w:numId w:val="2"/>
        </w:numPr>
        <w:spacing w:before="60" w:after="60"/>
      </w:pPr>
      <w:r>
        <w:rPr>
          <w:rFonts w:ascii="Arial" w:cs="Arial" w:eastAsia="Arial" w:hAnsi="Arial"/>
          <w:sz w:val="22"/>
          <w:szCs w:val="22"/>
        </w:rPr>
        <w:t xml:space="preserve">UI wireframes have been reviewed by at least two representative end users from each role group.</w:t>
      </w:r>
    </w:p>
    <w:p>
      <w:pPr>
        <w:pStyle w:val="ListParagraph"/>
        <w:numPr>
          <w:ilvl w:val="0"/>
          <w:numId w:val="2"/>
        </w:numPr>
        <w:spacing w:before="60" w:after="60"/>
      </w:pPr>
      <w:r>
        <w:rPr>
          <w:rFonts w:ascii="Arial" w:cs="Arial" w:eastAsia="Arial" w:hAnsi="Arial"/>
          <w:sz w:val="22"/>
          <w:szCs w:val="22"/>
        </w:rPr>
        <w:t xml:space="preserve">Security design addresses all applicable OWASP Top 10 threat categories.</w:t>
      </w:r>
    </w:p>
    <w:p>
      <w:pPr>
        <w:pStyle w:val="ListParagraph"/>
        <w:numPr>
          <w:ilvl w:val="0"/>
          <w:numId w:val="2"/>
        </w:numPr>
        <w:spacing w:before="60" w:after="60"/>
      </w:pPr>
      <w:r>
        <w:rPr>
          <w:rFonts w:ascii="Arial" w:cs="Arial" w:eastAsia="Arial" w:hAnsi="Arial"/>
          <w:sz w:val="22"/>
          <w:szCs w:val="22"/>
        </w:rPr>
        <w:t xml:space="preserve">The proposed architecture supports the non-functional requirements for performance and scalability.</w:t>
      </w:r>
    </w:p>
    <w:p>
      <w:pPr>
        <w:pStyle w:val="ListParagraph"/>
        <w:numPr>
          <w:ilvl w:val="0"/>
          <w:numId w:val="2"/>
        </w:numPr>
        <w:spacing w:before="60" w:after="60"/>
      </w:pPr>
      <w:r>
        <w:rPr>
          <w:rFonts w:ascii="Arial" w:cs="Arial" w:eastAsia="Arial" w:hAnsi="Arial"/>
          <w:sz w:val="22"/>
          <w:szCs w:val="22"/>
        </w:rPr>
        <w:t xml:space="preserve">All design diagrams are consistent with one another and with the requirements specification.</w:t>
      </w:r>
    </w:p>
    <w:p>
      <w:pPr>
        <w:pStyle w:val="Heading2"/>
        <w:spacing w:before="300" w:after="160"/>
      </w:pPr>
      <w:r>
        <w:rPr>
          <w:rFonts w:ascii="Arial" w:cs="Arial" w:eastAsia="Arial" w:hAnsi="Arial"/>
          <w:b/>
          <w:bCs/>
          <w:color w:val="2E5FA3"/>
          <w:sz w:val="26"/>
          <w:szCs w:val="26"/>
        </w:rPr>
        <w:t xml:space="preserve">2.9.3  Design Review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160"/>
        <w:gridCol w:w="1800"/>
        <w:gridCol w:w="1800"/>
      </w:tblGrid>
      <w:tr>
        <w:trPr>
          <w:tblHeader/>
        </w:trPr>
        <w:tc>
          <w:tcPr>
            <w:tcW w:type="dxa" w:w="1200"/>
            <w:tcBorders>
              <w:top w:val="single" w:color="1A3C6E" w:sz="4"/>
              <w:left w:val="single" w:color="1A3C6E" w:sz="4"/>
              <w:bottom w:val="single" w:color="1A3C6E" w:sz="4"/>
              <w:right w:val="single" w:color="1A3C6E" w:sz="4"/>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Review ID</w:t>
            </w:r>
          </w:p>
        </w:tc>
        <w:tc>
          <w:tcPr>
            <w:tcW w:type="dxa" w:w="2400"/>
            <w:tcBorders>
              <w:top w:val="single" w:color="1A3C6E" w:sz="4"/>
              <w:left w:val="single" w:color="1A3C6E" w:sz="4"/>
              <w:bottom w:val="single" w:color="1A3C6E" w:sz="4"/>
              <w:right w:val="single" w:color="1A3C6E" w:sz="4"/>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Artefact Reviewed</w:t>
            </w:r>
          </w:p>
        </w:tc>
        <w:tc>
          <w:tcPr>
            <w:tcW w:type="dxa" w:w="2160"/>
            <w:tcBorders>
              <w:top w:val="single" w:color="1A3C6E" w:sz="4"/>
              <w:left w:val="single" w:color="1A3C6E" w:sz="4"/>
              <w:bottom w:val="single" w:color="1A3C6E" w:sz="4"/>
              <w:right w:val="single" w:color="1A3C6E" w:sz="4"/>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Reviewer</w:t>
            </w:r>
          </w:p>
        </w:tc>
        <w:tc>
          <w:tcPr>
            <w:tcW w:type="dxa" w:w="1800"/>
            <w:tcBorders>
              <w:top w:val="single" w:color="1A3C6E" w:sz="4"/>
              <w:left w:val="single" w:color="1A3C6E" w:sz="4"/>
              <w:bottom w:val="single" w:color="1A3C6E" w:sz="4"/>
              <w:right w:val="single" w:color="1A3C6E" w:sz="4"/>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Date</w:t>
            </w:r>
          </w:p>
        </w:tc>
        <w:tc>
          <w:tcPr>
            <w:tcW w:type="dxa" w:w="1800"/>
            <w:tcBorders>
              <w:top w:val="single" w:color="1A3C6E" w:sz="4"/>
              <w:left w:val="single" w:color="1A3C6E" w:sz="4"/>
              <w:bottom w:val="single" w:color="1A3C6E" w:sz="4"/>
              <w:right w:val="single" w:color="1A3C6E" w:sz="4"/>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Outcome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DR-01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System Architecture Design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Supervisor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Feb 10,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Approved</w:t>
            </w:r>
          </w:p>
        </w:tc>
      </w:tr>
      <w:tr>
        <w:tc>
          <w:tcPr>
            <w:tcW w:type="dxa" w:w="12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DR-02</w:t>
            </w:r>
          </w:p>
        </w:tc>
        <w:tc>
          <w:tcPr>
            <w:tcW w:type="dxa" w:w="24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Database ER Model</w:t>
            </w:r>
          </w:p>
        </w:tc>
        <w:tc>
          <w:tcPr>
            <w:tcW w:type="dxa" w:w="216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Peer Review (Team)</w:t>
            </w:r>
          </w:p>
        </w:tc>
        <w:tc>
          <w:tcPr>
            <w:tcW w:type="dxa" w:w="18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Feb 12, 2026</w:t>
            </w:r>
          </w:p>
        </w:tc>
        <w:tc>
          <w:tcPr>
            <w:tcW w:type="dxa" w:w="18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Minor Revision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DR-03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Database ER Model (Revised)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Supervisor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Feb 14,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Approved</w:t>
            </w:r>
          </w:p>
        </w:tc>
      </w:tr>
      <w:tr>
        <w:tc>
          <w:tcPr>
            <w:tcW w:type="dxa" w:w="12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DR-04</w:t>
            </w:r>
          </w:p>
        </w:tc>
        <w:tc>
          <w:tcPr>
            <w:tcW w:type="dxa" w:w="24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UI Wireframes</w:t>
            </w:r>
          </w:p>
        </w:tc>
        <w:tc>
          <w:tcPr>
            <w:tcW w:type="dxa" w:w="216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End-User Review</w:t>
            </w:r>
          </w:p>
        </w:tc>
        <w:tc>
          <w:tcPr>
            <w:tcW w:type="dxa" w:w="18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Feb 18, 2026</w:t>
            </w:r>
          </w:p>
        </w:tc>
        <w:tc>
          <w:tcPr>
            <w:tcW w:type="dxa" w:w="18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Approved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DR-05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API Endpoint Specification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Peer Review (Team)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Feb 20,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Approved</w:t>
            </w:r>
          </w:p>
        </w:tc>
      </w:tr>
      <w:tr>
        <w:tc>
          <w:tcPr>
            <w:tcW w:type="dxa" w:w="12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DR-06</w:t>
            </w:r>
          </w:p>
        </w:tc>
        <w:tc>
          <w:tcPr>
            <w:tcW w:type="dxa" w:w="24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Security Design</w:t>
            </w:r>
          </w:p>
        </w:tc>
        <w:tc>
          <w:tcPr>
            <w:tcW w:type="dxa" w:w="216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Supervisor</w:t>
            </w:r>
          </w:p>
        </w:tc>
        <w:tc>
          <w:tcPr>
            <w:tcW w:type="dxa" w:w="18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Feb 24, 2026</w:t>
            </w:r>
          </w:p>
        </w:tc>
        <w:tc>
          <w:tcPr>
            <w:tcW w:type="dxa" w:w="18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Approved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DR-07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UML Diagrams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Supervisor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Feb 28,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Approved</w:t>
            </w:r>
          </w:p>
        </w:tc>
      </w:tr>
    </w:tbl>
    <w:p>
      <w:pPr>
        <w:spacing w:before="60" w:after="160"/>
        <w:jc w:val="center"/>
      </w:pPr>
      <w:r>
        <w:rPr>
          <w:rFonts w:ascii="Arial" w:cs="Arial" w:eastAsia="Arial" w:hAnsi="Arial"/>
          <w:i/>
          <w:iCs/>
          <w:color w:val="555555"/>
          <w:sz w:val="18"/>
          <w:szCs w:val="18"/>
        </w:rPr>
        <w:t xml:space="preserve">Table 2.6 — Design Review Log</w:t>
      </w:r>
    </w:p>
    <w:p>
      <w:pPr>
        <w:pStyle w:val="Heading1"/>
        <w:pBdr>
          <w:bottom w:val="single" w:color="1A3C6E" w:sz="6" w:space="6"/>
        </w:pBdr>
        <w:spacing w:before="480" w:after="200"/>
      </w:pPr>
      <w:r>
        <w:rPr>
          <w:rFonts w:ascii="Arial" w:cs="Arial" w:eastAsia="Arial" w:hAnsi="Arial"/>
          <w:b/>
          <w:bCs/>
          <w:color w:val="1A3C6E"/>
          <w:sz w:val="32"/>
          <w:szCs w:val="32"/>
        </w:rPr>
        <w:t xml:space="preserve">2.10  Design Traceability Matrix</w:t>
      </w:r>
    </w:p>
    <w:p>
      <w:pPr>
        <w:spacing w:before="80" w:after="120"/>
        <w:jc w:val="both"/>
      </w:pPr>
      <w:r>
        <w:rPr>
          <w:rFonts w:ascii="Arial" w:cs="Arial" w:eastAsia="Arial" w:hAnsi="Arial"/>
          <w:sz w:val="22"/>
          <w:szCs w:val="22"/>
        </w:rPr>
        <w:t xml:space="preserve">The following traceability matrix maps each functional requirement from Phase 1 to its corresponding design element, confirming complete design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60"/>
        <w:gridCol w:w="2500"/>
        <w:gridCol w:w="2500"/>
      </w:tblGrid>
      <w:tr>
        <w:trPr>
          <w:tblHeader/>
        </w:trPr>
        <w:tc>
          <w:tcPr>
            <w:tcW w:type="dxa" w:w="1100"/>
            <w:tcBorders>
              <w:top w:val="single" w:color="1A3C6E" w:sz="4"/>
              <w:left w:val="single" w:color="1A3C6E" w:sz="4"/>
              <w:bottom w:val="single" w:color="1A3C6E" w:sz="4"/>
              <w:right w:val="single" w:color="1A3C6E" w:sz="4"/>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 ID</w:t>
            </w:r>
          </w:p>
        </w:tc>
        <w:tc>
          <w:tcPr>
            <w:tcW w:type="dxa" w:w="3260"/>
            <w:tcBorders>
              <w:top w:val="single" w:color="1A3C6E" w:sz="4"/>
              <w:left w:val="single" w:color="1A3C6E" w:sz="4"/>
              <w:bottom w:val="single" w:color="1A3C6E" w:sz="4"/>
              <w:right w:val="single" w:color="1A3C6E" w:sz="4"/>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Summary</w:t>
            </w:r>
          </w:p>
        </w:tc>
        <w:tc>
          <w:tcPr>
            <w:tcW w:type="dxa" w:w="2500"/>
            <w:tcBorders>
              <w:top w:val="single" w:color="1A3C6E" w:sz="4"/>
              <w:left w:val="single" w:color="1A3C6E" w:sz="4"/>
              <w:bottom w:val="single" w:color="1A3C6E" w:sz="4"/>
              <w:right w:val="single" w:color="1A3C6E" w:sz="4"/>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Design Element</w:t>
            </w:r>
          </w:p>
        </w:tc>
        <w:tc>
          <w:tcPr>
            <w:tcW w:type="dxa" w:w="2500"/>
            <w:tcBorders>
              <w:top w:val="single" w:color="1A3C6E" w:sz="4"/>
              <w:left w:val="single" w:color="1A3C6E" w:sz="4"/>
              <w:bottom w:val="single" w:color="1A3C6E" w:sz="4"/>
              <w:right w:val="single" w:color="1A3C6E" w:sz="4"/>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Section Ref.</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FR-01</w:t>
            </w:r>
          </w:p>
        </w:tc>
        <w:tc>
          <w:tcPr>
            <w:tcW w:type="dxa" w:w="3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Secure login with hashed passwords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Auth Service, JWT mechanism, bcrypt hashing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§2.7.1</w:t>
            </w:r>
          </w:p>
        </w:tc>
      </w:tr>
      <w:tr>
        <w:tc>
          <w:tcPr>
            <w:tcW w:type="dxa" w:w="11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FR-02</w:t>
            </w:r>
          </w:p>
        </w:tc>
        <w:tc>
          <w:tcPr>
            <w:tcW w:type="dxa" w:w="326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Password reset via institutional email</w:t>
            </w:r>
          </w:p>
        </w:tc>
        <w:tc>
          <w:tcPr>
            <w:tcW w:type="dxa" w:w="25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Auth Service, Notification Service, Email integration</w:t>
            </w:r>
          </w:p>
        </w:tc>
        <w:tc>
          <w:tcPr>
            <w:tcW w:type="dxa" w:w="25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§2.6.2</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FR-03</w:t>
            </w:r>
          </w:p>
        </w:tc>
        <w:tc>
          <w:tcPr>
            <w:tcW w:type="dxa" w:w="3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Student dashboard summary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Student Dashboard UI, Dashboard API endpoint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§2.5.3, §2.6.2</w:t>
            </w:r>
          </w:p>
        </w:tc>
      </w:tr>
      <w:tr>
        <w:tc>
          <w:tcPr>
            <w:tcW w:type="dxa" w:w="11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FR-04</w:t>
            </w:r>
          </w:p>
        </w:tc>
        <w:tc>
          <w:tcPr>
            <w:tcW w:type="dxa" w:w="326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Faculty course content management</w:t>
            </w:r>
          </w:p>
        </w:tc>
        <w:tc>
          <w:tcPr>
            <w:tcW w:type="dxa" w:w="25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Course Service, Course DB entity, Faculty UI screens</w:t>
            </w:r>
          </w:p>
        </w:tc>
        <w:tc>
          <w:tcPr>
            <w:tcW w:type="dxa" w:w="25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§2.4.1, §2.5.3</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FR-05</w:t>
            </w:r>
          </w:p>
        </w:tc>
        <w:tc>
          <w:tcPr>
            <w:tcW w:type="dxa" w:w="3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Course enrollment and drop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Enrollment entity, POST enroll endpoint, Role guard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§2.4.2, §2.6.2</w:t>
            </w:r>
          </w:p>
        </w:tc>
      </w:tr>
      <w:tr>
        <w:tc>
          <w:tcPr>
            <w:tcW w:type="dxa" w:w="11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FR-06</w:t>
            </w:r>
          </w:p>
        </w:tc>
        <w:tc>
          <w:tcPr>
            <w:tcW w:type="dxa" w:w="326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Grade submission and viewing</w:t>
            </w:r>
          </w:p>
        </w:tc>
        <w:tc>
          <w:tcPr>
            <w:tcW w:type="dxa" w:w="25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Grade submission screen, PUT grades endpoint</w:t>
            </w:r>
          </w:p>
        </w:tc>
        <w:tc>
          <w:tcPr>
            <w:tcW w:type="dxa" w:w="25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§2.5.3, §2.6.2</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FR-07</w:t>
            </w:r>
          </w:p>
        </w:tc>
        <w:tc>
          <w:tcPr>
            <w:tcW w:type="dxa" w:w="3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Attendance recording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Attendance entity, Attendance Service, Faculty UI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§2.4.1, §2.5.3</w:t>
            </w:r>
          </w:p>
        </w:tc>
      </w:tr>
      <w:tr>
        <w:tc>
          <w:tcPr>
            <w:tcW w:type="dxa" w:w="11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FR-08</w:t>
            </w:r>
          </w:p>
        </w:tc>
        <w:tc>
          <w:tcPr>
            <w:tcW w:type="dxa" w:w="326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Automated notifications</w:t>
            </w:r>
          </w:p>
        </w:tc>
        <w:tc>
          <w:tcPr>
            <w:tcW w:type="dxa" w:w="25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Notification entity, Notification Service, Redis</w:t>
            </w:r>
          </w:p>
        </w:tc>
        <w:tc>
          <w:tcPr>
            <w:tcW w:type="dxa" w:w="2500"/>
            <w:tcBorders>
              <w:top w:val="single" w:color="CCCCCC" w:sz="1"/>
              <w:left w:val="single" w:color="CCCCCC" w:sz="1"/>
              <w:bottom w:val="single" w:color="CCCCCC" w:sz="1"/>
              <w:right w:val="single" w:color="CCCCCC" w:sz="1"/>
            </w:tcBorders>
            <w:shd w:fill="EDF2FA" w:val="clear"/>
            <w:tcMar>
              <w:top w:type="dxa" w:w="80"/>
              <w:left w:type="dxa" w:w="150"/>
              <w:bottom w:type="dxa" w:w="80"/>
              <w:right w:type="dxa" w:w="150"/>
            </w:tcMar>
          </w:tcPr>
          <w:p>
            <w:r>
              <w:rPr>
                <w:rFonts w:ascii="Arial" w:cs="Arial" w:eastAsia="Arial" w:hAnsi="Arial"/>
                <w:sz w:val="20"/>
                <w:szCs w:val="20"/>
              </w:rPr>
              <w:t xml:space="preserve">§2.4.1, §2.7.1</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FR-09</w:t>
            </w:r>
          </w:p>
        </w:tc>
        <w:tc>
          <w:tcPr>
            <w:tcW w:type="dxa" w:w="3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Report generation and export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 reports API, Report generation service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§2.6.2, §2.7.2</w:t>
            </w:r>
          </w:p>
        </w:tc>
      </w:tr>
    </w:tbl>
    <w:p>
      <w:pPr>
        <w:spacing w:before="60" w:after="160"/>
        <w:jc w:val="center"/>
      </w:pPr>
      <w:r>
        <w:rPr>
          <w:rFonts w:ascii="Arial" w:cs="Arial" w:eastAsia="Arial" w:hAnsi="Arial"/>
          <w:i/>
          <w:iCs/>
          <w:color w:val="555555"/>
          <w:sz w:val="18"/>
          <w:szCs w:val="18"/>
        </w:rPr>
        <w:t xml:space="preserve">Table 2.7 — Requirements Traceability Matrix</w:t>
      </w:r>
    </w:p>
    <w:p>
      <w:pPr>
        <w:pStyle w:val="Heading1"/>
        <w:pBdr>
          <w:bottom w:val="single" w:color="1A3C6E" w:sz="6" w:space="6"/>
        </w:pBdr>
        <w:spacing w:before="480" w:after="200"/>
      </w:pPr>
      <w:r>
        <w:rPr>
          <w:rFonts w:ascii="Arial" w:cs="Arial" w:eastAsia="Arial" w:hAnsi="Arial"/>
          <w:b/>
          <w:bCs/>
          <w:color w:val="1A3C6E"/>
          <w:sz w:val="32"/>
          <w:szCs w:val="32"/>
        </w:rPr>
        <w:t xml:space="preserve">2.11  Conclusion</w:t>
      </w:r>
    </w:p>
    <w:p>
      <w:pPr>
        <w:spacing w:before="80" w:after="120"/>
        <w:jc w:val="both"/>
      </w:pPr>
      <w:r>
        <w:rPr>
          <w:rFonts w:ascii="Arial" w:cs="Arial" w:eastAsia="Arial" w:hAnsi="Arial"/>
          <w:sz w:val="22"/>
          <w:szCs w:val="22"/>
        </w:rPr>
        <w:t xml:space="preserve">The Project Design Phase has produced a comprehensive and cohesive set of design artefacts that collectively define the complete structural and behavioural blueprint of the Smart Student Portal System. Through the specification of a three-tier architecture, a normalised relational database schema, a standardised RESTful API, a consistent user interface design language, and a layered security model, this phase establishes a robust foundation upon which the implementation phase may proceed with clarity and confidence.</w:t>
      </w:r>
    </w:p>
    <w:p>
      <w:pPr>
        <w:spacing w:before="80" w:after="120"/>
        <w:jc w:val="both"/>
      </w:pPr>
      <w:r>
        <w:rPr>
          <w:rFonts w:ascii="Arial" w:cs="Arial" w:eastAsia="Arial" w:hAnsi="Arial"/>
          <w:sz w:val="22"/>
          <w:szCs w:val="22"/>
        </w:rPr>
        <w:t xml:space="preserve">All design decisions have been explicitly traced to the functional and non-functional requirements established in Phase 1, and all artefacts have successfully passed the prescribed design review process. The design traceability matrix confirms complete requirement coverage with no outstanding design gaps.</w:t>
      </w:r>
    </w:p>
    <w:p>
      <w:pPr>
        <w:spacing w:before="80" w:after="120"/>
        <w:jc w:val="both"/>
      </w:pPr>
      <w:r>
        <w:rPr>
          <w:rFonts w:ascii="Arial" w:cs="Arial" w:eastAsia="Arial" w:hAnsi="Arial"/>
          <w:sz w:val="22"/>
          <w:szCs w:val="22"/>
        </w:rPr>
        <w:t xml:space="preserve">The implementation phase will adhere strictly to the specifications documented herein. Any deviation from the approved design resulting from implementation constraints will be formally documented as a design change request and submitted for supervisor review and approval prior to implementation. This ensures that the integrity and coherence of the system architecture are preserved throughout the development lifecycle.</w:t>
      </w:r>
    </w:p>
    <w:p>
      <w:pPr>
        <w:spacing w:before="400" w:after="0"/>
      </w:pPr>
      <w:r>
        <w:t xml:space="preserve"/>
      </w:r>
    </w:p>
    <w:p>
      <w:pPr>
        <w:pBdr>
          <w:top w:val="single" w:color="1A3C6E" w:sz="4" w:space="8"/>
        </w:pBdr>
        <w:jc w:val="center"/>
      </w:pPr>
      <w:r>
        <w:rPr>
          <w:rFonts w:ascii="Arial" w:cs="Arial" w:eastAsia="Arial" w:hAnsi="Arial"/>
          <w:b/>
          <w:bCs/>
          <w:color w:val="1A3C6E"/>
          <w:sz w:val="20"/>
          <w:szCs w:val="20"/>
        </w:rPr>
        <w:t xml:space="preserve">End of Phase 2  —  Project Design Phase Documentation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6E" w:sz="4" w:space="4"/>
      </w:pBdr>
      <w:tabs>
        <w:tab w:val="right" w:pos="9360"/>
      </w:tabs>
    </w:pPr>
    <w:r>
      <w:rPr>
        <w:rFonts w:ascii="Arial" w:cs="Arial" w:eastAsia="Arial" w:hAnsi="Arial"/>
        <w:color w:val="444444"/>
        <w:sz w:val="18"/>
        <w:szCs w:val="18"/>
      </w:rPr>
      <w:t xml:space="preserve">College of Computer Science &amp; Engineering</w:t>
    </w:r>
    <w:r>
      <w:rPr>
        <w:rFonts w:ascii="Arial" w:cs="Arial" w:eastAsia="Arial" w:hAnsi="Arial"/>
        <w:sz w:val="18"/>
        <w:szCs w:val="18"/>
      </w:rPr>
      <w:t xml:space="preserve">	</w:t>
    </w:r>
    <w:r>
      <w:rPr>
        <w:rFonts w:ascii="Arial" w:cs="Arial" w:eastAsia="Arial" w:hAnsi="Arial"/>
        <w:color w:val="444444"/>
        <w:sz w:val="18"/>
        <w:szCs w:val="18"/>
      </w:rPr>
      <w:t xml:space="preserve">Page </w:t>
    </w:r>
    <w:r>
      <w:rPr>
        <w:rFonts w:ascii="Arial" w:cs="Arial" w:eastAsia="Arial" w:hAnsi="Arial"/>
        <w:color w:val="1A3C6E"/>
        <w:sz w:val="18"/>
        <w:szCs w:val="18"/>
      </w:rPr>
      <w:fldChar w:fldCharType="begin"/>
      <w:instrText xml:space="preserve">PAGE</w:instrText>
      <w:fldChar w:fldCharType="separate"/>
      <w:fldChar w:fldCharType="end"/>
    </w:r>
    <w:r>
      <w:rPr>
        <w:rFonts w:ascii="Arial" w:cs="Arial" w:eastAsia="Arial" w:hAnsi="Arial"/>
        <w:color w:val="444444"/>
        <w:sz w:val="18"/>
        <w:szCs w:val="18"/>
      </w:rPr>
      <w:t xml:space="preserve"> of </w:t>
    </w:r>
    <w:r>
      <w:rPr>
        <w:rFonts w:ascii="Arial" w:cs="Arial" w:eastAsia="Arial" w:hAnsi="Arial"/>
        <w:color w:val="1A3C6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E" w:sz="4" w:space="4"/>
      </w:pBdr>
      <w:tabs>
        <w:tab w:val="right" w:pos="9360"/>
      </w:tabs>
    </w:pPr>
    <w:r>
      <w:rPr>
        <w:rFonts w:ascii="Arial" w:cs="Arial" w:eastAsia="Arial" w:hAnsi="Arial"/>
        <w:color w:val="444444"/>
        <w:sz w:val="18"/>
        <w:szCs w:val="18"/>
      </w:rPr>
      <w:t xml:space="preserve">Project Design Phase  —  Smart Student Portal System</w:t>
    </w:r>
    <w:r>
      <w:rPr>
        <w:rFonts w:ascii="Arial" w:cs="Arial" w:eastAsia="Arial" w:hAnsi="Arial"/>
        <w:sz w:val="18"/>
        <w:szCs w:val="18"/>
      </w:rPr>
      <w:t xml:space="preserve">	</w:t>
    </w:r>
    <w:r>
      <w:rPr>
        <w:rFonts w:ascii="Arial" w:cs="Arial" w:eastAsia="Arial" w:hAnsi="Arial"/>
        <w:color w:val="444444"/>
        <w:sz w:val="18"/>
        <w:szCs w:val="18"/>
      </w:rPr>
      <w:t xml:space="preserve">Academic Year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  %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3C6E"/>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5FA3"/>
      <w:sz w:val="26"/>
      <w:szCs w:val="26"/>
    </w:rPr>
  </w:style>
  <w:style w:type="paragraph" w:styleId="Heading3">
    <w:name w:val="Heading 3"/>
    <w:basedOn w:val="Normal"/>
    <w:next w:val="Normal"/>
    <w:qFormat/>
    <w:pPr>
      <w:spacing w:before="220" w:after="120"/>
      <w:outlineLvl w:val="2"/>
    </w:pPr>
    <w:rPr>
      <w:rFonts w:ascii="Arial" w:cs="Arial" w:eastAsia="Arial" w:hAnsi="Arial"/>
      <w:b/>
      <w:bCs/>
      <w:color w:val="3A6EA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2026-03-09T07:10:39.063Z</dcterms:created>
  <dcterms:modified xsi:type="dcterms:W3CDTF">2026-03-09T07:10:39.064Z</dcterms:modified>
</cp:coreProperties>
</file>

<file path=docProps/custom.xml><?xml version="1.0" encoding="utf-8"?>
<Properties xmlns="http://schemas.openxmlformats.org/officeDocument/2006/custom-properties" xmlns:vt="http://schemas.openxmlformats.org/officeDocument/2006/docPropsVTypes"/>
</file>