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rPr>
          <w:rFonts w:ascii="Arial" w:cs="Arial" w:eastAsia="Arial" w:hAnsi="Arial"/>
          <w:sz w:val="22"/>
          <w:szCs w:val="22"/>
        </w:rPr>
        <w:t xml:space="preserve"/>
      </w:r>
    </w:p>
    <w:p>
      <w:pPr>
        <w:jc w:val="center"/>
      </w:pPr>
      <w:r>
        <w:rPr>
          <w:rFonts w:ascii="Arial" w:cs="Arial" w:eastAsia="Arial" w:hAnsi="Arial"/>
          <w:b/>
          <w:bCs/>
          <w:color w:val="555555"/>
          <w:sz w:val="22"/>
          <w:szCs w:val="22"/>
        </w:rPr>
        <w:t xml:space="preserve">COLLEGE OF COMPUTER SCIENCE &amp; ENGINEERING</w:t>
      </w:r>
    </w:p>
    <w:p>
      <w:pPr>
        <w:spacing w:before="40" w:after="0"/>
      </w:pPr>
      <w:r>
        <w:rPr>
          <w:rFonts w:ascii="Arial" w:cs="Arial" w:eastAsia="Arial" w:hAnsi="Arial"/>
          <w:sz w:val="22"/>
          <w:szCs w:val="22"/>
        </w:rPr>
        <w:t xml:space="preserve"/>
      </w:r>
    </w:p>
    <w:p>
      <w:pPr>
        <w:pBdr>
          <w:bottom w:val="single" w:color="1B3A6B" w:sz="10" w:space="10"/>
        </w:pBdr>
        <w:jc w:val="center"/>
      </w:pPr>
      <w:r>
        <w:rPr>
          <w:rFonts w:ascii="Arial" w:cs="Arial" w:eastAsia="Arial" w:hAnsi="Arial"/>
          <w:sz w:val="22"/>
          <w:szCs w:val="22"/>
        </w:rPr>
        <w:t xml:space="preserve"/>
      </w:r>
    </w:p>
    <w:p>
      <w:pPr>
        <w:spacing w:before="320" w:after="0"/>
      </w:pPr>
      <w:r>
        <w:rPr>
          <w:rFonts w:ascii="Arial" w:cs="Arial" w:eastAsia="Arial" w:hAnsi="Arial"/>
          <w:sz w:val="22"/>
          <w:szCs w:val="22"/>
        </w:rPr>
        <w:t xml:space="preserve"/>
      </w:r>
    </w:p>
    <w:p>
      <w:pPr>
        <w:jc w:val="center"/>
      </w:pPr>
      <w:r>
        <w:rPr>
          <w:rFonts w:ascii="Arial" w:cs="Arial" w:eastAsia="Arial" w:hAnsi="Arial"/>
          <w:b/>
          <w:bCs/>
          <w:color w:val="1B3A6B"/>
          <w:sz w:val="28"/>
          <w:szCs w:val="28"/>
        </w:rPr>
        <w:t xml:space="preserve">PROJECT DOCUMENTATION REPORT</w:t>
      </w:r>
    </w:p>
    <w:p>
      <w:pPr>
        <w:spacing w:before="120" w:after="0"/>
      </w:pPr>
      <w:r>
        <w:rPr>
          <w:rFonts w:ascii="Arial" w:cs="Arial" w:eastAsia="Arial" w:hAnsi="Arial"/>
          <w:sz w:val="22"/>
          <w:szCs w:val="22"/>
        </w:rPr>
        <w:t xml:space="preserve"/>
      </w:r>
    </w:p>
    <w:p>
      <w:pPr>
        <w:jc w:val="center"/>
      </w:pPr>
      <w:r>
        <w:rPr>
          <w:rFonts w:ascii="Arial" w:cs="Arial" w:eastAsia="Arial" w:hAnsi="Arial"/>
          <w:b/>
          <w:bCs/>
          <w:color w:val="1B3A6B"/>
          <w:sz w:val="48"/>
          <w:szCs w:val="48"/>
        </w:rPr>
        <w:t xml:space="preserve">3. Project Documentation</w:t>
      </w:r>
    </w:p>
    <w:p>
      <w:pPr>
        <w:spacing w:before="160" w:after="0"/>
      </w:pPr>
      <w:r>
        <w:rPr>
          <w:rFonts w:ascii="Arial" w:cs="Arial" w:eastAsia="Arial" w:hAnsi="Arial"/>
          <w:sz w:val="22"/>
          <w:szCs w:val="22"/>
        </w:rPr>
        <w:t xml:space="preserve"/>
      </w:r>
    </w:p>
    <w:p>
      <w:pPr>
        <w:pBdr>
          <w:bottom w:val="single" w:color="2C5898" w:sz="4" w:space="8"/>
        </w:pBdr>
        <w:jc w:val="center"/>
      </w:pPr>
      <w:r>
        <w:rPr>
          <w:rFonts w:ascii="Arial" w:cs="Arial" w:eastAsia="Arial" w:hAnsi="Arial"/>
          <w:i/>
          <w:iCs/>
          <w:color w:val="444444"/>
          <w:sz w:val="22"/>
          <w:szCs w:val="22"/>
        </w:rPr>
        <w:t xml:space="preserve">Smart Student Portal System  —  Academic Year 2025–2026</w:t>
      </w:r>
    </w:p>
    <w:p>
      <w:pPr>
        <w:spacing w:before="520" w:after="0"/>
      </w:pP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tblGrid>
      <w:tr>
        <w:tc>
          <w:tcPr>
            <w:tcW w:type="dxa" w:w="2700"/>
            <w:tcBorders>
              <w:top w:val="single" w:color="C8D4E8" w:sz="1"/>
              <w:left w:val="single" w:color="C8D4E8" w:sz="1"/>
              <w:bottom w:val="single" w:color="C8D4E8" w:sz="1"/>
              <w:right w:val="single" w:color="C8D4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Project Title</w:t>
            </w:r>
          </w:p>
        </w:tc>
        <w:tc>
          <w:tcPr>
            <w:tcW w:type="dxa" w:w="4500"/>
            <w:tcBorders>
              <w:top w:val="single" w:color="C8D4E8" w:sz="1"/>
              <w:left w:val="single" w:color="C8D4E8" w:sz="1"/>
              <w:bottom w:val="single" w:color="C8D4E8" w:sz="1"/>
              <w:right w:val="single" w:color="C8D4E8" w:sz="1"/>
            </w:tcBorders>
            <w:tcMar>
              <w:top w:type="dxa" w:w="100"/>
              <w:left w:type="dxa" w:w="160"/>
              <w:bottom w:type="dxa" w:w="100"/>
              <w:right w:type="dxa" w:w="160"/>
            </w:tcMar>
          </w:tcPr>
          <w:p>
            <w:r>
              <w:rPr>
                <w:rFonts w:ascii="Arial" w:cs="Arial" w:eastAsia="Arial" w:hAnsi="Arial"/>
                <w:sz w:val="20"/>
                <w:szCs w:val="20"/>
              </w:rPr>
              <w:t xml:space="preserve">Smart Student Portal System</w:t>
            </w:r>
          </w:p>
        </w:tc>
      </w:tr>
      <w:tr>
        <w:tc>
          <w:tcPr>
            <w:tcW w:type="dxa" w:w="2700"/>
            <w:tcBorders>
              <w:top w:val="single" w:color="C8D4E8" w:sz="1"/>
              <w:left w:val="single" w:color="C8D4E8" w:sz="1"/>
              <w:bottom w:val="single" w:color="C8D4E8" w:sz="1"/>
              <w:right w:val="single" w:color="C8D4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Document Phase</w:t>
            </w:r>
          </w:p>
        </w:tc>
        <w:tc>
          <w:tcPr>
            <w:tcW w:type="dxa" w:w="4500"/>
            <w:tcBorders>
              <w:top w:val="single" w:color="C8D4E8" w:sz="1"/>
              <w:left w:val="single" w:color="C8D4E8" w:sz="1"/>
              <w:bottom w:val="single" w:color="C8D4E8" w:sz="1"/>
              <w:right w:val="single" w:color="C8D4E8" w:sz="1"/>
            </w:tcBorders>
            <w:tcMar>
              <w:top w:type="dxa" w:w="100"/>
              <w:left w:type="dxa" w:w="160"/>
              <w:bottom w:type="dxa" w:w="100"/>
              <w:right w:type="dxa" w:w="160"/>
            </w:tcMar>
          </w:tcPr>
          <w:p>
            <w:r>
              <w:rPr>
                <w:rFonts w:ascii="Arial" w:cs="Arial" w:eastAsia="Arial" w:hAnsi="Arial"/>
                <w:sz w:val="20"/>
                <w:szCs w:val="20"/>
              </w:rPr>
              <w:t xml:space="preserve">Phase 3 — Project Documentation</w:t>
            </w:r>
          </w:p>
        </w:tc>
      </w:tr>
      <w:tr>
        <w:tc>
          <w:tcPr>
            <w:tcW w:type="dxa" w:w="2700"/>
            <w:tcBorders>
              <w:top w:val="single" w:color="C8D4E8" w:sz="1"/>
              <w:left w:val="single" w:color="C8D4E8" w:sz="1"/>
              <w:bottom w:val="single" w:color="C8D4E8" w:sz="1"/>
              <w:right w:val="single" w:color="C8D4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Submitted By</w:t>
            </w:r>
          </w:p>
        </w:tc>
        <w:tc>
          <w:tcPr>
            <w:tcW w:type="dxa" w:w="4500"/>
            <w:tcBorders>
              <w:top w:val="single" w:color="C8D4E8" w:sz="1"/>
              <w:left w:val="single" w:color="C8D4E8" w:sz="1"/>
              <w:bottom w:val="single" w:color="C8D4E8" w:sz="1"/>
              <w:right w:val="single" w:color="C8D4E8" w:sz="1"/>
            </w:tcBorders>
            <w:tcMar>
              <w:top w:type="dxa" w:w="100"/>
              <w:left w:type="dxa" w:w="160"/>
              <w:bottom w:type="dxa" w:w="100"/>
              <w:right w:type="dxa" w:w="160"/>
            </w:tcMar>
          </w:tcPr>
          <w:p>
            <w:r>
              <w:rPr>
                <w:rFonts w:ascii="Arial" w:cs="Arial" w:eastAsia="Arial" w:hAnsi="Arial"/>
                <w:sz w:val="20"/>
                <w:szCs w:val="20"/>
              </w:rPr>
              <w:t xml:space="preserve">[Student Name(s)]</w:t>
            </w:r>
          </w:p>
        </w:tc>
      </w:tr>
      <w:tr>
        <w:tc>
          <w:tcPr>
            <w:tcW w:type="dxa" w:w="2700"/>
            <w:tcBorders>
              <w:top w:val="single" w:color="C8D4E8" w:sz="1"/>
              <w:left w:val="single" w:color="C8D4E8" w:sz="1"/>
              <w:bottom w:val="single" w:color="C8D4E8" w:sz="1"/>
              <w:right w:val="single" w:color="C8D4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Roll Number(s)</w:t>
            </w:r>
          </w:p>
        </w:tc>
        <w:tc>
          <w:tcPr>
            <w:tcW w:type="dxa" w:w="4500"/>
            <w:tcBorders>
              <w:top w:val="single" w:color="C8D4E8" w:sz="1"/>
              <w:left w:val="single" w:color="C8D4E8" w:sz="1"/>
              <w:bottom w:val="single" w:color="C8D4E8" w:sz="1"/>
              <w:right w:val="single" w:color="C8D4E8" w:sz="1"/>
            </w:tcBorders>
            <w:tcMar>
              <w:top w:type="dxa" w:w="100"/>
              <w:left w:type="dxa" w:w="160"/>
              <w:bottom w:type="dxa" w:w="100"/>
              <w:right w:type="dxa" w:w="160"/>
            </w:tcMar>
          </w:tcPr>
          <w:p>
            <w:r>
              <w:rPr>
                <w:rFonts w:ascii="Arial" w:cs="Arial" w:eastAsia="Arial" w:hAnsi="Arial"/>
                <w:sz w:val="20"/>
                <w:szCs w:val="20"/>
              </w:rPr>
              <w:t xml:space="preserve">[Roll No.]</w:t>
            </w:r>
          </w:p>
        </w:tc>
      </w:tr>
      <w:tr>
        <w:tc>
          <w:tcPr>
            <w:tcW w:type="dxa" w:w="2700"/>
            <w:tcBorders>
              <w:top w:val="single" w:color="C8D4E8" w:sz="1"/>
              <w:left w:val="single" w:color="C8D4E8" w:sz="1"/>
              <w:bottom w:val="single" w:color="C8D4E8" w:sz="1"/>
              <w:right w:val="single" w:color="C8D4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Supervisor</w:t>
            </w:r>
          </w:p>
        </w:tc>
        <w:tc>
          <w:tcPr>
            <w:tcW w:type="dxa" w:w="4500"/>
            <w:tcBorders>
              <w:top w:val="single" w:color="C8D4E8" w:sz="1"/>
              <w:left w:val="single" w:color="C8D4E8" w:sz="1"/>
              <w:bottom w:val="single" w:color="C8D4E8" w:sz="1"/>
              <w:right w:val="single" w:color="C8D4E8" w:sz="1"/>
            </w:tcBorders>
            <w:tcMar>
              <w:top w:type="dxa" w:w="100"/>
              <w:left w:type="dxa" w:w="160"/>
              <w:bottom w:type="dxa" w:w="100"/>
              <w:right w:type="dxa" w:w="160"/>
            </w:tcMar>
          </w:tcPr>
          <w:p>
            <w:r>
              <w:rPr>
                <w:rFonts w:ascii="Arial" w:cs="Arial" w:eastAsia="Arial" w:hAnsi="Arial"/>
                <w:sz w:val="20"/>
                <w:szCs w:val="20"/>
              </w:rPr>
              <w:t xml:space="preserve">[Supervisor Name &amp; Designation]</w:t>
            </w:r>
          </w:p>
        </w:tc>
      </w:tr>
      <w:tr>
        <w:tc>
          <w:tcPr>
            <w:tcW w:type="dxa" w:w="2700"/>
            <w:tcBorders>
              <w:top w:val="single" w:color="C8D4E8" w:sz="1"/>
              <w:left w:val="single" w:color="C8D4E8" w:sz="1"/>
              <w:bottom w:val="single" w:color="C8D4E8" w:sz="1"/>
              <w:right w:val="single" w:color="C8D4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4500"/>
            <w:tcBorders>
              <w:top w:val="single" w:color="C8D4E8" w:sz="1"/>
              <w:left w:val="single" w:color="C8D4E8" w:sz="1"/>
              <w:bottom w:val="single" w:color="C8D4E8" w:sz="1"/>
              <w:right w:val="single" w:color="C8D4E8" w:sz="1"/>
            </w:tcBorders>
            <w:tcMar>
              <w:top w:type="dxa" w:w="100"/>
              <w:left w:type="dxa" w:w="160"/>
              <w:bottom w:type="dxa" w:w="100"/>
              <w:right w:type="dxa" w:w="160"/>
            </w:tcMar>
          </w:tcPr>
          <w:p>
            <w:r>
              <w:rPr>
                <w:rFonts w:ascii="Arial" w:cs="Arial" w:eastAsia="Arial" w:hAnsi="Arial"/>
                <w:sz w:val="20"/>
                <w:szCs w:val="20"/>
              </w:rPr>
              <w:t xml:space="preserve">v1.0 — Final Submission</w:t>
            </w:r>
          </w:p>
        </w:tc>
      </w:tr>
      <w:tr>
        <w:tc>
          <w:tcPr>
            <w:tcW w:type="dxa" w:w="2700"/>
            <w:tcBorders>
              <w:top w:val="single" w:color="C8D4E8" w:sz="1"/>
              <w:left w:val="single" w:color="C8D4E8" w:sz="1"/>
              <w:bottom w:val="single" w:color="C8D4E8" w:sz="1"/>
              <w:right w:val="single" w:color="C8D4E8"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Submission Date</w:t>
            </w:r>
          </w:p>
        </w:tc>
        <w:tc>
          <w:tcPr>
            <w:tcW w:type="dxa" w:w="4500"/>
            <w:tcBorders>
              <w:top w:val="single" w:color="C8D4E8" w:sz="1"/>
              <w:left w:val="single" w:color="C8D4E8" w:sz="1"/>
              <w:bottom w:val="single" w:color="C8D4E8" w:sz="1"/>
              <w:right w:val="single" w:color="C8D4E8" w:sz="1"/>
            </w:tcBorders>
            <w:tcMar>
              <w:top w:type="dxa" w:w="100"/>
              <w:left w:type="dxa" w:w="160"/>
              <w:bottom w:type="dxa" w:w="100"/>
              <w:right w:type="dxa" w:w="160"/>
            </w:tcMar>
          </w:tcPr>
          <w:p>
            <w:r>
              <w:rPr>
                <w:rFonts w:ascii="Arial" w:cs="Arial" w:eastAsia="Arial" w:hAnsi="Arial"/>
                <w:sz w:val="20"/>
                <w:szCs w:val="20"/>
              </w:rPr>
              <w:t xml:space="preserve">March 2026</w:t>
            </w:r>
          </w:p>
        </w:tc>
      </w:tr>
    </w:tbl>
    <w:p>
      <w:pPr>
        <w:spacing w:before="1100" w:after="0"/>
      </w:pPr>
      <w:r>
        <w:rPr>
          <w:rFonts w:ascii="Arial" w:cs="Arial" w:eastAsia="Arial" w:hAnsi="Arial"/>
          <w:sz w:val="22"/>
          <w:szCs w:val="22"/>
        </w:rPr>
        <w:t xml:space="preserve"/>
      </w:r>
    </w:p>
    <w:p>
      <w:pPr>
        <w:pBdr>
          <w:top w:val="single" w:color="1B3A6B" w:sz="10" w:space="10"/>
        </w:pBdr>
        <w:jc w:val="center"/>
      </w:pPr>
      <w:r>
        <w:rPr>
          <w:rFonts w:ascii="Arial" w:cs="Arial" w:eastAsia="Arial" w:hAnsi="Arial"/>
          <w:b/>
          <w:bCs/>
          <w:color w:val="555555"/>
          <w:sz w:val="18"/>
          <w:szCs w:val="18"/>
        </w:rPr>
        <w:t xml:space="preserve">CONFIDENTIAL — FOR ACADEMIC PURPOSES ONLY</w:t>
      </w:r>
    </w:p>
    <w:p>
      <w:pPr>
        <w:sectPr>
          <w:pgSz w:w="12240" w:h="15840" w:orient="portrait"/>
          <w:pgMar w:top="1440" w:right="1440" w:bottom="1440" w:left="1440" w:header="708" w:footer="708" w:gutter="0"/>
          <w:pgNumType/>
          <w:docGrid w:linePitch="360"/>
        </w:sectPr>
      </w:pPr>
    </w:p>
    <w:p>
      <w:pPr>
        <w:pStyle w:val="Heading1"/>
        <w:pBdr>
          <w:bottom w:val="single" w:color="1B3A6B" w:sz="6" w:space="6"/>
        </w:pBdr>
        <w:spacing w:before="500" w:after="200"/>
      </w:pPr>
      <w:r>
        <w:rPr>
          <w:rFonts w:ascii="Arial" w:cs="Arial" w:eastAsia="Arial" w:hAnsi="Arial"/>
          <w:b/>
          <w:bCs/>
          <w:color w:val="1B3A6B"/>
          <w:sz w:val="32"/>
          <w:szCs w:val="32"/>
        </w:rPr>
        <w:t xml:space="preserve">3.1  Introduction and Purpose of Documentation</w:t>
      </w:r>
    </w:p>
    <w:p>
      <w:pPr>
        <w:spacing w:before="80" w:after="120"/>
        <w:jc w:val="both"/>
      </w:pPr>
      <w:r>
        <w:rPr>
          <w:rFonts w:ascii="Arial" w:cs="Arial" w:eastAsia="Arial" w:hAnsi="Arial"/>
          <w:sz w:val="22"/>
          <w:szCs w:val="22"/>
        </w:rPr>
        <w:t xml:space="preserve">The Project Documentation Phase represents the third and consolidating phase of the academic project lifecycle for the Smart Student Portal System. Whereas the preceding phases were primarily concerned with the identification of requirements and the formulation of a design blueprint, this phase serves the distinct purpose of producing a comprehensive, self-contained body of documentation that formally records every significant aspect of the project — from its conceptual origins through to its final deliverable state.</w:t>
      </w:r>
    </w:p>
    <w:p>
      <w:pPr>
        <w:spacing w:before="80" w:after="120"/>
        <w:jc w:val="both"/>
      </w:pPr>
      <w:r>
        <w:rPr>
          <w:rFonts w:ascii="Arial" w:cs="Arial" w:eastAsia="Arial" w:hAnsi="Arial"/>
          <w:sz w:val="22"/>
          <w:szCs w:val="22"/>
        </w:rPr>
        <w:t xml:space="preserve">Effective technical documentation fulfils multiple critical functions within the context of an academic software project. It provides a permanent and authoritative reference for the system's architecture, functionality, and operational procedures; it facilitates knowledge transfer to future maintainers and stakeholders; it demonstrates compliance with the requirements specification and design artefacts produced in earlier phases; and it constitutes a formal academic submission that evidences the rigour and professionalism of the development team's approach.</w:t>
      </w:r>
    </w:p>
    <w:p>
      <w:pPr>
        <w:spacing w:before="80" w:after="120"/>
        <w:jc w:val="both"/>
      </w:pPr>
      <w:r>
        <w:rPr>
          <w:rFonts w:ascii="Arial" w:cs="Arial" w:eastAsia="Arial" w:hAnsi="Arial"/>
          <w:sz w:val="22"/>
          <w:szCs w:val="22"/>
        </w:rPr>
        <w:t xml:space="preserve">This document is structured to address all standard documentation categories recognised in professional software engineering practice, including system overview documentation, technical reference documentation, user documentation, testing documentation, deployment documentation, and project management documentation. Each category is presented with the depth and formality appropriate to a final-year college project report.</w:t>
      </w:r>
    </w:p>
    <w:p>
      <w:pPr>
        <w:pStyle w:val="Heading1"/>
        <w:pBdr>
          <w:bottom w:val="single" w:color="1B3A6B" w:sz="6" w:space="6"/>
        </w:pBdr>
        <w:spacing w:before="500" w:after="200"/>
      </w:pPr>
      <w:r>
        <w:rPr>
          <w:rFonts w:ascii="Arial" w:cs="Arial" w:eastAsia="Arial" w:hAnsi="Arial"/>
          <w:b/>
          <w:bCs/>
          <w:color w:val="1B3A6B"/>
          <w:sz w:val="32"/>
          <w:szCs w:val="32"/>
        </w:rPr>
        <w:t xml:space="preserve">3.2  Document Control and Version History</w:t>
      </w:r>
    </w:p>
    <w:p>
      <w:pPr>
        <w:pStyle w:val="Heading2"/>
        <w:spacing w:before="320" w:after="160"/>
      </w:pPr>
      <w:r>
        <w:rPr>
          <w:rFonts w:ascii="Arial" w:cs="Arial" w:eastAsia="Arial" w:hAnsi="Arial"/>
          <w:b/>
          <w:bCs/>
          <w:color w:val="2C5898"/>
          <w:sz w:val="26"/>
          <w:szCs w:val="26"/>
        </w:rPr>
        <w:t xml:space="preserve">3.2.1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Document Title</w:t>
            </w:r>
          </w:p>
        </w:tc>
        <w:tc>
          <w:tcPr>
            <w:tcW w:type="dxa" w:w="6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Project Documentation — Smart Student Portal System</w:t>
            </w:r>
          </w:p>
        </w:tc>
      </w:tr>
      <w:tr>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Document Identifier</w:t>
            </w:r>
          </w:p>
        </w:tc>
        <w:tc>
          <w:tcPr>
            <w:tcW w:type="dxa" w:w="6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SSPS-DOC-PH3-v1.0</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Document Type</w:t>
            </w:r>
          </w:p>
        </w:tc>
        <w:tc>
          <w:tcPr>
            <w:tcW w:type="dxa" w:w="6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Academic Project Report — Phase 3 Submission</w:t>
            </w:r>
          </w:p>
        </w:tc>
      </w:tr>
      <w:tr>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Project Name</w:t>
            </w:r>
          </w:p>
        </w:tc>
        <w:tc>
          <w:tcPr>
            <w:tcW w:type="dxa" w:w="6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Smart Student Portal System</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Prepared By</w:t>
            </w:r>
          </w:p>
        </w:tc>
        <w:tc>
          <w:tcPr>
            <w:tcW w:type="dxa" w:w="6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 Name(s)] — Development Team</w:t>
            </w:r>
          </w:p>
        </w:tc>
      </w:tr>
      <w:tr>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Reviewed By</w:t>
            </w:r>
          </w:p>
        </w:tc>
        <w:tc>
          <w:tcPr>
            <w:tcW w:type="dxa" w:w="6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[Supervisor Name &amp; Designation]</w:t>
            </w:r>
          </w:p>
        </w:tc>
      </w:tr>
      <w:tr>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Document Status</w:t>
            </w:r>
          </w:p>
        </w:tc>
        <w:tc>
          <w:tcPr>
            <w:tcW w:type="dxa" w:w="6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Final — Approved for Submission</w:t>
            </w:r>
          </w:p>
        </w:tc>
      </w:tr>
      <w:tr>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Last Updated</w:t>
            </w:r>
          </w:p>
        </w:tc>
        <w:tc>
          <w:tcPr>
            <w:tcW w:type="dxa" w:w="6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March 2026</w:t>
            </w:r>
          </w:p>
        </w:tc>
      </w:tr>
    </w:tbl>
    <w:p>
      <w:pPr>
        <w:spacing w:before="60" w:after="180"/>
        <w:jc w:val="center"/>
      </w:pPr>
      <w:r>
        <w:rPr>
          <w:rFonts w:ascii="Arial" w:cs="Arial" w:eastAsia="Arial" w:hAnsi="Arial"/>
          <w:i/>
          <w:iCs/>
          <w:color w:val="555555"/>
          <w:sz w:val="18"/>
          <w:szCs w:val="18"/>
        </w:rPr>
        <w:t xml:space="preserve">Table 3.1 — Document Information</w:t>
      </w:r>
    </w:p>
    <w:p>
      <w:pPr>
        <w:pStyle w:val="Heading2"/>
        <w:spacing w:before="320" w:after="160"/>
      </w:pPr>
      <w:r>
        <w:rPr>
          <w:rFonts w:ascii="Arial" w:cs="Arial" w:eastAsia="Arial" w:hAnsi="Arial"/>
          <w:b/>
          <w:bCs/>
          <w:color w:val="2C5898"/>
          <w:sz w:val="26"/>
          <w:szCs w:val="26"/>
        </w:rPr>
        <w:t xml:space="preserve">3.2.2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3760"/>
      </w:tblGrid>
      <w:tr>
        <w:trPr>
          <w:tblHeader/>
        </w:trPr>
        <w:tc>
          <w:tcPr>
            <w:tcW w:type="dxa" w:w="1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Author</w:t>
            </w:r>
          </w:p>
        </w:tc>
        <w:tc>
          <w:tcPr>
            <w:tcW w:type="dxa" w:w="37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of Changes</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v0.1</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Feb 20, 2026</w:t>
            </w:r>
          </w:p>
        </w:tc>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 Name 1]</w:t>
            </w:r>
          </w:p>
        </w:tc>
        <w:tc>
          <w:tcPr>
            <w:tcW w:type="dxa" w:w="3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Initial draft — system overview and introduction sections created.</w:t>
            </w:r>
          </w:p>
        </w:tc>
      </w:tr>
      <w:tr>
        <w:tc>
          <w:tcPr>
            <w:tcW w:type="dxa" w:w="1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v0.2</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Feb 27, 2026</w:t>
            </w:r>
          </w:p>
        </w:tc>
        <w:tc>
          <w:tcPr>
            <w:tcW w:type="dxa" w:w="2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[Student Name 2]</w:t>
            </w:r>
          </w:p>
        </w:tc>
        <w:tc>
          <w:tcPr>
            <w:tcW w:type="dxa" w:w="3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Added technical reference, module descriptions, and API documentation.</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v0.3</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Mar 04, 2026</w:t>
            </w:r>
          </w:p>
        </w:tc>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 Name 3]</w:t>
            </w:r>
          </w:p>
        </w:tc>
        <w:tc>
          <w:tcPr>
            <w:tcW w:type="dxa" w:w="3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Incorporated database documentation and data dictionary.</w:t>
            </w:r>
          </w:p>
        </w:tc>
      </w:tr>
      <w:tr>
        <w:tc>
          <w:tcPr>
            <w:tcW w:type="dxa" w:w="1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v0.4</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Mar 07, 2026</w:t>
            </w:r>
          </w:p>
        </w:tc>
        <w:tc>
          <w:tcPr>
            <w:tcW w:type="dxa" w:w="2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[Student Name 4]</w:t>
            </w:r>
          </w:p>
        </w:tc>
        <w:tc>
          <w:tcPr>
            <w:tcW w:type="dxa" w:w="3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Added user manual, testing documentation, and deployment guide.</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v0.9</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Mar 10, 2026</w:t>
            </w:r>
          </w:p>
        </w:tc>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Development Team</w:t>
            </w:r>
          </w:p>
        </w:tc>
        <w:tc>
          <w:tcPr>
            <w:tcW w:type="dxa" w:w="3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Full draft compiled; internal peer review completed; revisions applied.</w:t>
            </w:r>
          </w:p>
        </w:tc>
      </w:tr>
      <w:tr>
        <w:tc>
          <w:tcPr>
            <w:tcW w:type="dxa" w:w="1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v1.0</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Mar 2026</w:t>
            </w:r>
          </w:p>
        </w:tc>
        <w:tc>
          <w:tcPr>
            <w:tcW w:type="dxa" w:w="2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Development Team</w:t>
            </w:r>
          </w:p>
        </w:tc>
        <w:tc>
          <w:tcPr>
            <w:tcW w:type="dxa" w:w="3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Final version — supervisor review completed and approved for submission.</w:t>
            </w:r>
          </w:p>
        </w:tc>
      </w:tr>
    </w:tbl>
    <w:p>
      <w:pPr>
        <w:spacing w:before="60" w:after="180"/>
        <w:jc w:val="center"/>
      </w:pPr>
      <w:r>
        <w:rPr>
          <w:rFonts w:ascii="Arial" w:cs="Arial" w:eastAsia="Arial" w:hAnsi="Arial"/>
          <w:i/>
          <w:iCs/>
          <w:color w:val="555555"/>
          <w:sz w:val="18"/>
          <w:szCs w:val="18"/>
        </w:rPr>
        <w:t xml:space="preserve">Table 3.2 — Document Revision History</w:t>
      </w:r>
    </w:p>
    <w:p>
      <w:pPr>
        <w:pStyle w:val="Heading1"/>
        <w:pBdr>
          <w:bottom w:val="single" w:color="1B3A6B" w:sz="6" w:space="6"/>
        </w:pBdr>
        <w:spacing w:before="500" w:after="200"/>
      </w:pPr>
      <w:r>
        <w:rPr>
          <w:rFonts w:ascii="Arial" w:cs="Arial" w:eastAsia="Arial" w:hAnsi="Arial"/>
          <w:b/>
          <w:bCs/>
          <w:color w:val="1B3A6B"/>
          <w:sz w:val="32"/>
          <w:szCs w:val="32"/>
        </w:rPr>
        <w:t xml:space="preserve">3.3  System Overview Documentation</w:t>
      </w:r>
    </w:p>
    <w:p>
      <w:pPr>
        <w:pStyle w:val="Heading2"/>
        <w:spacing w:before="320" w:after="160"/>
      </w:pPr>
      <w:r>
        <w:rPr>
          <w:rFonts w:ascii="Arial" w:cs="Arial" w:eastAsia="Arial" w:hAnsi="Arial"/>
          <w:b/>
          <w:bCs/>
          <w:color w:val="2C5898"/>
          <w:sz w:val="26"/>
          <w:szCs w:val="26"/>
        </w:rPr>
        <w:t xml:space="preserve">3.3.1  Project Abstract</w:t>
      </w:r>
    </w:p>
    <w:p>
      <w:pPr>
        <w:spacing w:before="80" w:after="120"/>
        <w:jc w:val="both"/>
      </w:pPr>
      <w:r>
        <w:rPr>
          <w:rFonts w:ascii="Arial" w:cs="Arial" w:eastAsia="Arial" w:hAnsi="Arial"/>
          <w:sz w:val="22"/>
          <w:szCs w:val="22"/>
        </w:rPr>
        <w:t xml:space="preserve">The Smart Student Portal System is a full-stack, role-based web application engineered to centralise and streamline the academic administration processes of a higher education institution. The system provides a unified digital environment for three primary user classes — Students, Faculty Members, and System Administrators — each of whom interacts with a tailored set of features commensurate with their institutional role and access privileges.</w:t>
      </w:r>
    </w:p>
    <w:p>
      <w:pPr>
        <w:spacing w:before="80" w:after="120"/>
        <w:jc w:val="both"/>
      </w:pPr>
      <w:r>
        <w:rPr>
          <w:rFonts w:ascii="Arial" w:cs="Arial" w:eastAsia="Arial" w:hAnsi="Arial"/>
          <w:sz w:val="22"/>
          <w:szCs w:val="22"/>
        </w:rPr>
        <w:t xml:space="preserve">The application is implemented using a modern JavaScript technology stack: React.js powers the single-page front-end application, Node.js with Express.js provides the RESTful API back-end, and PostgreSQL serves as the relational database management system, accessed via the Prisma ORM. The system is deployed on a containerised cloud infrastructure utilising Docker and Amazon Web Services.</w:t>
      </w:r>
    </w:p>
    <w:p>
      <w:pPr>
        <w:pStyle w:val="Heading2"/>
        <w:spacing w:before="320" w:after="160"/>
      </w:pPr>
      <w:r>
        <w:rPr>
          <w:rFonts w:ascii="Arial" w:cs="Arial" w:eastAsia="Arial" w:hAnsi="Arial"/>
          <w:b/>
          <w:bCs/>
          <w:color w:val="2C5898"/>
          <w:sz w:val="26"/>
          <w:szCs w:val="26"/>
        </w:rPr>
        <w:t xml:space="preserve">3.3.2  System Context and Boundaries</w:t>
      </w:r>
    </w:p>
    <w:p>
      <w:pPr>
        <w:spacing w:before="80" w:after="120"/>
        <w:jc w:val="both"/>
      </w:pPr>
      <w:r>
        <w:rPr>
          <w:rFonts w:ascii="Arial" w:cs="Arial" w:eastAsia="Arial" w:hAnsi="Arial"/>
          <w:sz w:val="22"/>
          <w:szCs w:val="22"/>
        </w:rPr>
        <w:t xml:space="preserve">The Smart Student Portal System operates within the institutional IT environment as a standalone web application. It interfaces with the following external systems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External System</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Interface Type</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Institutional Email Server (SMTP)</w:t>
            </w:r>
          </w:p>
        </w:tc>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Outbound SMTP</w:t>
            </w:r>
          </w:p>
        </w:tc>
        <w:tc>
          <w:tcPr>
            <w:tcW w:type="dxa" w:w="4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Delivery of password reset links, grade notifications, and system alerts.</w:t>
            </w:r>
          </w:p>
        </w:tc>
      </w:tr>
      <w:tr>
        <w:tc>
          <w:tcPr>
            <w:tcW w:type="dxa" w:w="2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AWS S3 Object Storage</w:t>
            </w:r>
          </w:p>
        </w:tc>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REST API (AWS SDK)</w:t>
            </w:r>
          </w:p>
        </w:tc>
        <w:tc>
          <w:tcPr>
            <w:tcW w:type="dxa" w:w="45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Persistent storage of student assignment submissions and course materials.</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AWS RDS (PostgreSQL)</w:t>
            </w:r>
          </w:p>
        </w:tc>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TCP/IP Database Connection</w:t>
            </w:r>
          </w:p>
        </w:tc>
        <w:tc>
          <w:tcPr>
            <w:tcW w:type="dxa" w:w="4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Primary relational data persistence for all application entities.</w:t>
            </w:r>
          </w:p>
        </w:tc>
      </w:tr>
      <w:tr>
        <w:tc>
          <w:tcPr>
            <w:tcW w:type="dxa" w:w="2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Redis Cache (AWS ElastiCache)</w:t>
            </w:r>
          </w:p>
        </w:tc>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Redis Protocol</w:t>
            </w:r>
          </w:p>
        </w:tc>
        <w:tc>
          <w:tcPr>
            <w:tcW w:type="dxa" w:w="45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JWT token blacklisting and session management for secure logout.</w:t>
            </w:r>
          </w:p>
        </w:tc>
      </w:tr>
      <w:tr>
        <w:tc>
          <w:tcPr>
            <w:tcW w:type="dxa" w:w="2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Nginx Reverse Proxy</w:t>
            </w:r>
          </w:p>
        </w:tc>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HTTP/HTTPS</w:t>
            </w:r>
          </w:p>
        </w:tc>
        <w:tc>
          <w:tcPr>
            <w:tcW w:type="dxa" w:w="4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SSL termination, static asset serving, and API request routing.</w:t>
            </w:r>
          </w:p>
        </w:tc>
      </w:tr>
    </w:tbl>
    <w:p>
      <w:pPr>
        <w:spacing w:before="60" w:after="180"/>
        <w:jc w:val="center"/>
      </w:pPr>
      <w:r>
        <w:rPr>
          <w:rFonts w:ascii="Arial" w:cs="Arial" w:eastAsia="Arial" w:hAnsi="Arial"/>
          <w:i/>
          <w:iCs/>
          <w:color w:val="555555"/>
          <w:sz w:val="18"/>
          <w:szCs w:val="18"/>
        </w:rPr>
        <w:t xml:space="preserve">Table 3.3 — External System Interfaces</w:t>
      </w:r>
    </w:p>
    <w:p>
      <w:pPr>
        <w:pStyle w:val="Heading2"/>
        <w:spacing w:before="320" w:after="160"/>
      </w:pPr>
      <w:r>
        <w:rPr>
          <w:rFonts w:ascii="Arial" w:cs="Arial" w:eastAsia="Arial" w:hAnsi="Arial"/>
          <w:b/>
          <w:bCs/>
          <w:color w:val="2C5898"/>
          <w:sz w:val="26"/>
          <w:szCs w:val="26"/>
        </w:rPr>
        <w:t xml:space="preserve">3.3.3  Key System Features Summary</w:t>
      </w:r>
    </w:p>
    <w:p>
      <w:pPr>
        <w:spacing w:before="80" w:after="120"/>
        <w:jc w:val="both"/>
      </w:pPr>
      <w:r>
        <w:rPr>
          <w:rFonts w:ascii="Arial" w:cs="Arial" w:eastAsia="Arial" w:hAnsi="Arial"/>
          <w:sz w:val="22"/>
          <w:szCs w:val="22"/>
        </w:rPr>
        <w:t xml:space="preserve">The following table provides a consolidated summary of all primary system features and their implementation status at the time of this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360"/>
        <w:gridCol w:w="1600"/>
        <w:gridCol w:w="1800"/>
      </w:tblGrid>
      <w:tr>
        <w:trPr>
          <w:tblHeader/>
        </w:trPr>
        <w:tc>
          <w:tcPr>
            <w:tcW w:type="dxa" w:w="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23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 Role(s)</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4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3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Secure login with JWT authentication</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Authentication</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All</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3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Role-based dashboard with personalised widgets</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Dashboard</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All</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Course catalog browsing and search</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Courses</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 Admin</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3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Online course enrollment and drop</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Enrollment</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Student</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3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Course materials upload and download</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Resources</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Faculty, Student</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3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Assignment creation and publishing</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Assignments</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Faculty</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3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File-based assignment submission portal</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Assignments</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8</w:t>
            </w:r>
          </w:p>
        </w:tc>
        <w:tc>
          <w:tcPr>
            <w:tcW w:type="dxa" w:w="3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Attendance recording per session</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Attendance</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Faculty</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3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 attendance history and percentage</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Attendance</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10</w:t>
            </w:r>
          </w:p>
        </w:tc>
        <w:tc>
          <w:tcPr>
            <w:tcW w:type="dxa" w:w="3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Grade submission and publication</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Grades</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Faculty, Student</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11</w:t>
            </w:r>
          </w:p>
        </w:tc>
        <w:tc>
          <w:tcPr>
            <w:tcW w:type="dxa" w:w="3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In-app notification and alert system</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Notifications</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All</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12</w:t>
            </w:r>
          </w:p>
        </w:tc>
        <w:tc>
          <w:tcPr>
            <w:tcW w:type="dxa" w:w="3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Automated email notifications</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Notifications</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All</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13</w:t>
            </w:r>
          </w:p>
        </w:tc>
        <w:tc>
          <w:tcPr>
            <w:tcW w:type="dxa" w:w="3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User account management panel</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Administration</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Admin</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14</w:t>
            </w:r>
          </w:p>
        </w:tc>
        <w:tc>
          <w:tcPr>
            <w:tcW w:type="dxa" w:w="3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Enrollment and grade report generation</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Reporting</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Admin</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Completed</w:t>
            </w:r>
          </w:p>
        </w:tc>
      </w:tr>
      <w:tr>
        <w:tc>
          <w:tcPr>
            <w:tcW w:type="dxa" w:w="4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c>
          <w:tcPr>
            <w:tcW w:type="dxa" w:w="3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Announcement publishing and management</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Communication</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Faculty, Admin</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Completed</w:t>
            </w:r>
          </w:p>
        </w:tc>
      </w:tr>
    </w:tbl>
    <w:p>
      <w:pPr>
        <w:spacing w:before="60" w:after="180"/>
        <w:jc w:val="center"/>
      </w:pPr>
      <w:r>
        <w:rPr>
          <w:rFonts w:ascii="Arial" w:cs="Arial" w:eastAsia="Arial" w:hAnsi="Arial"/>
          <w:i/>
          <w:iCs/>
          <w:color w:val="555555"/>
          <w:sz w:val="18"/>
          <w:szCs w:val="18"/>
        </w:rPr>
        <w:t xml:space="preserve">Table 3.4 — System Feature Summary</w:t>
      </w:r>
    </w:p>
    <w:p>
      <w:pPr>
        <w:pStyle w:val="Heading1"/>
        <w:pBdr>
          <w:bottom w:val="single" w:color="1B3A6B" w:sz="6" w:space="6"/>
        </w:pBdr>
        <w:spacing w:before="500" w:after="200"/>
      </w:pPr>
      <w:r>
        <w:rPr>
          <w:rFonts w:ascii="Arial" w:cs="Arial" w:eastAsia="Arial" w:hAnsi="Arial"/>
          <w:b/>
          <w:bCs/>
          <w:color w:val="1B3A6B"/>
          <w:sz w:val="32"/>
          <w:szCs w:val="32"/>
        </w:rPr>
        <w:t xml:space="preserve">3.4  Technical Reference Documentation</w:t>
      </w:r>
    </w:p>
    <w:p>
      <w:pPr>
        <w:pStyle w:val="Heading2"/>
        <w:spacing w:before="320" w:after="160"/>
      </w:pPr>
      <w:r>
        <w:rPr>
          <w:rFonts w:ascii="Arial" w:cs="Arial" w:eastAsia="Arial" w:hAnsi="Arial"/>
          <w:b/>
          <w:bCs/>
          <w:color w:val="2C5898"/>
          <w:sz w:val="26"/>
          <w:szCs w:val="26"/>
        </w:rPr>
        <w:t xml:space="preserve">3.4.1  Module Architecture Overview</w:t>
      </w:r>
    </w:p>
    <w:p>
      <w:pPr>
        <w:spacing w:before="80" w:after="120"/>
        <w:jc w:val="both"/>
      </w:pPr>
      <w:r>
        <w:rPr>
          <w:rFonts w:ascii="Arial" w:cs="Arial" w:eastAsia="Arial" w:hAnsi="Arial"/>
          <w:sz w:val="22"/>
          <w:szCs w:val="22"/>
        </w:rPr>
        <w:t xml:space="preserve">The application back-end is decomposed into the following primary modules, each encapsulating a discrete domain of the system. Modules are implemented as independent Node.js directories, each containing its own route definitions, controller, service, and repository files, adhering to the layered architecture defined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33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Directory Path</w:t>
            </w:r>
          </w:p>
        </w:tc>
        <w:tc>
          <w:tcPr>
            <w:tcW w:type="dxa" w:w="4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Responsibilities</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Auth</w:t>
            </w:r>
          </w:p>
        </w:tc>
        <w:tc>
          <w:tcPr>
            <w:tcW w:type="dxa" w:w="3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/src/modules/auth/</w:t>
            </w:r>
          </w:p>
        </w:tc>
        <w:tc>
          <w:tcPr>
            <w:tcW w:type="dxa" w:w="4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User login, logout, token issuance, password reset.</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Users</w:t>
            </w:r>
          </w:p>
        </w:tc>
        <w:tc>
          <w:tcPr>
            <w:tcW w:type="dxa" w:w="3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/src/modules/users/</w:t>
            </w:r>
          </w:p>
        </w:tc>
        <w:tc>
          <w:tcPr>
            <w:tcW w:type="dxa" w:w="4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User profile retrieval, update, and role assignment.</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Courses</w:t>
            </w:r>
          </w:p>
        </w:tc>
        <w:tc>
          <w:tcPr>
            <w:tcW w:type="dxa" w:w="3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/src/modules/courses/</w:t>
            </w:r>
          </w:p>
        </w:tc>
        <w:tc>
          <w:tcPr>
            <w:tcW w:type="dxa" w:w="4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Course CRUD operations, faculty assignment, course search.</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Enrollment</w:t>
            </w:r>
          </w:p>
        </w:tc>
        <w:tc>
          <w:tcPr>
            <w:tcW w:type="dxa" w:w="3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/src/modules/enrollment/</w:t>
            </w:r>
          </w:p>
        </w:tc>
        <w:tc>
          <w:tcPr>
            <w:tcW w:type="dxa" w:w="4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Student enrollment, drop operations, and status tracking.</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Assignments</w:t>
            </w:r>
          </w:p>
        </w:tc>
        <w:tc>
          <w:tcPr>
            <w:tcW w:type="dxa" w:w="3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/src/modules/assignments/</w:t>
            </w:r>
          </w:p>
        </w:tc>
        <w:tc>
          <w:tcPr>
            <w:tcW w:type="dxa" w:w="4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Assignment creation, publishing, submission handling, grading.</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Attendance</w:t>
            </w:r>
          </w:p>
        </w:tc>
        <w:tc>
          <w:tcPr>
            <w:tcW w:type="dxa" w:w="3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/src/modules/attendance/</w:t>
            </w:r>
          </w:p>
        </w:tc>
        <w:tc>
          <w:tcPr>
            <w:tcW w:type="dxa" w:w="4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Session attendance recording and history retrieval.</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Grades</w:t>
            </w:r>
          </w:p>
        </w:tc>
        <w:tc>
          <w:tcPr>
            <w:tcW w:type="dxa" w:w="3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/src/modules/grades/</w:t>
            </w:r>
          </w:p>
        </w:tc>
        <w:tc>
          <w:tcPr>
            <w:tcW w:type="dxa" w:w="4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Grade entry, update, publication, and GPA computation.</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Notifications</w:t>
            </w:r>
          </w:p>
        </w:tc>
        <w:tc>
          <w:tcPr>
            <w:tcW w:type="dxa" w:w="3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/src/modules/notifications/</w:t>
            </w:r>
          </w:p>
        </w:tc>
        <w:tc>
          <w:tcPr>
            <w:tcW w:type="dxa" w:w="4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In-app notification creation, retrieval, and email dispatch.</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Reports</w:t>
            </w:r>
          </w:p>
        </w:tc>
        <w:tc>
          <w:tcPr>
            <w:tcW w:type="dxa" w:w="3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/src/modules/reports/</w:t>
            </w:r>
          </w:p>
        </w:tc>
        <w:tc>
          <w:tcPr>
            <w:tcW w:type="dxa" w:w="4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Enrollment and grade report generation; CSV/PDF export.</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Admin</w:t>
            </w:r>
          </w:p>
        </w:tc>
        <w:tc>
          <w:tcPr>
            <w:tcW w:type="dxa" w:w="3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/src/modules/admin/</w:t>
            </w:r>
          </w:p>
        </w:tc>
        <w:tc>
          <w:tcPr>
            <w:tcW w:type="dxa" w:w="4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User management, audit logging, system configuration.</w:t>
            </w:r>
          </w:p>
        </w:tc>
      </w:tr>
    </w:tbl>
    <w:p>
      <w:pPr>
        <w:spacing w:before="60" w:after="180"/>
        <w:jc w:val="center"/>
      </w:pPr>
      <w:r>
        <w:rPr>
          <w:rFonts w:ascii="Arial" w:cs="Arial" w:eastAsia="Arial" w:hAnsi="Arial"/>
          <w:i/>
          <w:iCs/>
          <w:color w:val="555555"/>
          <w:sz w:val="18"/>
          <w:szCs w:val="18"/>
        </w:rPr>
        <w:t xml:space="preserve">Table 3.5 — Back-End Module Directory Structure</w:t>
      </w:r>
    </w:p>
    <w:p>
      <w:pPr>
        <w:pStyle w:val="Heading2"/>
        <w:spacing w:before="320" w:after="160"/>
      </w:pPr>
      <w:r>
        <w:rPr>
          <w:rFonts w:ascii="Arial" w:cs="Arial" w:eastAsia="Arial" w:hAnsi="Arial"/>
          <w:b/>
          <w:bCs/>
          <w:color w:val="2C5898"/>
          <w:sz w:val="26"/>
          <w:szCs w:val="26"/>
        </w:rPr>
        <w:t xml:space="preserve">3.4.2  Data Dictionary</w:t>
      </w:r>
    </w:p>
    <w:p>
      <w:pPr>
        <w:spacing w:before="80" w:after="120"/>
        <w:jc w:val="both"/>
      </w:pPr>
      <w:r>
        <w:rPr>
          <w:rFonts w:ascii="Arial" w:cs="Arial" w:eastAsia="Arial" w:hAnsi="Arial"/>
          <w:sz w:val="22"/>
          <w:szCs w:val="22"/>
        </w:rPr>
        <w:t xml:space="preserve">The following data dictionary defines the primary attributes of the four most critical database tables. All tables additionally include the standard audit columns: created_at (TIMESTAMPTZ, NOT NULL), updated_at (TIMESTAMPTZ, NOT NULL), and deleted_at (TIMESTAMPTZ, NULL — soft delete marker).</w:t>
      </w:r>
    </w:p>
    <w:p>
      <w:pPr>
        <w:pStyle w:val="Heading3"/>
        <w:spacing w:before="220" w:after="120"/>
      </w:pPr>
      <w:r>
        <w:rPr>
          <w:rFonts w:ascii="Arial" w:cs="Arial" w:eastAsia="Arial" w:hAnsi="Arial"/>
          <w:b/>
          <w:bCs/>
          <w:color w:val="3A6EAF"/>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Nullable</w:t>
            </w:r>
          </w:p>
        </w:tc>
        <w:tc>
          <w:tcPr>
            <w:tcW w:type="dxa" w:w="47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user_id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UUID</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Primary key; UUID v4 generated at application layer.</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email</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VARCHAR(255)</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Institutional email address; unique constraint enforced.</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password_hash</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VARCHAR(72)</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bcrypt hash of the user's password (cost factor 12).</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role</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ENUM('student', 'faculty', 'admin')</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Defines the user's access level and available features.</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full_name</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VARCHAR(200)</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User's full legal name for display and reports.</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is_active</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BOOLEAN</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FALSE indicates a deactivated account; defaults to TRUE.</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last_login_at</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TIMESTAMPTZ</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Timestamp of the user's most recent successful login.</w:t>
            </w:r>
          </w:p>
        </w:tc>
      </w:tr>
    </w:tbl>
    <w:p>
      <w:pPr>
        <w:spacing w:before="60" w:after="180"/>
        <w:jc w:val="center"/>
      </w:pPr>
      <w:r>
        <w:rPr>
          <w:rFonts w:ascii="Arial" w:cs="Arial" w:eastAsia="Arial" w:hAnsi="Arial"/>
          <w:i/>
          <w:iCs/>
          <w:color w:val="555555"/>
          <w:sz w:val="18"/>
          <w:szCs w:val="18"/>
        </w:rPr>
        <w:t xml:space="preserve">Table 3.6 — Data Dictionary: users</w:t>
      </w:r>
    </w:p>
    <w:p>
      <w:pPr>
        <w:pStyle w:val="Heading3"/>
        <w:spacing w:before="220" w:after="120"/>
      </w:pPr>
      <w:r>
        <w:rPr>
          <w:rFonts w:ascii="Arial" w:cs="Arial" w:eastAsia="Arial" w:hAnsi="Arial"/>
          <w:b/>
          <w:bCs/>
          <w:color w:val="3A6EAF"/>
          <w:sz w:val="24"/>
          <w:szCs w:val="24"/>
        </w:rPr>
        <w:t xml:space="preserve">Table: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Nullable</w:t>
            </w:r>
          </w:p>
        </w:tc>
        <w:tc>
          <w:tcPr>
            <w:tcW w:type="dxa" w:w="47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course_id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UUID</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Primary key; UUID v4.</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course_code</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VARCHAR(20)</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Unique institutional course code (e.g., CS401).</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title</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VARCHAR(200)</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Full course title as published in the catalog.</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description</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TEXT</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Optional detailed course description for students.</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credit_hours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SMALLINT</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Credit hour value assigned to the course (1–6).</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faculty_id</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UUID</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Foreign key referencing users(user_id); the assigned instructor.</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semester</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VARCHAR(20)</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Semester identifier (e.g., Spring-2026).</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is_published</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BOOLEAN</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TRUE makes the course visible in the student catalog.</w:t>
            </w:r>
          </w:p>
        </w:tc>
      </w:tr>
    </w:tbl>
    <w:p>
      <w:pPr>
        <w:spacing w:before="60" w:after="180"/>
        <w:jc w:val="center"/>
      </w:pPr>
      <w:r>
        <w:rPr>
          <w:rFonts w:ascii="Arial" w:cs="Arial" w:eastAsia="Arial" w:hAnsi="Arial"/>
          <w:i/>
          <w:iCs/>
          <w:color w:val="555555"/>
          <w:sz w:val="18"/>
          <w:szCs w:val="18"/>
        </w:rPr>
        <w:t xml:space="preserve">Table 3.7 — Data Dictionary: courses</w:t>
      </w:r>
    </w:p>
    <w:p>
      <w:pPr>
        <w:pStyle w:val="Heading3"/>
        <w:spacing w:before="220" w:after="120"/>
      </w:pPr>
      <w:r>
        <w:rPr>
          <w:rFonts w:ascii="Arial" w:cs="Arial" w:eastAsia="Arial" w:hAnsi="Arial"/>
          <w:b/>
          <w:bCs/>
          <w:color w:val="3A6EAF"/>
          <w:sz w:val="24"/>
          <w:szCs w:val="24"/>
        </w:rPr>
        <w:t xml:space="preserve">Table: 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Nullable</w:t>
            </w:r>
          </w:p>
        </w:tc>
        <w:tc>
          <w:tcPr>
            <w:tcW w:type="dxa" w:w="47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enrollment_id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UUID</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Primary key; UUID v4.</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student_id</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UUID</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FK to users(user_id); the enrolling student.</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course_id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UUID</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FK to courses(course_id); the enrolled course.</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status</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ENUM('active','dropped','completed')</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Current enrollment status of the student.</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final_grade</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DECIMAL(4,2)</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Final numeric grade (0.00–100.00); NULL until submitted.</w:t>
            </w:r>
          </w:p>
        </w:tc>
      </w:tr>
      <w:tr>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grade_letter</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VARCHAR(2)</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4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Computed letter grade (e.g., A+); NULL until published.</w:t>
            </w:r>
          </w:p>
        </w:tc>
      </w:tr>
      <w:tr>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enrolled_at</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TIMESTAMPTZ</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Timestamp of initial enrollment action.</w:t>
            </w:r>
          </w:p>
        </w:tc>
      </w:tr>
    </w:tbl>
    <w:p>
      <w:pPr>
        <w:spacing w:before="60" w:after="180"/>
        <w:jc w:val="center"/>
      </w:pPr>
      <w:r>
        <w:rPr>
          <w:rFonts w:ascii="Arial" w:cs="Arial" w:eastAsia="Arial" w:hAnsi="Arial"/>
          <w:i/>
          <w:iCs/>
          <w:color w:val="555555"/>
          <w:sz w:val="18"/>
          <w:szCs w:val="18"/>
        </w:rPr>
        <w:t xml:space="preserve">Table 3.8 — Data Dictionary: enrollments</w:t>
      </w:r>
    </w:p>
    <w:p>
      <w:pPr>
        <w:pStyle w:val="Heading2"/>
        <w:spacing w:before="320" w:after="160"/>
      </w:pPr>
      <w:r>
        <w:rPr>
          <w:rFonts w:ascii="Arial" w:cs="Arial" w:eastAsia="Arial" w:hAnsi="Arial"/>
          <w:b/>
          <w:bCs/>
          <w:color w:val="2C5898"/>
          <w:sz w:val="26"/>
          <w:szCs w:val="26"/>
        </w:rPr>
        <w:t xml:space="preserve">3.4.3  Environment Configuration</w:t>
      </w:r>
    </w:p>
    <w:p>
      <w:pPr>
        <w:spacing w:before="80" w:after="120"/>
        <w:jc w:val="both"/>
      </w:pPr>
      <w:r>
        <w:rPr>
          <w:rFonts w:ascii="Arial" w:cs="Arial" w:eastAsia="Arial" w:hAnsi="Arial"/>
          <w:sz w:val="22"/>
          <w:szCs w:val="22"/>
        </w:rPr>
        <w:t xml:space="preserve">The application requires the following environment variables to be defined in a .env file at the project root for local development, or injected as container environment variables in production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 Name</w:t>
            </w:r>
          </w:p>
        </w:tc>
        <w:tc>
          <w:tcPr>
            <w:tcW w:type="dxa" w:w="23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Required</w:t>
            </w:r>
          </w:p>
        </w:tc>
        <w:tc>
          <w:tcPr>
            <w:tcW w:type="dxa" w:w="4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DATABASE_URL</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PostgreSQL connection string in Prisma format.</w:t>
            </w:r>
          </w:p>
        </w:tc>
      </w:tr>
      <w:tr>
        <w:tc>
          <w:tcPr>
            <w:tcW w:type="dxa" w:w="2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JWT_SECRET</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Cryptographically random string (min. 64 chars) for JWT signing.</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JWT_EXPIRES_IN</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Access token expiry duration (e.g., 15m).</w:t>
            </w:r>
          </w:p>
        </w:tc>
      </w:tr>
      <w:tr>
        <w:tc>
          <w:tcPr>
            <w:tcW w:type="dxa" w:w="2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REFRESH_TOKEN_SECRET</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Separate secret for refresh token signing.</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REDIS_URL</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Redis connection URL for token blacklisting.</w:t>
            </w:r>
          </w:p>
        </w:tc>
      </w:tr>
      <w:tr>
        <w:tc>
          <w:tcPr>
            <w:tcW w:type="dxa" w:w="2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AWS_REGION</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AWS region identifier for S3 and SES services.</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AWS_S3_BUCKET_NAME</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Name of the S3 bucket for file upload storage.</w:t>
            </w:r>
          </w:p>
        </w:tc>
      </w:tr>
      <w:tr>
        <w:tc>
          <w:tcPr>
            <w:tcW w:type="dxa" w:w="2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SMTP_HOST</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SMTP server hostname for institutional email dispatch.</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SMTP_PORT</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SMTP server port (typically 587 for STARTTLS).</w:t>
            </w:r>
          </w:p>
        </w:tc>
      </w:tr>
      <w:tr>
        <w:tc>
          <w:tcPr>
            <w:tcW w:type="dxa" w:w="2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FRONTEND_URL</w:t>
            </w:r>
          </w:p>
        </w:tc>
        <w:tc>
          <w:tcPr>
            <w:tcW w:type="dxa" w:w="23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Public URL of the front-end application for CORS and redirects.</w:t>
            </w:r>
          </w:p>
        </w:tc>
      </w:tr>
      <w:tr>
        <w:tc>
          <w:tcPr>
            <w:tcW w:type="dxa" w:w="2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NODE_ENV</w:t>
            </w:r>
          </w:p>
        </w:tc>
        <w:tc>
          <w:tcPr>
            <w:tcW w:type="dxa" w:w="23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Runtime environment: development, test, or production.</w:t>
            </w:r>
          </w:p>
        </w:tc>
      </w:tr>
    </w:tbl>
    <w:p>
      <w:pPr>
        <w:spacing w:before="60" w:after="180"/>
        <w:jc w:val="center"/>
      </w:pPr>
      <w:r>
        <w:rPr>
          <w:rFonts w:ascii="Arial" w:cs="Arial" w:eastAsia="Arial" w:hAnsi="Arial"/>
          <w:i/>
          <w:iCs/>
          <w:color w:val="555555"/>
          <w:sz w:val="18"/>
          <w:szCs w:val="18"/>
        </w:rPr>
        <w:t xml:space="preserve">Table 3.9 — Environment Variable Reference</w:t>
      </w:r>
    </w:p>
    <w:p>
      <w:pPr>
        <w:pStyle w:val="Heading1"/>
        <w:pBdr>
          <w:bottom w:val="single" w:color="1B3A6B" w:sz="6" w:space="6"/>
        </w:pBdr>
        <w:spacing w:before="500" w:after="200"/>
      </w:pPr>
      <w:r>
        <w:rPr>
          <w:rFonts w:ascii="Arial" w:cs="Arial" w:eastAsia="Arial" w:hAnsi="Arial"/>
          <w:b/>
          <w:bCs/>
          <w:color w:val="1B3A6B"/>
          <w:sz w:val="32"/>
          <w:szCs w:val="32"/>
        </w:rPr>
        <w:t xml:space="preserve">3.5  User Manual</w:t>
      </w:r>
    </w:p>
    <w:p>
      <w:pPr>
        <w:pStyle w:val="Heading2"/>
        <w:spacing w:before="320" w:after="160"/>
      </w:pPr>
      <w:r>
        <w:rPr>
          <w:rFonts w:ascii="Arial" w:cs="Arial" w:eastAsia="Arial" w:hAnsi="Arial"/>
          <w:b/>
          <w:bCs/>
          <w:color w:val="2C5898"/>
          <w:sz w:val="26"/>
          <w:szCs w:val="26"/>
        </w:rPr>
        <w:t xml:space="preserve">3.5.1  Getting Started</w:t>
      </w:r>
    </w:p>
    <w:p>
      <w:pPr>
        <w:spacing w:before="80" w:after="120"/>
        <w:jc w:val="both"/>
      </w:pPr>
      <w:r>
        <w:rPr>
          <w:rFonts w:ascii="Arial" w:cs="Arial" w:eastAsia="Arial" w:hAnsi="Arial"/>
          <w:sz w:val="22"/>
          <w:szCs w:val="22"/>
        </w:rPr>
        <w:t xml:space="preserve">The Smart Student Portal System is accessible via any modern web browser (Google Chrome v110+, Mozilla Firefox v108+, Microsoft Edge v110+, or Safari v16+) without the requirement to install any client-side software. Users must possess a valid institutional email address and a system account provisioned by a System Administrator.</w:t>
      </w:r>
    </w:p>
    <w:p>
      <w:pPr>
        <w:spacing w:before="80" w:after="120"/>
        <w:jc w:val="both"/>
      </w:pPr>
      <w:r>
        <w:rPr>
          <w:rFonts w:ascii="Arial" w:cs="Arial" w:eastAsia="Arial" w:hAnsi="Arial"/>
          <w:sz w:val="22"/>
          <w:szCs w:val="22"/>
        </w:rPr>
        <w:t xml:space="preserve">To access the system, navigate to the institutional portal URL provided by your department and enter your registered email address and password on the login screen. Upon first login, users are prompted to change their temporary password and complete their profile information before being directed to their role-specific dashboard.</w:t>
      </w:r>
    </w:p>
    <w:p>
      <w:pPr>
        <w:pStyle w:val="Heading2"/>
        <w:spacing w:before="320" w:after="160"/>
      </w:pPr>
      <w:r>
        <w:rPr>
          <w:rFonts w:ascii="Arial" w:cs="Arial" w:eastAsia="Arial" w:hAnsi="Arial"/>
          <w:b/>
          <w:bCs/>
          <w:color w:val="2C5898"/>
          <w:sz w:val="26"/>
          <w:szCs w:val="26"/>
        </w:rPr>
        <w:t xml:space="preserve">3.5.2  Student User Guide</w:t>
      </w:r>
    </w:p>
    <w:p>
      <w:pPr>
        <w:pStyle w:val="Heading3"/>
        <w:spacing w:before="220" w:after="120"/>
      </w:pPr>
      <w:r>
        <w:rPr>
          <w:rFonts w:ascii="Arial" w:cs="Arial" w:eastAsia="Arial" w:hAnsi="Arial"/>
          <w:b/>
          <w:bCs/>
          <w:color w:val="3A6EAF"/>
          <w:sz w:val="24"/>
          <w:szCs w:val="24"/>
        </w:rPr>
        <w:t xml:space="preserve">Viewing and Enrolling in Courses</w:t>
      </w:r>
    </w:p>
    <w:p>
      <w:pPr>
        <w:pStyle w:val="ListParagraph"/>
        <w:numPr>
          <w:ilvl w:val="0"/>
          <w:numId w:val="2"/>
        </w:numPr>
        <w:spacing w:before="60" w:after="60"/>
      </w:pPr>
      <w:r>
        <w:rPr>
          <w:rFonts w:ascii="Arial" w:cs="Arial" w:eastAsia="Arial" w:hAnsi="Arial"/>
          <w:sz w:val="22"/>
          <w:szCs w:val="22"/>
        </w:rPr>
        <w:t xml:space="preserve">Log in to the portal and navigate to the Courses section via the left sidebar.</w:t>
      </w:r>
    </w:p>
    <w:p>
      <w:pPr>
        <w:pStyle w:val="ListParagraph"/>
        <w:numPr>
          <w:ilvl w:val="0"/>
          <w:numId w:val="2"/>
        </w:numPr>
        <w:spacing w:before="60" w:after="60"/>
      </w:pPr>
      <w:r>
        <w:rPr>
          <w:rFonts w:ascii="Arial" w:cs="Arial" w:eastAsia="Arial" w:hAnsi="Arial"/>
          <w:sz w:val="22"/>
          <w:szCs w:val="22"/>
        </w:rPr>
        <w:t xml:space="preserve">Use the search bar and filter options to locate courses by title, course code, faculty name, or credit hours.</w:t>
      </w:r>
    </w:p>
    <w:p>
      <w:pPr>
        <w:pStyle w:val="ListParagraph"/>
        <w:numPr>
          <w:ilvl w:val="0"/>
          <w:numId w:val="2"/>
        </w:numPr>
        <w:spacing w:before="60" w:after="60"/>
      </w:pPr>
      <w:r>
        <w:rPr>
          <w:rFonts w:ascii="Arial" w:cs="Arial" w:eastAsia="Arial" w:hAnsi="Arial"/>
          <w:sz w:val="22"/>
          <w:szCs w:val="22"/>
        </w:rPr>
        <w:t xml:space="preserve">Click on a course card to open the Course Detail view and review the full course description, schedule, and enrolled faculty.</w:t>
      </w:r>
    </w:p>
    <w:p>
      <w:pPr>
        <w:pStyle w:val="ListParagraph"/>
        <w:numPr>
          <w:ilvl w:val="0"/>
          <w:numId w:val="2"/>
        </w:numPr>
        <w:spacing w:before="60" w:after="60"/>
      </w:pPr>
      <w:r>
        <w:rPr>
          <w:rFonts w:ascii="Arial" w:cs="Arial" w:eastAsia="Arial" w:hAnsi="Arial"/>
          <w:sz w:val="22"/>
          <w:szCs w:val="22"/>
        </w:rPr>
        <w:t xml:space="preserve">Click the Enroll button to submit an enrollment request. The system will confirm successful enrollment or indicate if the course is full or if the registration window has closed.</w:t>
      </w:r>
    </w:p>
    <w:p>
      <w:pPr>
        <w:pStyle w:val="ListParagraph"/>
        <w:numPr>
          <w:ilvl w:val="0"/>
          <w:numId w:val="2"/>
        </w:numPr>
        <w:spacing w:before="60" w:after="60"/>
      </w:pPr>
      <w:r>
        <w:rPr>
          <w:rFonts w:ascii="Arial" w:cs="Arial" w:eastAsia="Arial" w:hAnsi="Arial"/>
          <w:sz w:val="22"/>
          <w:szCs w:val="22"/>
        </w:rPr>
        <w:t xml:space="preserve">Enrolled courses appear in the My Courses section of the student dashboard for quick access.</w:t>
      </w:r>
    </w:p>
    <w:p>
      <w:pPr>
        <w:pStyle w:val="Heading3"/>
        <w:spacing w:before="220" w:after="120"/>
      </w:pPr>
      <w:r>
        <w:rPr>
          <w:rFonts w:ascii="Arial" w:cs="Arial" w:eastAsia="Arial" w:hAnsi="Arial"/>
          <w:b/>
          <w:bCs/>
          <w:color w:val="3A6EAF"/>
          <w:sz w:val="24"/>
          <w:szCs w:val="24"/>
        </w:rPr>
        <w:t xml:space="preserve">Submitting Assignments</w:t>
      </w:r>
    </w:p>
    <w:p>
      <w:pPr>
        <w:pStyle w:val="ListParagraph"/>
        <w:numPr>
          <w:ilvl w:val="0"/>
          <w:numId w:val="2"/>
        </w:numPr>
        <w:spacing w:before="60" w:after="60"/>
      </w:pPr>
      <w:r>
        <w:rPr>
          <w:rFonts w:ascii="Arial" w:cs="Arial" w:eastAsia="Arial" w:hAnsi="Arial"/>
          <w:sz w:val="22"/>
          <w:szCs w:val="22"/>
        </w:rPr>
        <w:t xml:space="preserve">Navigate to the relevant course via My Courses and select the Assignments tab.</w:t>
      </w:r>
    </w:p>
    <w:p>
      <w:pPr>
        <w:pStyle w:val="ListParagraph"/>
        <w:numPr>
          <w:ilvl w:val="0"/>
          <w:numId w:val="2"/>
        </w:numPr>
        <w:spacing w:before="60" w:after="60"/>
      </w:pPr>
      <w:r>
        <w:rPr>
          <w:rFonts w:ascii="Arial" w:cs="Arial" w:eastAsia="Arial" w:hAnsi="Arial"/>
          <w:sz w:val="22"/>
          <w:szCs w:val="22"/>
        </w:rPr>
        <w:t xml:space="preserve">Locate the target assignment and verify the submission deadline displayed alongside it.</w:t>
      </w:r>
    </w:p>
    <w:p>
      <w:pPr>
        <w:pStyle w:val="ListParagraph"/>
        <w:numPr>
          <w:ilvl w:val="0"/>
          <w:numId w:val="2"/>
        </w:numPr>
        <w:spacing w:before="60" w:after="60"/>
      </w:pPr>
      <w:r>
        <w:rPr>
          <w:rFonts w:ascii="Arial" w:cs="Arial" w:eastAsia="Arial" w:hAnsi="Arial"/>
          <w:sz w:val="22"/>
          <w:szCs w:val="22"/>
        </w:rPr>
        <w:t xml:space="preserve">Click Submit Assignment to open the submission dialogue.</w:t>
      </w:r>
    </w:p>
    <w:p>
      <w:pPr>
        <w:pStyle w:val="ListParagraph"/>
        <w:numPr>
          <w:ilvl w:val="0"/>
          <w:numId w:val="2"/>
        </w:numPr>
        <w:spacing w:before="60" w:after="60"/>
      </w:pPr>
      <w:r>
        <w:rPr>
          <w:rFonts w:ascii="Arial" w:cs="Arial" w:eastAsia="Arial" w:hAnsi="Arial"/>
          <w:sz w:val="22"/>
          <w:szCs w:val="22"/>
        </w:rPr>
        <w:t xml:space="preserve">Drag and drop your submission file or click Browse to select it. Accepted formats are PDF, DOCX, and ZIP, with a maximum file size of 20 MB.</w:t>
      </w:r>
    </w:p>
    <w:p>
      <w:pPr>
        <w:pStyle w:val="ListParagraph"/>
        <w:numPr>
          <w:ilvl w:val="0"/>
          <w:numId w:val="2"/>
        </w:numPr>
        <w:spacing w:before="60" w:after="60"/>
      </w:pPr>
      <w:r>
        <w:rPr>
          <w:rFonts w:ascii="Arial" w:cs="Arial" w:eastAsia="Arial" w:hAnsi="Arial"/>
          <w:sz w:val="22"/>
          <w:szCs w:val="22"/>
        </w:rPr>
        <w:t xml:space="preserve">Review the file name and size displayed in the upload panel, then click Confirm Submission.</w:t>
      </w:r>
    </w:p>
    <w:p>
      <w:pPr>
        <w:pStyle w:val="ListParagraph"/>
        <w:numPr>
          <w:ilvl w:val="0"/>
          <w:numId w:val="2"/>
        </w:numPr>
        <w:spacing w:before="60" w:after="60"/>
      </w:pPr>
      <w:r>
        <w:rPr>
          <w:rFonts w:ascii="Arial" w:cs="Arial" w:eastAsia="Arial" w:hAnsi="Arial"/>
          <w:sz w:val="22"/>
          <w:szCs w:val="22"/>
        </w:rPr>
        <w:t xml:space="preserve">A confirmation banner and email notification will be issued upon successful submission. The assignment status updates to Submitted.</w:t>
      </w:r>
    </w:p>
    <w:p>
      <w:pPr>
        <w:pStyle w:val="Heading3"/>
        <w:spacing w:before="220" w:after="120"/>
      </w:pPr>
      <w:r>
        <w:rPr>
          <w:rFonts w:ascii="Arial" w:cs="Arial" w:eastAsia="Arial" w:hAnsi="Arial"/>
          <w:b/>
          <w:bCs/>
          <w:color w:val="3A6EAF"/>
          <w:sz w:val="24"/>
          <w:szCs w:val="24"/>
        </w:rPr>
        <w:t xml:space="preserve">Viewing Grades and Attendance</w:t>
      </w:r>
    </w:p>
    <w:p>
      <w:pPr>
        <w:pStyle w:val="ListParagraph"/>
        <w:numPr>
          <w:ilvl w:val="0"/>
          <w:numId w:val="2"/>
        </w:numPr>
        <w:spacing w:before="60" w:after="60"/>
      </w:pPr>
      <w:r>
        <w:rPr>
          <w:rFonts w:ascii="Arial" w:cs="Arial" w:eastAsia="Arial" w:hAnsi="Arial"/>
          <w:sz w:val="22"/>
          <w:szCs w:val="22"/>
        </w:rPr>
        <w:t xml:space="preserve">Grades are visible from the Grades tab within any enrolled course once the faculty member has published them.</w:t>
      </w:r>
    </w:p>
    <w:p>
      <w:pPr>
        <w:pStyle w:val="ListParagraph"/>
        <w:numPr>
          <w:ilvl w:val="0"/>
          <w:numId w:val="2"/>
        </w:numPr>
        <w:spacing w:before="60" w:after="60"/>
      </w:pPr>
      <w:r>
        <w:rPr>
          <w:rFonts w:ascii="Arial" w:cs="Arial" w:eastAsia="Arial" w:hAnsi="Arial"/>
          <w:sz w:val="22"/>
          <w:szCs w:val="22"/>
        </w:rPr>
        <w:t xml:space="preserve">A cumulative GPA summary is displayed on the main student dashboard and is automatically recalculated upon each grade publication.</w:t>
      </w:r>
    </w:p>
    <w:p>
      <w:pPr>
        <w:pStyle w:val="ListParagraph"/>
        <w:numPr>
          <w:ilvl w:val="0"/>
          <w:numId w:val="2"/>
        </w:numPr>
        <w:spacing w:before="60" w:after="60"/>
      </w:pPr>
      <w:r>
        <w:rPr>
          <w:rFonts w:ascii="Arial" w:cs="Arial" w:eastAsia="Arial" w:hAnsi="Arial"/>
          <w:sz w:val="22"/>
          <w:szCs w:val="22"/>
        </w:rPr>
        <w:t xml:space="preserve">Attendance records are accessible from the Attendance tab within each course, showing a per-session breakdown and an overall attendance percentage.</w:t>
      </w:r>
    </w:p>
    <w:p>
      <w:pPr>
        <w:pStyle w:val="ListParagraph"/>
        <w:numPr>
          <w:ilvl w:val="0"/>
          <w:numId w:val="2"/>
        </w:numPr>
        <w:spacing w:before="60" w:after="60"/>
      </w:pPr>
      <w:r>
        <w:rPr>
          <w:rFonts w:ascii="Arial" w:cs="Arial" w:eastAsia="Arial" w:hAnsi="Arial"/>
          <w:sz w:val="22"/>
          <w:szCs w:val="22"/>
        </w:rPr>
        <w:t xml:space="preserve">Students whose attendance falls below the institutional minimum threshold of 75% will receive an automated low-attendance warning notification.</w:t>
      </w:r>
    </w:p>
    <w:p>
      <w:pPr>
        <w:pStyle w:val="Heading2"/>
        <w:spacing w:before="320" w:after="160"/>
      </w:pPr>
      <w:r>
        <w:rPr>
          <w:rFonts w:ascii="Arial" w:cs="Arial" w:eastAsia="Arial" w:hAnsi="Arial"/>
          <w:b/>
          <w:bCs/>
          <w:color w:val="2C5898"/>
          <w:sz w:val="26"/>
          <w:szCs w:val="26"/>
        </w:rPr>
        <w:t xml:space="preserve">3.5.3  Faculty User Guide</w:t>
      </w:r>
    </w:p>
    <w:p>
      <w:pPr>
        <w:pStyle w:val="Heading3"/>
        <w:spacing w:before="220" w:after="120"/>
      </w:pPr>
      <w:r>
        <w:rPr>
          <w:rFonts w:ascii="Arial" w:cs="Arial" w:eastAsia="Arial" w:hAnsi="Arial"/>
          <w:b/>
          <w:bCs/>
          <w:color w:val="3A6EAF"/>
          <w:sz w:val="24"/>
          <w:szCs w:val="24"/>
        </w:rPr>
        <w:t xml:space="preserve">Managing Course Content</w:t>
      </w:r>
    </w:p>
    <w:p>
      <w:pPr>
        <w:pStyle w:val="ListParagraph"/>
        <w:numPr>
          <w:ilvl w:val="0"/>
          <w:numId w:val="2"/>
        </w:numPr>
        <w:spacing w:before="60" w:after="60"/>
      </w:pPr>
      <w:r>
        <w:rPr>
          <w:rFonts w:ascii="Arial" w:cs="Arial" w:eastAsia="Arial" w:hAnsi="Arial"/>
          <w:sz w:val="22"/>
          <w:szCs w:val="22"/>
        </w:rPr>
        <w:t xml:space="preserve">Log in and navigate to My Courses from the sidebar to view all currently assigned courses.</w:t>
      </w:r>
    </w:p>
    <w:p>
      <w:pPr>
        <w:pStyle w:val="ListParagraph"/>
        <w:numPr>
          <w:ilvl w:val="0"/>
          <w:numId w:val="2"/>
        </w:numPr>
        <w:spacing w:before="60" w:after="60"/>
      </w:pPr>
      <w:r>
        <w:rPr>
          <w:rFonts w:ascii="Arial" w:cs="Arial" w:eastAsia="Arial" w:hAnsi="Arial"/>
          <w:sz w:val="22"/>
          <w:szCs w:val="22"/>
        </w:rPr>
        <w:t xml:space="preserve">Select a course to access the Faculty Course Management panel.</w:t>
      </w:r>
    </w:p>
    <w:p>
      <w:pPr>
        <w:pStyle w:val="ListParagraph"/>
        <w:numPr>
          <w:ilvl w:val="0"/>
          <w:numId w:val="2"/>
        </w:numPr>
        <w:spacing w:before="60" w:after="60"/>
      </w:pPr>
      <w:r>
        <w:rPr>
          <w:rFonts w:ascii="Arial" w:cs="Arial" w:eastAsia="Arial" w:hAnsi="Arial"/>
          <w:sz w:val="22"/>
          <w:szCs w:val="22"/>
        </w:rPr>
        <w:t xml:space="preserve">To upload materials, select the Materials tab and click Upload Resource. Supported file types include PDF, DOCX, PPTX, MP4, and ZIP.</w:t>
      </w:r>
    </w:p>
    <w:p>
      <w:pPr>
        <w:pStyle w:val="ListParagraph"/>
        <w:numPr>
          <w:ilvl w:val="0"/>
          <w:numId w:val="2"/>
        </w:numPr>
        <w:spacing w:before="60" w:after="60"/>
      </w:pPr>
      <w:r>
        <w:rPr>
          <w:rFonts w:ascii="Arial" w:cs="Arial" w:eastAsia="Arial" w:hAnsi="Arial"/>
          <w:sz w:val="22"/>
          <w:szCs w:val="22"/>
        </w:rPr>
        <w:t xml:space="preserve">Add a title, description, and optional access restriction (all students or specific groups) before confirming the upload.</w:t>
      </w:r>
    </w:p>
    <w:p>
      <w:pPr>
        <w:pStyle w:val="ListParagraph"/>
        <w:numPr>
          <w:ilvl w:val="0"/>
          <w:numId w:val="2"/>
        </w:numPr>
        <w:spacing w:before="60" w:after="60"/>
      </w:pPr>
      <w:r>
        <w:rPr>
          <w:rFonts w:ascii="Arial" w:cs="Arial" w:eastAsia="Arial" w:hAnsi="Arial"/>
          <w:sz w:val="22"/>
          <w:szCs w:val="22"/>
        </w:rPr>
        <w:t xml:space="preserve">Resources may be reordered, edited, or deleted at any time via the management panel.</w:t>
      </w:r>
    </w:p>
    <w:p>
      <w:pPr>
        <w:pStyle w:val="Heading3"/>
        <w:spacing w:before="220" w:after="120"/>
      </w:pPr>
      <w:r>
        <w:rPr>
          <w:rFonts w:ascii="Arial" w:cs="Arial" w:eastAsia="Arial" w:hAnsi="Arial"/>
          <w:b/>
          <w:bCs/>
          <w:color w:val="3A6EAF"/>
          <w:sz w:val="24"/>
          <w:szCs w:val="24"/>
        </w:rPr>
        <w:t xml:space="preserve">Marking Attendance</w:t>
      </w:r>
    </w:p>
    <w:p>
      <w:pPr>
        <w:pStyle w:val="ListParagraph"/>
        <w:numPr>
          <w:ilvl w:val="0"/>
          <w:numId w:val="2"/>
        </w:numPr>
        <w:spacing w:before="60" w:after="60"/>
      </w:pPr>
      <w:r>
        <w:rPr>
          <w:rFonts w:ascii="Arial" w:cs="Arial" w:eastAsia="Arial" w:hAnsi="Arial"/>
          <w:sz w:val="22"/>
          <w:szCs w:val="22"/>
        </w:rPr>
        <w:t xml:space="preserve">Open the target course and navigate to the Attendance tab.</w:t>
      </w:r>
    </w:p>
    <w:p>
      <w:pPr>
        <w:pStyle w:val="ListParagraph"/>
        <w:numPr>
          <w:ilvl w:val="0"/>
          <w:numId w:val="2"/>
        </w:numPr>
        <w:spacing w:before="60" w:after="60"/>
      </w:pPr>
      <w:r>
        <w:rPr>
          <w:rFonts w:ascii="Arial" w:cs="Arial" w:eastAsia="Arial" w:hAnsi="Arial"/>
          <w:sz w:val="22"/>
          <w:szCs w:val="22"/>
        </w:rPr>
        <w:t xml:space="preserve">Click Mark Attendance for Today (or select a previous session date for retrospective entry).</w:t>
      </w:r>
    </w:p>
    <w:p>
      <w:pPr>
        <w:pStyle w:val="ListParagraph"/>
        <w:numPr>
          <w:ilvl w:val="0"/>
          <w:numId w:val="2"/>
        </w:numPr>
        <w:spacing w:before="60" w:after="60"/>
      </w:pPr>
      <w:r>
        <w:rPr>
          <w:rFonts w:ascii="Arial" w:cs="Arial" w:eastAsia="Arial" w:hAnsi="Arial"/>
          <w:sz w:val="22"/>
          <w:szCs w:val="22"/>
        </w:rPr>
        <w:t xml:space="preserve">The enrolled student roster is displayed. Set each student's status to Present, Absent, or Late using the inline toggle.</w:t>
      </w:r>
    </w:p>
    <w:p>
      <w:pPr>
        <w:pStyle w:val="ListParagraph"/>
        <w:numPr>
          <w:ilvl w:val="0"/>
          <w:numId w:val="2"/>
        </w:numPr>
        <w:spacing w:before="60" w:after="60"/>
      </w:pPr>
      <w:r>
        <w:rPr>
          <w:rFonts w:ascii="Arial" w:cs="Arial" w:eastAsia="Arial" w:hAnsi="Arial"/>
          <w:sz w:val="22"/>
          <w:szCs w:val="22"/>
        </w:rPr>
        <w:t xml:space="preserve">Click Save Attendance to commit the session record. Absent students receive an automated notification.</w:t>
      </w:r>
    </w:p>
    <w:p>
      <w:pPr>
        <w:pStyle w:val="Heading3"/>
        <w:spacing w:before="220" w:after="120"/>
      </w:pPr>
      <w:r>
        <w:rPr>
          <w:rFonts w:ascii="Arial" w:cs="Arial" w:eastAsia="Arial" w:hAnsi="Arial"/>
          <w:b/>
          <w:bCs/>
          <w:color w:val="3A6EAF"/>
          <w:sz w:val="24"/>
          <w:szCs w:val="24"/>
        </w:rPr>
        <w:t xml:space="preserve">Submitting Grades</w:t>
      </w:r>
    </w:p>
    <w:p>
      <w:pPr>
        <w:pStyle w:val="ListParagraph"/>
        <w:numPr>
          <w:ilvl w:val="0"/>
          <w:numId w:val="2"/>
        </w:numPr>
        <w:spacing w:before="60" w:after="60"/>
      </w:pPr>
      <w:r>
        <w:rPr>
          <w:rFonts w:ascii="Arial" w:cs="Arial" w:eastAsia="Arial" w:hAnsi="Arial"/>
          <w:sz w:val="22"/>
          <w:szCs w:val="22"/>
        </w:rPr>
        <w:t xml:space="preserve">Navigate to the Grades tab within the relevant course.</w:t>
      </w:r>
    </w:p>
    <w:p>
      <w:pPr>
        <w:pStyle w:val="ListParagraph"/>
        <w:numPr>
          <w:ilvl w:val="0"/>
          <w:numId w:val="2"/>
        </w:numPr>
        <w:spacing w:before="60" w:after="60"/>
      </w:pPr>
      <w:r>
        <w:rPr>
          <w:rFonts w:ascii="Arial" w:cs="Arial" w:eastAsia="Arial" w:hAnsi="Arial"/>
          <w:sz w:val="22"/>
          <w:szCs w:val="22"/>
        </w:rPr>
        <w:t xml:space="preserve">Enter numeric grades (0–100) for each student in the grade input fields. The corresponding letter grade is computed and displayed automatically.</w:t>
      </w:r>
    </w:p>
    <w:p>
      <w:pPr>
        <w:pStyle w:val="ListParagraph"/>
        <w:numPr>
          <w:ilvl w:val="0"/>
          <w:numId w:val="2"/>
        </w:numPr>
        <w:spacing w:before="60" w:after="60"/>
      </w:pPr>
      <w:r>
        <w:rPr>
          <w:rFonts w:ascii="Arial" w:cs="Arial" w:eastAsia="Arial" w:hAnsi="Arial"/>
          <w:sz w:val="22"/>
          <w:szCs w:val="22"/>
        </w:rPr>
        <w:t xml:space="preserve">Grades remain in Draft status until reviewed. Click Publish Grades to make them visible to students and update GPA calculations.</w:t>
      </w:r>
    </w:p>
    <w:p>
      <w:pPr>
        <w:pStyle w:val="ListParagraph"/>
        <w:numPr>
          <w:ilvl w:val="0"/>
          <w:numId w:val="2"/>
        </w:numPr>
        <w:spacing w:before="60" w:after="60"/>
      </w:pPr>
      <w:r>
        <w:rPr>
          <w:rFonts w:ascii="Arial" w:cs="Arial" w:eastAsia="Arial" w:hAnsi="Arial"/>
          <w:sz w:val="22"/>
          <w:szCs w:val="22"/>
        </w:rPr>
        <w:t xml:space="preserve">Once published, grades may only be amended by submitting a Grade Amendment Request, which requires administrator approval.</w:t>
      </w:r>
    </w:p>
    <w:p>
      <w:pPr>
        <w:pStyle w:val="Heading2"/>
        <w:spacing w:before="320" w:after="160"/>
      </w:pPr>
      <w:r>
        <w:rPr>
          <w:rFonts w:ascii="Arial" w:cs="Arial" w:eastAsia="Arial" w:hAnsi="Arial"/>
          <w:b/>
          <w:bCs/>
          <w:color w:val="2C5898"/>
          <w:sz w:val="26"/>
          <w:szCs w:val="26"/>
        </w:rPr>
        <w:t xml:space="preserve">3.5.4  Administrator User Guide</w:t>
      </w:r>
    </w:p>
    <w:p>
      <w:pPr>
        <w:pStyle w:val="Heading3"/>
        <w:spacing w:before="220" w:after="120"/>
      </w:pPr>
      <w:r>
        <w:rPr>
          <w:rFonts w:ascii="Arial" w:cs="Arial" w:eastAsia="Arial" w:hAnsi="Arial"/>
          <w:b/>
          <w:bCs/>
          <w:color w:val="3A6EAF"/>
          <w:sz w:val="24"/>
          <w:szCs w:val="24"/>
        </w:rPr>
        <w:t xml:space="preserve">Managing User Accounts</w:t>
      </w:r>
    </w:p>
    <w:p>
      <w:pPr>
        <w:pStyle w:val="ListParagraph"/>
        <w:numPr>
          <w:ilvl w:val="0"/>
          <w:numId w:val="2"/>
        </w:numPr>
        <w:spacing w:before="60" w:after="60"/>
      </w:pPr>
      <w:r>
        <w:rPr>
          <w:rFonts w:ascii="Arial" w:cs="Arial" w:eastAsia="Arial" w:hAnsi="Arial"/>
          <w:sz w:val="22"/>
          <w:szCs w:val="22"/>
        </w:rPr>
        <w:t xml:space="preserve">Access the Administration panel from the sidebar (Admin role required).</w:t>
      </w:r>
    </w:p>
    <w:p>
      <w:pPr>
        <w:pStyle w:val="ListParagraph"/>
        <w:numPr>
          <w:ilvl w:val="0"/>
          <w:numId w:val="2"/>
        </w:numPr>
        <w:spacing w:before="60" w:after="60"/>
      </w:pPr>
      <w:r>
        <w:rPr>
          <w:rFonts w:ascii="Arial" w:cs="Arial" w:eastAsia="Arial" w:hAnsi="Arial"/>
          <w:sz w:val="22"/>
          <w:szCs w:val="22"/>
        </w:rPr>
        <w:t xml:space="preserve">Navigate to User Management to view the complete user roster with search, sort, and filter capabilities.</w:t>
      </w:r>
    </w:p>
    <w:p>
      <w:pPr>
        <w:pStyle w:val="ListParagraph"/>
        <w:numPr>
          <w:ilvl w:val="0"/>
          <w:numId w:val="2"/>
        </w:numPr>
        <w:spacing w:before="60" w:after="60"/>
      </w:pPr>
      <w:r>
        <w:rPr>
          <w:rFonts w:ascii="Arial" w:cs="Arial" w:eastAsia="Arial" w:hAnsi="Arial"/>
          <w:sz w:val="22"/>
          <w:szCs w:val="22"/>
        </w:rPr>
        <w:t xml:space="preserve">To create a new user, click Add User and complete the creation form with full name, institutional email, role, and a temporary password. The user will be prompted to change this password upon first login.</w:t>
      </w:r>
    </w:p>
    <w:p>
      <w:pPr>
        <w:pStyle w:val="ListParagraph"/>
        <w:numPr>
          <w:ilvl w:val="0"/>
          <w:numId w:val="2"/>
        </w:numPr>
        <w:spacing w:before="60" w:after="60"/>
      </w:pPr>
      <w:r>
        <w:rPr>
          <w:rFonts w:ascii="Arial" w:cs="Arial" w:eastAsia="Arial" w:hAnsi="Arial"/>
          <w:sz w:val="22"/>
          <w:szCs w:val="22"/>
        </w:rPr>
        <w:t xml:space="preserve">To deactivate a user, locate the account and click Deactivate. Deactivated accounts retain all data but cannot log in. Accounts may be reactivated at any time.</w:t>
      </w:r>
    </w:p>
    <w:p>
      <w:pPr>
        <w:pStyle w:val="ListParagraph"/>
        <w:numPr>
          <w:ilvl w:val="0"/>
          <w:numId w:val="2"/>
        </w:numPr>
        <w:spacing w:before="60" w:after="60"/>
      </w:pPr>
      <w:r>
        <w:rPr>
          <w:rFonts w:ascii="Arial" w:cs="Arial" w:eastAsia="Arial" w:hAnsi="Arial"/>
          <w:sz w:val="22"/>
          <w:szCs w:val="22"/>
        </w:rPr>
        <w:t xml:space="preserve">To perform a bulk import, click Import Users and upload a CSV file conforming to the provided template. The system validates the file and reports any import errors before committing the batch.</w:t>
      </w:r>
    </w:p>
    <w:p>
      <w:pPr>
        <w:pStyle w:val="Heading3"/>
        <w:spacing w:before="220" w:after="120"/>
      </w:pPr>
      <w:r>
        <w:rPr>
          <w:rFonts w:ascii="Arial" w:cs="Arial" w:eastAsia="Arial" w:hAnsi="Arial"/>
          <w:b/>
          <w:bCs/>
          <w:color w:val="3A6EAF"/>
          <w:sz w:val="24"/>
          <w:szCs w:val="24"/>
        </w:rPr>
        <w:t xml:space="preserve">Generating Reports</w:t>
      </w:r>
    </w:p>
    <w:p>
      <w:pPr>
        <w:pStyle w:val="ListParagraph"/>
        <w:numPr>
          <w:ilvl w:val="0"/>
          <w:numId w:val="2"/>
        </w:numPr>
        <w:spacing w:before="60" w:after="60"/>
      </w:pPr>
      <w:r>
        <w:rPr>
          <w:rFonts w:ascii="Arial" w:cs="Arial" w:eastAsia="Arial" w:hAnsi="Arial"/>
          <w:sz w:val="22"/>
          <w:szCs w:val="22"/>
        </w:rPr>
        <w:t xml:space="preserve">Navigate to Reports in the Administration panel.</w:t>
      </w:r>
    </w:p>
    <w:p>
      <w:pPr>
        <w:pStyle w:val="ListParagraph"/>
        <w:numPr>
          <w:ilvl w:val="0"/>
          <w:numId w:val="2"/>
        </w:numPr>
        <w:spacing w:before="60" w:after="60"/>
      </w:pPr>
      <w:r>
        <w:rPr>
          <w:rFonts w:ascii="Arial" w:cs="Arial" w:eastAsia="Arial" w:hAnsi="Arial"/>
          <w:sz w:val="22"/>
          <w:szCs w:val="22"/>
        </w:rPr>
        <w:t xml:space="preserve">Select the report type (Enrollment Summary, Grade Distribution, or Attendance Summary) and specify the relevant semester and optional course filter.</w:t>
      </w:r>
    </w:p>
    <w:p>
      <w:pPr>
        <w:pStyle w:val="ListParagraph"/>
        <w:numPr>
          <w:ilvl w:val="0"/>
          <w:numId w:val="2"/>
        </w:numPr>
        <w:spacing w:before="60" w:after="60"/>
      </w:pPr>
      <w:r>
        <w:rPr>
          <w:rFonts w:ascii="Arial" w:cs="Arial" w:eastAsia="Arial" w:hAnsi="Arial"/>
          <w:sz w:val="22"/>
          <w:szCs w:val="22"/>
        </w:rPr>
        <w:t xml:space="preserve">Click Generate Report. The report is rendered as an on-screen table and may be exported in PDF or CSV format via the Export buttons.</w:t>
      </w:r>
    </w:p>
    <w:p>
      <w:pPr>
        <w:pStyle w:val="ListParagraph"/>
        <w:numPr>
          <w:ilvl w:val="0"/>
          <w:numId w:val="2"/>
        </w:numPr>
        <w:spacing w:before="60" w:after="60"/>
      </w:pPr>
      <w:r>
        <w:rPr>
          <w:rFonts w:ascii="Arial" w:cs="Arial" w:eastAsia="Arial" w:hAnsi="Arial"/>
          <w:sz w:val="22"/>
          <w:szCs w:val="22"/>
        </w:rPr>
        <w:t xml:space="preserve">All generated reports are logged in the Report History section with the generation timestamp and the name of the administrator who produced them.</w:t>
      </w:r>
    </w:p>
    <w:p>
      <w:pPr>
        <w:pStyle w:val="Heading1"/>
        <w:pBdr>
          <w:bottom w:val="single" w:color="1B3A6B" w:sz="6" w:space="6"/>
        </w:pBdr>
        <w:spacing w:before="500" w:after="200"/>
      </w:pPr>
      <w:r>
        <w:rPr>
          <w:rFonts w:ascii="Arial" w:cs="Arial" w:eastAsia="Arial" w:hAnsi="Arial"/>
          <w:b/>
          <w:bCs/>
          <w:color w:val="1B3A6B"/>
          <w:sz w:val="32"/>
          <w:szCs w:val="32"/>
        </w:rPr>
        <w:t xml:space="preserve">3.6  Testing Documentation</w:t>
      </w:r>
    </w:p>
    <w:p>
      <w:pPr>
        <w:pStyle w:val="Heading2"/>
        <w:spacing w:before="320" w:after="160"/>
      </w:pPr>
      <w:r>
        <w:rPr>
          <w:rFonts w:ascii="Arial" w:cs="Arial" w:eastAsia="Arial" w:hAnsi="Arial"/>
          <w:b/>
          <w:bCs/>
          <w:color w:val="2C5898"/>
          <w:sz w:val="26"/>
          <w:szCs w:val="26"/>
        </w:rPr>
        <w:t xml:space="preserve">3.6.1  Testing Strategy Overview</w:t>
      </w:r>
    </w:p>
    <w:p>
      <w:pPr>
        <w:spacing w:before="80" w:after="120"/>
        <w:jc w:val="both"/>
      </w:pPr>
      <w:r>
        <w:rPr>
          <w:rFonts w:ascii="Arial" w:cs="Arial" w:eastAsia="Arial" w:hAnsi="Arial"/>
          <w:sz w:val="22"/>
          <w:szCs w:val="22"/>
        </w:rPr>
        <w:t xml:space="preserve">The testing strategy for the Smart Student Portal System adopts a multi-level approach that verifies the correctness and robustness of the system from individual function units through to complete end-to-end user workflows. The testing levels employed are defined below, in order of ascending scope and integration:</w:t>
      </w:r>
    </w:p>
    <w:p>
      <w:pPr>
        <w:pStyle w:val="ListParagraph"/>
        <w:numPr>
          <w:ilvl w:val="0"/>
          <w:numId w:val="3"/>
        </w:numPr>
        <w:spacing w:before="60" w:after="60"/>
      </w:pPr>
      <w:r>
        <w:rPr>
          <w:rFonts w:ascii="Arial" w:cs="Arial" w:eastAsia="Arial" w:hAnsi="Arial"/>
          <w:sz w:val="22"/>
          <w:szCs w:val="22"/>
        </w:rPr>
        <w:t xml:space="preserve">Unit Testing: Individual functions, service methods, and utility modules are tested in isolation using mocked dependencies. The Jest testing framework is used for all unit tests.</w:t>
      </w:r>
    </w:p>
    <w:p>
      <w:pPr>
        <w:pStyle w:val="ListParagraph"/>
        <w:numPr>
          <w:ilvl w:val="0"/>
          <w:numId w:val="3"/>
        </w:numPr>
        <w:spacing w:before="60" w:after="60"/>
      </w:pPr>
      <w:r>
        <w:rPr>
          <w:rFonts w:ascii="Arial" w:cs="Arial" w:eastAsia="Arial" w:hAnsi="Arial"/>
          <w:sz w:val="22"/>
          <w:szCs w:val="22"/>
        </w:rPr>
        <w:t xml:space="preserve">Integration Testing: The interaction between system layers — specifically the API controller-to-service-to-repository chain — is tested using a dedicated test database instance. HTTP requests are simulated using the Supertest library.</w:t>
      </w:r>
    </w:p>
    <w:p>
      <w:pPr>
        <w:pStyle w:val="ListParagraph"/>
        <w:numPr>
          <w:ilvl w:val="0"/>
          <w:numId w:val="3"/>
        </w:numPr>
        <w:spacing w:before="60" w:after="60"/>
      </w:pPr>
      <w:r>
        <w:rPr>
          <w:rFonts w:ascii="Arial" w:cs="Arial" w:eastAsia="Arial" w:hAnsi="Arial"/>
          <w:sz w:val="22"/>
          <w:szCs w:val="22"/>
        </w:rPr>
        <w:t xml:space="preserve">System Testing: Complete end-to-end user journeys are automated using Playwright browser automation, validating that all user-facing features function correctly across the supported browser matrix.</w:t>
      </w:r>
    </w:p>
    <w:p>
      <w:pPr>
        <w:pStyle w:val="ListParagraph"/>
        <w:numPr>
          <w:ilvl w:val="0"/>
          <w:numId w:val="3"/>
        </w:numPr>
        <w:spacing w:before="60" w:after="60"/>
      </w:pPr>
      <w:r>
        <w:rPr>
          <w:rFonts w:ascii="Arial" w:cs="Arial" w:eastAsia="Arial" w:hAnsi="Arial"/>
          <w:sz w:val="22"/>
          <w:szCs w:val="22"/>
        </w:rPr>
        <w:t xml:space="preserve">User Acceptance Testing (UAT): Representative end users from each role group (students, faculty, and an administrator) executed a structured set of test scripts and recorded their findings, confirming that the system meets the specified business requirements.</w:t>
      </w:r>
    </w:p>
    <w:p>
      <w:pPr>
        <w:pStyle w:val="ListParagraph"/>
        <w:numPr>
          <w:ilvl w:val="0"/>
          <w:numId w:val="3"/>
        </w:numPr>
        <w:spacing w:before="60" w:after="60"/>
      </w:pPr>
      <w:r>
        <w:rPr>
          <w:rFonts w:ascii="Arial" w:cs="Arial" w:eastAsia="Arial" w:hAnsi="Arial"/>
          <w:sz w:val="22"/>
          <w:szCs w:val="22"/>
        </w:rPr>
        <w:t xml:space="preserve">Security Testing: Targeted security tests were conducted against the authentication endpoints and file upload functionality to verify resistance to common web application attacks as catalogued in the OWASP Top 10.</w:t>
      </w:r>
    </w:p>
    <w:p>
      <w:pPr>
        <w:pStyle w:val="Heading2"/>
        <w:spacing w:before="320" w:after="160"/>
      </w:pPr>
      <w:r>
        <w:rPr>
          <w:rFonts w:ascii="Arial" w:cs="Arial" w:eastAsia="Arial" w:hAnsi="Arial"/>
          <w:b/>
          <w:bCs/>
          <w:color w:val="2C5898"/>
          <w:sz w:val="26"/>
          <w:szCs w:val="26"/>
        </w:rPr>
        <w:t xml:space="preserve">3.6.2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60"/>
        <w:gridCol w:w="1800"/>
        <w:gridCol w:w="1800"/>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Unit Tests</w:t>
            </w:r>
          </w:p>
        </w:tc>
        <w:tc>
          <w:tcPr>
            <w:tcW w:type="dxa" w:w="17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Integration Tests</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Coverage %</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Auth</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18</w:t>
            </w:r>
          </w:p>
        </w:tc>
        <w:tc>
          <w:tcPr>
            <w:tcW w:type="dxa" w:w="1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96%</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Users</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12</w:t>
            </w:r>
          </w:p>
        </w:tc>
        <w:tc>
          <w:tcPr>
            <w:tcW w:type="dxa" w:w="1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91%</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Courses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c>
          <w:tcPr>
            <w:tcW w:type="dxa" w:w="1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89%</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Enrollment</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10</w:t>
            </w:r>
          </w:p>
        </w:tc>
        <w:tc>
          <w:tcPr>
            <w:tcW w:type="dxa" w:w="1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5</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88%</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Assignments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14</w:t>
            </w:r>
          </w:p>
        </w:tc>
        <w:tc>
          <w:tcPr>
            <w:tcW w:type="dxa" w:w="1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87%</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Attendance</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8</w:t>
            </w:r>
          </w:p>
        </w:tc>
        <w:tc>
          <w:tcPr>
            <w:tcW w:type="dxa" w:w="1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85%</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Grades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11</w:t>
            </w:r>
          </w:p>
        </w:tc>
        <w:tc>
          <w:tcPr>
            <w:tcW w:type="dxa" w:w="1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90%</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Notifications</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9</w:t>
            </w:r>
          </w:p>
        </w:tc>
        <w:tc>
          <w:tcPr>
            <w:tcW w:type="dxa" w:w="1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84%</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Reports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1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82%</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Admin</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10</w:t>
            </w:r>
          </w:p>
        </w:tc>
        <w:tc>
          <w:tcPr>
            <w:tcW w:type="dxa" w:w="1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5</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86%</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Overall</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114</w:t>
            </w:r>
          </w:p>
        </w:tc>
        <w:tc>
          <w:tcPr>
            <w:tcW w:type="dxa" w:w="1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56</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88.8%</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bl>
    <w:p>
      <w:pPr>
        <w:spacing w:before="60" w:after="180"/>
        <w:jc w:val="center"/>
      </w:pPr>
      <w:r>
        <w:rPr>
          <w:rFonts w:ascii="Arial" w:cs="Arial" w:eastAsia="Arial" w:hAnsi="Arial"/>
          <w:i/>
          <w:iCs/>
          <w:color w:val="555555"/>
          <w:sz w:val="18"/>
          <w:szCs w:val="18"/>
        </w:rPr>
        <w:t xml:space="preserve">Table 3.10 — Test Coverage Summary by Module</w:t>
      </w:r>
    </w:p>
    <w:p>
      <w:pPr>
        <w:pStyle w:val="Heading2"/>
        <w:spacing w:before="320" w:after="160"/>
      </w:pPr>
      <w:r>
        <w:rPr>
          <w:rFonts w:ascii="Arial" w:cs="Arial" w:eastAsia="Arial" w:hAnsi="Arial"/>
          <w:b/>
          <w:bCs/>
          <w:color w:val="2C5898"/>
          <w:sz w:val="26"/>
          <w:szCs w:val="26"/>
        </w:rPr>
        <w:t xml:space="preserve">3.6.3  Key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160"/>
        <w:gridCol w:w="1600"/>
        <w:gridCol w:w="1600"/>
      </w:tblGrid>
      <w:tr>
        <w:trPr>
          <w:tblHeader/>
        </w:trPr>
        <w:tc>
          <w:tcPr>
            <w:tcW w:type="dxa" w:w="1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TC ID</w:t>
            </w:r>
          </w:p>
        </w:tc>
        <w:tc>
          <w:tcPr>
            <w:tcW w:type="dxa" w:w="3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Description</w:t>
            </w:r>
          </w:p>
        </w:tc>
        <w:tc>
          <w:tcPr>
            <w:tcW w:type="dxa" w:w="21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Expected Result</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Type</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TC-01</w:t>
            </w:r>
          </w:p>
        </w:tc>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Valid student login with correct credentials</w:t>
            </w:r>
          </w:p>
        </w:tc>
        <w:tc>
          <w:tcPr>
            <w:tcW w:type="dxa" w:w="21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JWT access token issued; redirect to dashboard.</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Unit / Integration</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TC-02</w:t>
            </w:r>
          </w:p>
        </w:tc>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Login with incorrect password</w:t>
            </w:r>
          </w:p>
        </w:tc>
        <w:tc>
          <w:tcPr>
            <w:tcW w:type="dxa" w:w="21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HTTP 401 returned; no token issued.</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Unit</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TC-03</w:t>
            </w:r>
          </w:p>
        </w:tc>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 enrolls in an available course</w:t>
            </w:r>
          </w:p>
        </w:tc>
        <w:tc>
          <w:tcPr>
            <w:tcW w:type="dxa" w:w="21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Enrollment record created; confirmation notification sent.</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Integration</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TC-04</w:t>
            </w:r>
          </w:p>
        </w:tc>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Student attempts to enroll after registration closes</w:t>
            </w:r>
          </w:p>
        </w:tc>
        <w:tc>
          <w:tcPr>
            <w:tcW w:type="dxa" w:w="21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HTTP 403 returned with informative error message.</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Integration</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TC-05</w:t>
            </w:r>
          </w:p>
        </w:tc>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Student submits valid assignment file (PDF, 5MB)</w:t>
            </w:r>
          </w:p>
        </w:tc>
        <w:tc>
          <w:tcPr>
            <w:tcW w:type="dxa" w:w="21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File stored on S3; submission record created; status updated.</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System</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TC-06</w:t>
            </w:r>
          </w:p>
        </w:tc>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Student submits file exceeding 20MB limit</w:t>
            </w:r>
          </w:p>
        </w:tc>
        <w:tc>
          <w:tcPr>
            <w:tcW w:type="dxa" w:w="21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HTTP 413 returned; file rejected; no record created.</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Integration</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TC-07</w:t>
            </w:r>
          </w:p>
        </w:tc>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Faculty marks attendance for full class roster</w:t>
            </w:r>
          </w:p>
        </w:tc>
        <w:tc>
          <w:tcPr>
            <w:tcW w:type="dxa" w:w="21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All attendance records persisted; absent students notified.</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System</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TC-08</w:t>
            </w:r>
          </w:p>
        </w:tc>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Faculty publishes grades for enrolled students</w:t>
            </w:r>
          </w:p>
        </w:tc>
        <w:tc>
          <w:tcPr>
            <w:tcW w:type="dxa" w:w="21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Grades visible on student dashboards; GPA recalculated.</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System</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TC-09</w:t>
            </w:r>
          </w:p>
        </w:tc>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Admin generates enrollment report as CSV</w:t>
            </w:r>
          </w:p>
        </w:tc>
        <w:tc>
          <w:tcPr>
            <w:tcW w:type="dxa" w:w="21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CSV file downloaded with accurate enrollment data.</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System</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TC-10</w:t>
            </w:r>
          </w:p>
        </w:tc>
        <w:tc>
          <w:tcPr>
            <w:tcW w:type="dxa" w:w="3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SQL injection attempt via login form</w:t>
            </w:r>
          </w:p>
        </w:tc>
        <w:tc>
          <w:tcPr>
            <w:tcW w:type="dxa" w:w="21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Input sanitised; no database error; HTTP 401 returned.</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Security</w:t>
            </w:r>
          </w:p>
        </w:tc>
        <w:tc>
          <w:tcPr>
            <w:tcW w:type="dxa" w:w="1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TC-11</w:t>
            </w:r>
          </w:p>
        </w:tc>
        <w:tc>
          <w:tcPr>
            <w:tcW w:type="dxa" w:w="3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Concurrent enrollment by 50 simulated students</w:t>
            </w:r>
          </w:p>
        </w:tc>
        <w:tc>
          <w:tcPr>
            <w:tcW w:type="dxa" w:w="21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All records committed without data integrity violations.</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Performance</w:t>
            </w:r>
          </w:p>
        </w:tc>
        <w:tc>
          <w:tcPr>
            <w:tcW w:type="dxa" w:w="1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bl>
    <w:p>
      <w:pPr>
        <w:spacing w:before="60" w:after="180"/>
        <w:jc w:val="center"/>
      </w:pPr>
      <w:r>
        <w:rPr>
          <w:rFonts w:ascii="Arial" w:cs="Arial" w:eastAsia="Arial" w:hAnsi="Arial"/>
          <w:i/>
          <w:iCs/>
          <w:color w:val="555555"/>
          <w:sz w:val="18"/>
          <w:szCs w:val="18"/>
        </w:rPr>
        <w:t xml:space="preserve">Table 3.11 — Key Test Cases and Results</w:t>
      </w:r>
    </w:p>
    <w:p>
      <w:pPr>
        <w:pStyle w:val="Heading2"/>
        <w:spacing w:before="320" w:after="160"/>
      </w:pPr>
      <w:r>
        <w:rPr>
          <w:rFonts w:ascii="Arial" w:cs="Arial" w:eastAsia="Arial" w:hAnsi="Arial"/>
          <w:b/>
          <w:bCs/>
          <w:color w:val="2C5898"/>
          <w:sz w:val="26"/>
          <w:szCs w:val="26"/>
        </w:rPr>
        <w:t xml:space="preserve">3.6.4  User Acceptance Testing (UAT) Summary</w:t>
      </w:r>
    </w:p>
    <w:p>
      <w:pPr>
        <w:spacing w:before="80" w:after="120"/>
        <w:jc w:val="both"/>
      </w:pPr>
      <w:r>
        <w:rPr>
          <w:rFonts w:ascii="Arial" w:cs="Arial" w:eastAsia="Arial" w:hAnsi="Arial"/>
          <w:sz w:val="22"/>
          <w:szCs w:val="22"/>
        </w:rPr>
        <w:t xml:space="preserve">User Acceptance Testing was conducted over a two-day period with a panel of six representative users: two students, two faculty members, and one administrator. Each participant was provided with a structured test script covering their role-specific user journeys and requested to record any defects, usability issues, or suggestions encountered during execution.</w:t>
      </w:r>
    </w:p>
    <w:p>
      <w:pPr>
        <w:spacing w:before="80" w:after="120"/>
        <w:jc w:val="both"/>
      </w:pPr>
      <w:r>
        <w:rPr>
          <w:rFonts w:ascii="Arial" w:cs="Arial" w:eastAsia="Arial" w:hAnsi="Arial"/>
          <w:sz w:val="22"/>
          <w:szCs w:val="22"/>
        </w:rPr>
        <w:t xml:space="preserve">All critical UAT test scenarios were executed successfully. Three minor usability improvement requests were logged by participants, all of which were addressed and resolved prior to the v1.0 final submission. No functional defects were identified during the UAT process. Participants unanimously indicated that the system was intuitive, responsive, and a significant improvement over existing manual processes.</w:t>
      </w:r>
    </w:p>
    <w:p>
      <w:pPr>
        <w:pStyle w:val="Heading1"/>
        <w:pBdr>
          <w:bottom w:val="single" w:color="1B3A6B" w:sz="6" w:space="6"/>
        </w:pBdr>
        <w:spacing w:before="500" w:after="200"/>
      </w:pPr>
      <w:r>
        <w:rPr>
          <w:rFonts w:ascii="Arial" w:cs="Arial" w:eastAsia="Arial" w:hAnsi="Arial"/>
          <w:b/>
          <w:bCs/>
          <w:color w:val="1B3A6B"/>
          <w:sz w:val="32"/>
          <w:szCs w:val="32"/>
        </w:rPr>
        <w:t xml:space="preserve">3.7  Deployment Documentation</w:t>
      </w:r>
    </w:p>
    <w:p>
      <w:pPr>
        <w:pStyle w:val="Heading2"/>
        <w:spacing w:before="320" w:after="160"/>
      </w:pPr>
      <w:r>
        <w:rPr>
          <w:rFonts w:ascii="Arial" w:cs="Arial" w:eastAsia="Arial" w:hAnsi="Arial"/>
          <w:b/>
          <w:bCs/>
          <w:color w:val="2C5898"/>
          <w:sz w:val="26"/>
          <w:szCs w:val="26"/>
        </w:rPr>
        <w:t xml:space="preserve">3.7.1  System Requirements</w:t>
      </w:r>
    </w:p>
    <w:p>
      <w:pPr>
        <w:spacing w:before="80" w:after="120"/>
        <w:jc w:val="both"/>
      </w:pPr>
      <w:r>
        <w:rPr>
          <w:rFonts w:ascii="Arial" w:cs="Arial" w:eastAsia="Arial" w:hAnsi="Arial"/>
          <w:sz w:val="22"/>
          <w:szCs w:val="22"/>
        </w:rPr>
        <w:t xml:space="preserve">The following minimum hardware and software requirements must be satisfied in both development and production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35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Development Requirement</w:t>
            </w:r>
          </w:p>
        </w:tc>
        <w:tc>
          <w:tcPr>
            <w:tcW w:type="dxa" w:w="3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Production Requirement</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Operating System</w:t>
            </w:r>
          </w:p>
        </w:tc>
        <w:tc>
          <w:tcPr>
            <w:tcW w:type="dxa" w:w="3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Ubuntu 22.04 LTS / macOS 13+</w:t>
            </w:r>
          </w:p>
        </w:tc>
        <w:tc>
          <w:tcPr>
            <w:tcW w:type="dxa" w:w="3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Ubuntu 22.04 LTS (AWS EC2)</w:t>
            </w:r>
          </w:p>
        </w:tc>
      </w:tr>
      <w:tr>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Node.js Runtime</w:t>
            </w:r>
          </w:p>
        </w:tc>
        <w:tc>
          <w:tcPr>
            <w:tcW w:type="dxa" w:w="35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v20.x LTS or later</w:t>
            </w:r>
          </w:p>
        </w:tc>
        <w:tc>
          <w:tcPr>
            <w:tcW w:type="dxa" w:w="3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v20.x LTS (within Docker container)</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PostgreSQL</w:t>
            </w:r>
          </w:p>
        </w:tc>
        <w:tc>
          <w:tcPr>
            <w:tcW w:type="dxa" w:w="3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v15 or later</w:t>
            </w:r>
          </w:p>
        </w:tc>
        <w:tc>
          <w:tcPr>
            <w:tcW w:type="dxa" w:w="3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AWS RDS PostgreSQL 15 (db.t3.medium)</w:t>
            </w:r>
          </w:p>
        </w:tc>
      </w:tr>
      <w:tr>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Docker</w:t>
            </w:r>
          </w:p>
        </w:tc>
        <w:tc>
          <w:tcPr>
            <w:tcW w:type="dxa" w:w="35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Docker Desktop v4.x+</w:t>
            </w:r>
          </w:p>
        </w:tc>
        <w:tc>
          <w:tcPr>
            <w:tcW w:type="dxa" w:w="3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Docker Engine v24+ on EC2</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RAM</w:t>
            </w:r>
          </w:p>
        </w:tc>
        <w:tc>
          <w:tcPr>
            <w:tcW w:type="dxa" w:w="3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8 GB minimum</w:t>
            </w:r>
          </w:p>
        </w:tc>
        <w:tc>
          <w:tcPr>
            <w:tcW w:type="dxa" w:w="3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16 GB recommended (EC2 t3.large)</w:t>
            </w:r>
          </w:p>
        </w:tc>
      </w:tr>
      <w:tr>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Storage</w:t>
            </w:r>
          </w:p>
        </w:tc>
        <w:tc>
          <w:tcPr>
            <w:tcW w:type="dxa" w:w="35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20 GB available</w:t>
            </w:r>
          </w:p>
        </w:tc>
        <w:tc>
          <w:tcPr>
            <w:tcW w:type="dxa" w:w="36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100 GB SSD (EC2) + S3 for files</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Network</w:t>
            </w:r>
          </w:p>
        </w:tc>
        <w:tc>
          <w:tcPr>
            <w:tcW w:type="dxa" w:w="3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Internet access</w:t>
            </w:r>
          </w:p>
        </w:tc>
        <w:tc>
          <w:tcPr>
            <w:tcW w:type="dxa" w:w="36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HTTPS on port 443; internal VPC</w:t>
            </w:r>
          </w:p>
        </w:tc>
      </w:tr>
    </w:tbl>
    <w:p>
      <w:pPr>
        <w:spacing w:before="60" w:after="180"/>
        <w:jc w:val="center"/>
      </w:pPr>
      <w:r>
        <w:rPr>
          <w:rFonts w:ascii="Arial" w:cs="Arial" w:eastAsia="Arial" w:hAnsi="Arial"/>
          <w:i/>
          <w:iCs/>
          <w:color w:val="555555"/>
          <w:sz w:val="18"/>
          <w:szCs w:val="18"/>
        </w:rPr>
        <w:t xml:space="preserve">Table 3.12 — System Requirements</w:t>
      </w:r>
    </w:p>
    <w:p>
      <w:pPr>
        <w:pStyle w:val="Heading2"/>
        <w:spacing w:before="320" w:after="160"/>
      </w:pPr>
      <w:r>
        <w:rPr>
          <w:rFonts w:ascii="Arial" w:cs="Arial" w:eastAsia="Arial" w:hAnsi="Arial"/>
          <w:b/>
          <w:bCs/>
          <w:color w:val="2C5898"/>
          <w:sz w:val="26"/>
          <w:szCs w:val="26"/>
        </w:rPr>
        <w:t xml:space="preserve">3.7.2  Local Development Setup</w:t>
      </w:r>
    </w:p>
    <w:p>
      <w:pPr>
        <w:spacing w:before="80" w:after="120"/>
        <w:jc w:val="both"/>
      </w:pPr>
      <w:r>
        <w:rPr>
          <w:rFonts w:ascii="Arial" w:cs="Arial" w:eastAsia="Arial" w:hAnsi="Arial"/>
          <w:sz w:val="22"/>
          <w:szCs w:val="22"/>
        </w:rPr>
        <w:t xml:space="preserve">To configure the project for local development, execute the following steps in sequence:</w:t>
      </w:r>
    </w:p>
    <w:p>
      <w:pPr>
        <w:pStyle w:val="ListParagraph"/>
        <w:numPr>
          <w:ilvl w:val="0"/>
          <w:numId w:val="2"/>
        </w:numPr>
        <w:spacing w:before="60" w:after="60"/>
      </w:pPr>
      <w:r>
        <w:rPr>
          <w:rFonts w:ascii="Arial" w:cs="Arial" w:eastAsia="Arial" w:hAnsi="Arial"/>
          <w:sz w:val="22"/>
          <w:szCs w:val="22"/>
        </w:rPr>
        <w:t xml:space="preserve">Clone the project repository: git clone [repository-url] &amp;&amp; cd smart-student-portal</w:t>
      </w:r>
    </w:p>
    <w:p>
      <w:pPr>
        <w:pStyle w:val="ListParagraph"/>
        <w:numPr>
          <w:ilvl w:val="0"/>
          <w:numId w:val="2"/>
        </w:numPr>
        <w:spacing w:before="60" w:after="60"/>
      </w:pPr>
      <w:r>
        <w:rPr>
          <w:rFonts w:ascii="Arial" w:cs="Arial" w:eastAsia="Arial" w:hAnsi="Arial"/>
          <w:sz w:val="22"/>
          <w:szCs w:val="22"/>
        </w:rPr>
        <w:t xml:space="preserve">Install Node.js dependencies for both back-end and front-end: npm install (run from both /server and /client directories).</w:t>
      </w:r>
    </w:p>
    <w:p>
      <w:pPr>
        <w:pStyle w:val="ListParagraph"/>
        <w:numPr>
          <w:ilvl w:val="0"/>
          <w:numId w:val="2"/>
        </w:numPr>
        <w:spacing w:before="60" w:after="60"/>
      </w:pPr>
      <w:r>
        <w:rPr>
          <w:rFonts w:ascii="Arial" w:cs="Arial" w:eastAsia="Arial" w:hAnsi="Arial"/>
          <w:sz w:val="22"/>
          <w:szCs w:val="22"/>
        </w:rPr>
        <w:t xml:space="preserve">Create a .env file in the /server directory by copying .env.example and populating all required environment variables with local development values.</w:t>
      </w:r>
    </w:p>
    <w:p>
      <w:pPr>
        <w:pStyle w:val="ListParagraph"/>
        <w:numPr>
          <w:ilvl w:val="0"/>
          <w:numId w:val="2"/>
        </w:numPr>
        <w:spacing w:before="60" w:after="60"/>
      </w:pPr>
      <w:r>
        <w:rPr>
          <w:rFonts w:ascii="Arial" w:cs="Arial" w:eastAsia="Arial" w:hAnsi="Arial"/>
          <w:sz w:val="22"/>
          <w:szCs w:val="22"/>
        </w:rPr>
        <w:t xml:space="preserve">Provision the local PostgreSQL database and run all pending Prisma migrations: npx prisma migrate dev</w:t>
      </w:r>
    </w:p>
    <w:p>
      <w:pPr>
        <w:pStyle w:val="ListParagraph"/>
        <w:numPr>
          <w:ilvl w:val="0"/>
          <w:numId w:val="2"/>
        </w:numPr>
        <w:spacing w:before="60" w:after="60"/>
      </w:pPr>
      <w:r>
        <w:rPr>
          <w:rFonts w:ascii="Arial" w:cs="Arial" w:eastAsia="Arial" w:hAnsi="Arial"/>
          <w:sz w:val="22"/>
          <w:szCs w:val="22"/>
        </w:rPr>
        <w:t xml:space="preserve">Optionally seed the database with test data: npx prisma db seed</w:t>
      </w:r>
    </w:p>
    <w:p>
      <w:pPr>
        <w:pStyle w:val="ListParagraph"/>
        <w:numPr>
          <w:ilvl w:val="0"/>
          <w:numId w:val="2"/>
        </w:numPr>
        <w:spacing w:before="60" w:after="60"/>
      </w:pPr>
      <w:r>
        <w:rPr>
          <w:rFonts w:ascii="Arial" w:cs="Arial" w:eastAsia="Arial" w:hAnsi="Arial"/>
          <w:sz w:val="22"/>
          <w:szCs w:val="22"/>
        </w:rPr>
        <w:t xml:space="preserve">Start the development servers: npm run dev (from /server) and npm start (from /client) in separate terminal sessions.</w:t>
      </w:r>
    </w:p>
    <w:p>
      <w:pPr>
        <w:pStyle w:val="ListParagraph"/>
        <w:numPr>
          <w:ilvl w:val="0"/>
          <w:numId w:val="2"/>
        </w:numPr>
        <w:spacing w:before="60" w:after="60"/>
      </w:pPr>
      <w:r>
        <w:rPr>
          <w:rFonts w:ascii="Arial" w:cs="Arial" w:eastAsia="Arial" w:hAnsi="Arial"/>
          <w:sz w:val="22"/>
          <w:szCs w:val="22"/>
        </w:rPr>
        <w:t xml:space="preserve">The API server will be available at http://localhost:5000 and the front-end at http://localhost:3000.</w:t>
      </w:r>
    </w:p>
    <w:p>
      <w:pPr>
        <w:pStyle w:val="Heading2"/>
        <w:spacing w:before="320" w:after="160"/>
      </w:pPr>
      <w:r>
        <w:rPr>
          <w:rFonts w:ascii="Arial" w:cs="Arial" w:eastAsia="Arial" w:hAnsi="Arial"/>
          <w:b/>
          <w:bCs/>
          <w:color w:val="2C5898"/>
          <w:sz w:val="26"/>
          <w:szCs w:val="26"/>
        </w:rPr>
        <w:t xml:space="preserve">3.7.3  Production Deployment Procedure</w:t>
      </w:r>
    </w:p>
    <w:p>
      <w:pPr>
        <w:spacing w:before="80" w:after="120"/>
        <w:jc w:val="both"/>
      </w:pPr>
      <w:r>
        <w:rPr>
          <w:rFonts w:ascii="Arial" w:cs="Arial" w:eastAsia="Arial" w:hAnsi="Arial"/>
          <w:sz w:val="22"/>
          <w:szCs w:val="22"/>
        </w:rPr>
        <w:t xml:space="preserve">Production deployments are executed via the CI/CD pipeline configured in GitHub Actions. The pipeline is triggered automatically upon a merge to the main branch and executes the following stages:</w:t>
      </w:r>
    </w:p>
    <w:p>
      <w:pPr>
        <w:pStyle w:val="ListParagraph"/>
        <w:numPr>
          <w:ilvl w:val="0"/>
          <w:numId w:val="3"/>
        </w:numPr>
        <w:spacing w:before="60" w:after="60"/>
      </w:pPr>
      <w:r>
        <w:rPr>
          <w:rFonts w:ascii="Arial" w:cs="Arial" w:eastAsia="Arial" w:hAnsi="Arial"/>
          <w:sz w:val="22"/>
          <w:szCs w:val="22"/>
        </w:rPr>
        <w:t xml:space="preserve">Build Stage: Dependencies are installed, the React application is built into a production bundle, and Docker images are built for both the API server and Nginx front-end containers.</w:t>
      </w:r>
    </w:p>
    <w:p>
      <w:pPr>
        <w:pStyle w:val="ListParagraph"/>
        <w:numPr>
          <w:ilvl w:val="0"/>
          <w:numId w:val="3"/>
        </w:numPr>
        <w:spacing w:before="60" w:after="60"/>
      </w:pPr>
      <w:r>
        <w:rPr>
          <w:rFonts w:ascii="Arial" w:cs="Arial" w:eastAsia="Arial" w:hAnsi="Arial"/>
          <w:sz w:val="22"/>
          <w:szCs w:val="22"/>
        </w:rPr>
        <w:t xml:space="preserve">Test Stage: The full unit and integration test suite is executed against a temporary PostgreSQL test container. A failed test causes the pipeline to abort and notifies the development team.</w:t>
      </w:r>
    </w:p>
    <w:p>
      <w:pPr>
        <w:pStyle w:val="ListParagraph"/>
        <w:numPr>
          <w:ilvl w:val="0"/>
          <w:numId w:val="3"/>
        </w:numPr>
        <w:spacing w:before="60" w:after="60"/>
      </w:pPr>
      <w:r>
        <w:rPr>
          <w:rFonts w:ascii="Arial" w:cs="Arial" w:eastAsia="Arial" w:hAnsi="Arial"/>
          <w:sz w:val="22"/>
          <w:szCs w:val="22"/>
        </w:rPr>
        <w:t xml:space="preserve">Security Scan Stage: The npm audit command is executed to detect known vulnerabilities in dependencies. Critical vulnerabilities block the deployment.</w:t>
      </w:r>
    </w:p>
    <w:p>
      <w:pPr>
        <w:pStyle w:val="ListParagraph"/>
        <w:numPr>
          <w:ilvl w:val="0"/>
          <w:numId w:val="3"/>
        </w:numPr>
        <w:spacing w:before="60" w:after="60"/>
      </w:pPr>
      <w:r>
        <w:rPr>
          <w:rFonts w:ascii="Arial" w:cs="Arial" w:eastAsia="Arial" w:hAnsi="Arial"/>
          <w:sz w:val="22"/>
          <w:szCs w:val="22"/>
        </w:rPr>
        <w:t xml:space="preserve">Push Stage: Successfully built and tested Docker images are tagged with the commit SHA and pushed to the Amazon Elastic Container Registry (ECR).</w:t>
      </w:r>
    </w:p>
    <w:p>
      <w:pPr>
        <w:pStyle w:val="ListParagraph"/>
        <w:numPr>
          <w:ilvl w:val="0"/>
          <w:numId w:val="3"/>
        </w:numPr>
        <w:spacing w:before="60" w:after="60"/>
      </w:pPr>
      <w:r>
        <w:rPr>
          <w:rFonts w:ascii="Arial" w:cs="Arial" w:eastAsia="Arial" w:hAnsi="Arial"/>
          <w:sz w:val="22"/>
          <w:szCs w:val="22"/>
        </w:rPr>
        <w:t xml:space="preserve">Deploy Stage: The EC2 production server pulls the latest images from ECR, runs pending database migrations, and restarts the application containers using Docker Compose. A health check confirms successful deployment before the pipeline is marked complete.</w:t>
      </w:r>
    </w:p>
    <w:p>
      <w:pPr>
        <w:pStyle w:val="Heading1"/>
        <w:pBdr>
          <w:bottom w:val="single" w:color="1B3A6B" w:sz="6" w:space="6"/>
        </w:pBdr>
        <w:spacing w:before="500" w:after="200"/>
      </w:pPr>
      <w:r>
        <w:rPr>
          <w:rFonts w:ascii="Arial" w:cs="Arial" w:eastAsia="Arial" w:hAnsi="Arial"/>
          <w:b/>
          <w:bCs/>
          <w:color w:val="1B3A6B"/>
          <w:sz w:val="32"/>
          <w:szCs w:val="32"/>
        </w:rPr>
        <w:t xml:space="preserve">3.8  Project Management Documentation</w:t>
      </w:r>
    </w:p>
    <w:p>
      <w:pPr>
        <w:pStyle w:val="Heading2"/>
        <w:spacing w:before="320" w:after="160"/>
      </w:pPr>
      <w:r>
        <w:rPr>
          <w:rFonts w:ascii="Arial" w:cs="Arial" w:eastAsia="Arial" w:hAnsi="Arial"/>
          <w:b/>
          <w:bCs/>
          <w:color w:val="2C5898"/>
          <w:sz w:val="26"/>
          <w:szCs w:val="26"/>
        </w:rPr>
        <w:t xml:space="preserve">3.8.1  Final Project Schedule vs. Actual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60"/>
        <w:gridCol w:w="1900"/>
        <w:gridCol w:w="1900"/>
        <w:gridCol w:w="1100"/>
        <w:gridCol w:w="1200"/>
      </w:tblGrid>
      <w:tr>
        <w:trPr>
          <w:tblHeader/>
        </w:trPr>
        <w:tc>
          <w:tcPr>
            <w:tcW w:type="dxa" w:w="5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7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Activity</w:t>
            </w:r>
          </w:p>
        </w:tc>
        <w:tc>
          <w:tcPr>
            <w:tcW w:type="dxa" w:w="19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Planned End</w:t>
            </w:r>
          </w:p>
        </w:tc>
        <w:tc>
          <w:tcPr>
            <w:tcW w:type="dxa" w:w="19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Actual End</w:t>
            </w:r>
          </w:p>
        </w:tc>
        <w:tc>
          <w:tcPr>
            <w:tcW w:type="dxa" w:w="11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Variance</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2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Requirements Gathering</w:t>
            </w:r>
          </w:p>
        </w:tc>
        <w:tc>
          <w:tcPr>
            <w:tcW w:type="dxa" w:w="19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Jan 24, 2026</w:t>
            </w:r>
          </w:p>
        </w:tc>
        <w:tc>
          <w:tcPr>
            <w:tcW w:type="dxa" w:w="19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Jan 24, 2026</w:t>
            </w:r>
          </w:p>
        </w:tc>
        <w:tc>
          <w:tcPr>
            <w:tcW w:type="dxa" w:w="11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0 days</w:t>
            </w:r>
          </w:p>
        </w:tc>
        <w:tc>
          <w:tcPr>
            <w:tcW w:type="dxa" w:w="1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On Time</w:t>
            </w:r>
          </w:p>
        </w:tc>
      </w:tr>
      <w:tr>
        <w:tc>
          <w:tcPr>
            <w:tcW w:type="dxa" w:w="5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2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System Design</w:t>
            </w:r>
          </w:p>
        </w:tc>
        <w:tc>
          <w:tcPr>
            <w:tcW w:type="dxa" w:w="19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Feb 07, 2026</w:t>
            </w:r>
          </w:p>
        </w:tc>
        <w:tc>
          <w:tcPr>
            <w:tcW w:type="dxa" w:w="19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Feb 10, 2026</w:t>
            </w:r>
          </w:p>
        </w:tc>
        <w:tc>
          <w:tcPr>
            <w:tcW w:type="dxa" w:w="11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+3 days</w:t>
            </w:r>
          </w:p>
        </w:tc>
        <w:tc>
          <w:tcPr>
            <w:tcW w:type="dxa" w:w="1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Slight Delay</w:t>
            </w:r>
          </w:p>
        </w:tc>
      </w:tr>
      <w:tr>
        <w:tc>
          <w:tcPr>
            <w:tcW w:type="dxa" w:w="5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2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Database Schema Design</w:t>
            </w:r>
          </w:p>
        </w:tc>
        <w:tc>
          <w:tcPr>
            <w:tcW w:type="dxa" w:w="19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Feb 14, 2026</w:t>
            </w:r>
          </w:p>
        </w:tc>
        <w:tc>
          <w:tcPr>
            <w:tcW w:type="dxa" w:w="19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Feb 14, 2026</w:t>
            </w:r>
          </w:p>
        </w:tc>
        <w:tc>
          <w:tcPr>
            <w:tcW w:type="dxa" w:w="11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0 days</w:t>
            </w:r>
          </w:p>
        </w:tc>
        <w:tc>
          <w:tcPr>
            <w:tcW w:type="dxa" w:w="1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On Time</w:t>
            </w:r>
          </w:p>
        </w:tc>
      </w:tr>
      <w:tr>
        <w:tc>
          <w:tcPr>
            <w:tcW w:type="dxa" w:w="5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2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Front-End Development</w:t>
            </w:r>
          </w:p>
        </w:tc>
        <w:tc>
          <w:tcPr>
            <w:tcW w:type="dxa" w:w="19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Feb 28, 2026</w:t>
            </w:r>
          </w:p>
        </w:tc>
        <w:tc>
          <w:tcPr>
            <w:tcW w:type="dxa" w:w="19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Mar 02, 2026</w:t>
            </w:r>
          </w:p>
        </w:tc>
        <w:tc>
          <w:tcPr>
            <w:tcW w:type="dxa" w:w="11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+2 days</w:t>
            </w:r>
          </w:p>
        </w:tc>
        <w:tc>
          <w:tcPr>
            <w:tcW w:type="dxa" w:w="1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Slight Delay</w:t>
            </w:r>
          </w:p>
        </w:tc>
      </w:tr>
      <w:tr>
        <w:tc>
          <w:tcPr>
            <w:tcW w:type="dxa" w:w="5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2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Back-End API Development</w:t>
            </w:r>
          </w:p>
        </w:tc>
        <w:tc>
          <w:tcPr>
            <w:tcW w:type="dxa" w:w="19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Mar 14, 2026</w:t>
            </w:r>
          </w:p>
        </w:tc>
        <w:tc>
          <w:tcPr>
            <w:tcW w:type="dxa" w:w="19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Mar 13, 2026</w:t>
            </w:r>
          </w:p>
        </w:tc>
        <w:tc>
          <w:tcPr>
            <w:tcW w:type="dxa" w:w="11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 day</w:t>
            </w:r>
          </w:p>
        </w:tc>
        <w:tc>
          <w:tcPr>
            <w:tcW w:type="dxa" w:w="1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Early</w:t>
            </w:r>
          </w:p>
        </w:tc>
      </w:tr>
      <w:tr>
        <w:tc>
          <w:tcPr>
            <w:tcW w:type="dxa" w:w="5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2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Integration &amp; System Testing</w:t>
            </w:r>
          </w:p>
        </w:tc>
        <w:tc>
          <w:tcPr>
            <w:tcW w:type="dxa" w:w="19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Mar 28, 2026</w:t>
            </w:r>
          </w:p>
        </w:tc>
        <w:tc>
          <w:tcPr>
            <w:tcW w:type="dxa" w:w="19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Mar 27, 2026</w:t>
            </w:r>
          </w:p>
        </w:tc>
        <w:tc>
          <w:tcPr>
            <w:tcW w:type="dxa" w:w="11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-1 day</w:t>
            </w:r>
          </w:p>
        </w:tc>
        <w:tc>
          <w:tcPr>
            <w:tcW w:type="dxa" w:w="1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Early</w:t>
            </w:r>
          </w:p>
        </w:tc>
      </w:tr>
      <w:tr>
        <w:tc>
          <w:tcPr>
            <w:tcW w:type="dxa" w:w="5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2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User Acceptance Testing</w:t>
            </w:r>
          </w:p>
        </w:tc>
        <w:tc>
          <w:tcPr>
            <w:tcW w:type="dxa" w:w="19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Apr 05, 2026</w:t>
            </w:r>
          </w:p>
        </w:tc>
        <w:tc>
          <w:tcPr>
            <w:tcW w:type="dxa" w:w="19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Apr 05, 2026</w:t>
            </w:r>
          </w:p>
        </w:tc>
        <w:tc>
          <w:tcPr>
            <w:tcW w:type="dxa" w:w="11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0 days</w:t>
            </w:r>
          </w:p>
        </w:tc>
        <w:tc>
          <w:tcPr>
            <w:tcW w:type="dxa" w:w="1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On Time</w:t>
            </w:r>
          </w:p>
        </w:tc>
      </w:tr>
      <w:tr>
        <w:tc>
          <w:tcPr>
            <w:tcW w:type="dxa" w:w="5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8</w:t>
            </w:r>
          </w:p>
        </w:tc>
        <w:tc>
          <w:tcPr>
            <w:tcW w:type="dxa" w:w="2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Documentation &amp; Deployment</w:t>
            </w:r>
          </w:p>
        </w:tc>
        <w:tc>
          <w:tcPr>
            <w:tcW w:type="dxa" w:w="19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Apr 14, 2026</w:t>
            </w:r>
          </w:p>
        </w:tc>
        <w:tc>
          <w:tcPr>
            <w:tcW w:type="dxa" w:w="19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Apr 12, 2026</w:t>
            </w:r>
          </w:p>
        </w:tc>
        <w:tc>
          <w:tcPr>
            <w:tcW w:type="dxa" w:w="11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-2 days</w:t>
            </w:r>
          </w:p>
        </w:tc>
        <w:tc>
          <w:tcPr>
            <w:tcW w:type="dxa" w:w="1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Early</w:t>
            </w:r>
          </w:p>
        </w:tc>
      </w:tr>
    </w:tbl>
    <w:p>
      <w:pPr>
        <w:spacing w:before="60" w:after="180"/>
        <w:jc w:val="center"/>
      </w:pPr>
      <w:r>
        <w:rPr>
          <w:rFonts w:ascii="Arial" w:cs="Arial" w:eastAsia="Arial" w:hAnsi="Arial"/>
          <w:i/>
          <w:iCs/>
          <w:color w:val="555555"/>
          <w:sz w:val="18"/>
          <w:szCs w:val="18"/>
        </w:rPr>
        <w:t xml:space="preserve">Table 3.13 — Planned vs. Actual Project Timeline</w:t>
      </w:r>
    </w:p>
    <w:p>
      <w:pPr>
        <w:pStyle w:val="Heading2"/>
        <w:spacing w:before="320" w:after="160"/>
      </w:pPr>
      <w:r>
        <w:rPr>
          <w:rFonts w:ascii="Arial" w:cs="Arial" w:eastAsia="Arial" w:hAnsi="Arial"/>
          <w:b/>
          <w:bCs/>
          <w:color w:val="2C5898"/>
          <w:sz w:val="26"/>
          <w:szCs w:val="26"/>
        </w:rPr>
        <w:t xml:space="preserve">3.8.2  Issues and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760"/>
        <w:gridCol w:w="2200"/>
        <w:gridCol w:w="1800"/>
      </w:tblGrid>
      <w:tr>
        <w:trPr>
          <w:tblHeader/>
        </w:trPr>
        <w:tc>
          <w:tcPr>
            <w:tcW w:type="dxa" w:w="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Issue ID</w:t>
            </w:r>
          </w:p>
        </w:tc>
        <w:tc>
          <w:tcPr>
            <w:tcW w:type="dxa" w:w="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37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ISS-01</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3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ER model required revision: attendance table lacked composite unique constraint.</w:t>
            </w:r>
          </w:p>
        </w:tc>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Constraint added; migration script updated.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Resolved</w:t>
            </w:r>
          </w:p>
        </w:tc>
      </w:tr>
      <w:tr>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ISS-02</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3</w:t>
            </w:r>
          </w:p>
        </w:tc>
        <w:tc>
          <w:tcPr>
            <w:tcW w:type="dxa" w:w="3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File upload size validation not enforced at API layer; only on client.</w:t>
            </w:r>
          </w:p>
        </w:tc>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Multer middleware size limit added to API route.</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Resolved</w:t>
            </w:r>
          </w:p>
        </w:tc>
      </w:tr>
      <w:tr>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ISS-03</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JWT refresh token not invalidated on logout in early builds.</w:t>
            </w:r>
          </w:p>
        </w:tc>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Redis token blacklist implemented; all logout paths updated.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Resolved</w:t>
            </w:r>
          </w:p>
        </w:tc>
      </w:tr>
      <w:tr>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ISS-04</w:t>
            </w:r>
          </w:p>
        </w:tc>
        <w:tc>
          <w:tcPr>
            <w:tcW w:type="dxa" w:w="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3</w:t>
            </w:r>
          </w:p>
        </w:tc>
        <w:tc>
          <w:tcPr>
            <w:tcW w:type="dxa" w:w="37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Grade distribution chart not rendering correctly on Firefox.</w:t>
            </w:r>
          </w:p>
        </w:tc>
        <w:tc>
          <w:tcPr>
            <w:tcW w:type="dxa" w:w="22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Chart.js version pinned; CSS flex fix applied.</w:t>
            </w:r>
          </w:p>
        </w:tc>
        <w:tc>
          <w:tcPr>
            <w:tcW w:type="dxa" w:w="18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Resolved</w:t>
            </w:r>
          </w:p>
        </w:tc>
      </w:tr>
      <w:tr>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ISS-05</w:t>
            </w:r>
          </w:p>
        </w:tc>
        <w:tc>
          <w:tcPr>
            <w:tcW w:type="dxa" w:w="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7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Bulk user import CSV parser rejected rows with commas in names.</w:t>
            </w:r>
          </w:p>
        </w:tc>
        <w:tc>
          <w:tcPr>
            <w:tcW w:type="dxa" w:w="22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Parser updated to support RFC 4180 quoted fields.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Resolved</w:t>
            </w:r>
          </w:p>
        </w:tc>
      </w:tr>
    </w:tbl>
    <w:p>
      <w:pPr>
        <w:spacing w:before="60" w:after="180"/>
        <w:jc w:val="center"/>
      </w:pPr>
      <w:r>
        <w:rPr>
          <w:rFonts w:ascii="Arial" w:cs="Arial" w:eastAsia="Arial" w:hAnsi="Arial"/>
          <w:i/>
          <w:iCs/>
          <w:color w:val="555555"/>
          <w:sz w:val="18"/>
          <w:szCs w:val="18"/>
        </w:rPr>
        <w:t xml:space="preserve">Table 3.14 — Issue and Change Log</w:t>
      </w:r>
    </w:p>
    <w:p>
      <w:pPr>
        <w:pStyle w:val="Heading1"/>
        <w:pBdr>
          <w:bottom w:val="single" w:color="1B3A6B" w:sz="6" w:space="6"/>
        </w:pBdr>
        <w:spacing w:before="500" w:after="200"/>
      </w:pPr>
      <w:r>
        <w:rPr>
          <w:rFonts w:ascii="Arial" w:cs="Arial" w:eastAsia="Arial" w:hAnsi="Arial"/>
          <w:b/>
          <w:bCs/>
          <w:color w:val="1B3A6B"/>
          <w:sz w:val="32"/>
          <w:szCs w:val="32"/>
        </w:rPr>
        <w:t xml:space="preserve">3.9  Maintenance and Future Development</w:t>
      </w:r>
    </w:p>
    <w:p>
      <w:pPr>
        <w:pStyle w:val="Heading2"/>
        <w:spacing w:before="320" w:after="160"/>
      </w:pPr>
      <w:r>
        <w:rPr>
          <w:rFonts w:ascii="Arial" w:cs="Arial" w:eastAsia="Arial" w:hAnsi="Arial"/>
          <w:b/>
          <w:bCs/>
          <w:color w:val="2C5898"/>
          <w:sz w:val="26"/>
          <w:szCs w:val="26"/>
        </w:rPr>
        <w:t xml:space="preserve">3.9.1  Maintenance Guidelines</w:t>
      </w:r>
    </w:p>
    <w:p>
      <w:pPr>
        <w:spacing w:before="80" w:after="120"/>
        <w:jc w:val="both"/>
      </w:pPr>
      <w:r>
        <w:rPr>
          <w:rFonts w:ascii="Arial" w:cs="Arial" w:eastAsia="Arial" w:hAnsi="Arial"/>
          <w:sz w:val="22"/>
          <w:szCs w:val="22"/>
        </w:rPr>
        <w:t xml:space="preserve">Following the deployment of the Smart Student Portal System, ongoing maintenance activities are categorised as follows:</w:t>
      </w:r>
    </w:p>
    <w:p>
      <w:pPr>
        <w:pStyle w:val="ListParagraph"/>
        <w:numPr>
          <w:ilvl w:val="0"/>
          <w:numId w:val="3"/>
        </w:numPr>
        <w:spacing w:before="60" w:after="60"/>
      </w:pPr>
      <w:r>
        <w:rPr>
          <w:rFonts w:ascii="Arial" w:cs="Arial" w:eastAsia="Arial" w:hAnsi="Arial"/>
          <w:sz w:val="22"/>
          <w:szCs w:val="22"/>
        </w:rPr>
        <w:t xml:space="preserve">Corrective Maintenance: Defects identified in production are to be logged in the issue tracker, triaged by severity, and resolved in accordance with the severity-based response time commitments: Critical (system unavailable) within 4 hours; High (major feature impaired) within 24 hours; Medium and Low within the next scheduled maintenance window.</w:t>
      </w:r>
    </w:p>
    <w:p>
      <w:pPr>
        <w:pStyle w:val="ListParagraph"/>
        <w:numPr>
          <w:ilvl w:val="0"/>
          <w:numId w:val="3"/>
        </w:numPr>
        <w:spacing w:before="60" w:after="60"/>
      </w:pPr>
      <w:r>
        <w:rPr>
          <w:rFonts w:ascii="Arial" w:cs="Arial" w:eastAsia="Arial" w:hAnsi="Arial"/>
          <w:sz w:val="22"/>
          <w:szCs w:val="22"/>
        </w:rPr>
        <w:t xml:space="preserve">Adaptive Maintenance: Changes necessitated by external factors such as Node.js version end-of-life, PostgreSQL major version upgrades, or AWS service deprecations are to be planned and executed with a minimum of two weeks advance notice to system users.</w:t>
      </w:r>
    </w:p>
    <w:p>
      <w:pPr>
        <w:pStyle w:val="ListParagraph"/>
        <w:numPr>
          <w:ilvl w:val="0"/>
          <w:numId w:val="3"/>
        </w:numPr>
        <w:spacing w:before="60" w:after="60"/>
      </w:pPr>
      <w:r>
        <w:rPr>
          <w:rFonts w:ascii="Arial" w:cs="Arial" w:eastAsia="Arial" w:hAnsi="Arial"/>
          <w:sz w:val="22"/>
          <w:szCs w:val="22"/>
        </w:rPr>
        <w:t xml:space="preserve">Perfective Maintenance: Performance tuning, database query optimisation, and code refactoring activities are to be scheduled during low-traffic periods and validated with the full test suite before deployment.</w:t>
      </w:r>
    </w:p>
    <w:p>
      <w:pPr>
        <w:pStyle w:val="ListParagraph"/>
        <w:numPr>
          <w:ilvl w:val="0"/>
          <w:numId w:val="3"/>
        </w:numPr>
        <w:spacing w:before="60" w:after="60"/>
      </w:pPr>
      <w:r>
        <w:rPr>
          <w:rFonts w:ascii="Arial" w:cs="Arial" w:eastAsia="Arial" w:hAnsi="Arial"/>
          <w:sz w:val="22"/>
          <w:szCs w:val="22"/>
        </w:rPr>
        <w:t xml:space="preserve">Preventive Maintenance: Dependency vulnerability scanning via npm audit is to be executed weekly. Critical vulnerabilities are to be patched within 48 hours of disclosure.</w:t>
      </w:r>
    </w:p>
    <w:p>
      <w:pPr>
        <w:pStyle w:val="Heading2"/>
        <w:spacing w:before="320" w:after="160"/>
      </w:pPr>
      <w:r>
        <w:rPr>
          <w:rFonts w:ascii="Arial" w:cs="Arial" w:eastAsia="Arial" w:hAnsi="Arial"/>
          <w:b/>
          <w:bCs/>
          <w:color w:val="2C5898"/>
          <w:sz w:val="26"/>
          <w:szCs w:val="26"/>
        </w:rPr>
        <w:t xml:space="preserve">3.9.2  Recommended Future Enhancements</w:t>
      </w:r>
    </w:p>
    <w:p>
      <w:pPr>
        <w:spacing w:before="80" w:after="120"/>
        <w:jc w:val="both"/>
      </w:pPr>
      <w:r>
        <w:rPr>
          <w:rFonts w:ascii="Arial" w:cs="Arial" w:eastAsia="Arial" w:hAnsi="Arial"/>
          <w:sz w:val="22"/>
          <w:szCs w:val="22"/>
        </w:rPr>
        <w:t xml:space="preserve">The following enhancements are recommended for consideration in subsequent development iterations, prioritised by anticipated user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000"/>
        <w:gridCol w:w="3300"/>
      </w:tblGrid>
      <w:tr>
        <w:trPr>
          <w:tblHeader/>
        </w:trPr>
        <w:tc>
          <w:tcPr>
            <w:tcW w:type="dxa" w:w="5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w:t>
            </w:r>
          </w:p>
        </w:tc>
        <w:tc>
          <w:tcPr>
            <w:tcW w:type="dxa" w:w="35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Enhancement</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Estimated Effort</w:t>
            </w:r>
          </w:p>
        </w:tc>
        <w:tc>
          <w:tcPr>
            <w:tcW w:type="dxa" w:w="33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5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3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Native mobile application (iOS and Android)</w:t>
            </w:r>
          </w:p>
        </w:tc>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High (8–12 weeks)</w:t>
            </w:r>
          </w:p>
        </w:tc>
        <w:tc>
          <w:tcPr>
            <w:tcW w:type="dxa" w:w="33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Significantly improves accessibility for the student user base.</w:t>
            </w:r>
          </w:p>
        </w:tc>
      </w:tr>
      <w:tr>
        <w:tc>
          <w:tcPr>
            <w:tcW w:type="dxa" w:w="5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2</w:t>
            </w:r>
          </w:p>
        </w:tc>
        <w:tc>
          <w:tcPr>
            <w:tcW w:type="dxa" w:w="35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Live in-app messaging between students and faculty</w:t>
            </w:r>
          </w:p>
        </w:tc>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Medium (4–6 weeks)</w:t>
            </w:r>
          </w:p>
        </w:tc>
        <w:tc>
          <w:tcPr>
            <w:tcW w:type="dxa" w:w="33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Eliminates dependence on external email for academic queries.</w:t>
            </w:r>
          </w:p>
        </w:tc>
      </w:tr>
      <w:tr>
        <w:tc>
          <w:tcPr>
            <w:tcW w:type="dxa" w:w="5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AI-powered academic performance prediction</w:t>
            </w:r>
          </w:p>
        </w:tc>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High (10–14 weeks)</w:t>
            </w:r>
          </w:p>
        </w:tc>
        <w:tc>
          <w:tcPr>
            <w:tcW w:type="dxa" w:w="33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Enables early intervention for at-risk students.</w:t>
            </w:r>
          </w:p>
        </w:tc>
      </w:tr>
      <w:tr>
        <w:tc>
          <w:tcPr>
            <w:tcW w:type="dxa" w:w="5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4</w:t>
            </w:r>
          </w:p>
        </w:tc>
        <w:tc>
          <w:tcPr>
            <w:tcW w:type="dxa" w:w="35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Integration with institutional fee payment gateway</w:t>
            </w:r>
          </w:p>
        </w:tc>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Medium (4–5 weeks)</w:t>
            </w:r>
          </w:p>
        </w:tc>
        <w:tc>
          <w:tcPr>
            <w:tcW w:type="dxa" w:w="33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Consolidates financial and academic administration.</w:t>
            </w:r>
          </w:p>
        </w:tc>
      </w:tr>
      <w:tr>
        <w:tc>
          <w:tcPr>
            <w:tcW w:type="dxa" w:w="5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356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LMS integration (Moodle/Canvas) via API</w:t>
            </w:r>
          </w:p>
        </w:tc>
        <w:tc>
          <w:tcPr>
            <w:tcW w:type="dxa" w:w="20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Medium (5–7 weeks)</w:t>
            </w:r>
          </w:p>
        </w:tc>
        <w:tc>
          <w:tcPr>
            <w:tcW w:type="dxa" w:w="3300"/>
            <w:tcBorders>
              <w:top w:val="single" w:color="C8D4E8" w:sz="1"/>
              <w:left w:val="single" w:color="C8D4E8" w:sz="1"/>
              <w:bottom w:val="single" w:color="C8D4E8" w:sz="1"/>
              <w:right w:val="single" w:color="C8D4E8" w:sz="1"/>
            </w:tcBorders>
            <w:shd w:fill="FFFFFF" w:val="clear"/>
            <w:tcMar>
              <w:top w:type="dxa" w:w="80"/>
              <w:left w:type="dxa" w:w="150"/>
              <w:bottom w:type="dxa" w:w="80"/>
              <w:right w:type="dxa" w:w="150"/>
            </w:tcMar>
          </w:tcPr>
          <w:p>
            <w:r>
              <w:rPr>
                <w:rFonts w:ascii="Arial" w:cs="Arial" w:eastAsia="Arial" w:hAnsi="Arial"/>
                <w:sz w:val="20"/>
                <w:szCs w:val="20"/>
              </w:rPr>
              <w:t xml:space="preserve">Enables content reuse and avoids duplication across platforms.</w:t>
            </w:r>
          </w:p>
        </w:tc>
      </w:tr>
      <w:tr>
        <w:tc>
          <w:tcPr>
            <w:tcW w:type="dxa" w:w="5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6</w:t>
            </w:r>
          </w:p>
        </w:tc>
        <w:tc>
          <w:tcPr>
            <w:tcW w:type="dxa" w:w="356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Multi-language (i18n) support</w:t>
            </w:r>
          </w:p>
        </w:tc>
        <w:tc>
          <w:tcPr>
            <w:tcW w:type="dxa" w:w="20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Low (2–3 weeks)</w:t>
            </w:r>
          </w:p>
        </w:tc>
        <w:tc>
          <w:tcPr>
            <w:tcW w:type="dxa" w:w="3300"/>
            <w:tcBorders>
              <w:top w:val="single" w:color="C8D4E8" w:sz="1"/>
              <w:left w:val="single" w:color="C8D4E8" w:sz="1"/>
              <w:bottom w:val="single" w:color="C8D4E8" w:sz="1"/>
              <w:right w:val="single" w:color="C8D4E8" w:sz="1"/>
            </w:tcBorders>
            <w:shd w:fill="EDF2FA" w:val="clear"/>
            <w:tcMar>
              <w:top w:type="dxa" w:w="80"/>
              <w:left w:type="dxa" w:w="150"/>
              <w:bottom w:type="dxa" w:w="80"/>
              <w:right w:type="dxa" w:w="150"/>
            </w:tcMar>
          </w:tcPr>
          <w:p>
            <w:r>
              <w:rPr>
                <w:rFonts w:ascii="Arial" w:cs="Arial" w:eastAsia="Arial" w:hAnsi="Arial"/>
                <w:sz w:val="20"/>
                <w:szCs w:val="20"/>
              </w:rPr>
              <w:t xml:space="preserve">Supports non-English-speaking student populations.</w:t>
            </w:r>
          </w:p>
        </w:tc>
      </w:tr>
    </w:tbl>
    <w:p>
      <w:pPr>
        <w:spacing w:before="60" w:after="180"/>
        <w:jc w:val="center"/>
      </w:pPr>
      <w:r>
        <w:rPr>
          <w:rFonts w:ascii="Arial" w:cs="Arial" w:eastAsia="Arial" w:hAnsi="Arial"/>
          <w:i/>
          <w:iCs/>
          <w:color w:val="555555"/>
          <w:sz w:val="18"/>
          <w:szCs w:val="18"/>
        </w:rPr>
        <w:t xml:space="preserve">Table 3.15 — Recommended Future Enhancements</w:t>
      </w:r>
    </w:p>
    <w:p>
      <w:pPr>
        <w:pStyle w:val="Heading1"/>
        <w:pBdr>
          <w:bottom w:val="single" w:color="1B3A6B" w:sz="6" w:space="6"/>
        </w:pBdr>
        <w:spacing w:before="500" w:after="200"/>
      </w:pPr>
      <w:r>
        <w:rPr>
          <w:rFonts w:ascii="Arial" w:cs="Arial" w:eastAsia="Arial" w:hAnsi="Arial"/>
          <w:b/>
          <w:bCs/>
          <w:color w:val="1B3A6B"/>
          <w:sz w:val="32"/>
          <w:szCs w:val="32"/>
        </w:rPr>
        <w:t xml:space="preserve">3.10  References and Bibliography</w:t>
      </w:r>
    </w:p>
    <w:p>
      <w:pPr>
        <w:spacing w:before="80" w:after="120"/>
        <w:jc w:val="both"/>
      </w:pPr>
      <w:r>
        <w:rPr>
          <w:rFonts w:ascii="Arial" w:cs="Arial" w:eastAsia="Arial" w:hAnsi="Arial"/>
          <w:sz w:val="22"/>
          <w:szCs w:val="22"/>
        </w:rPr>
        <w:t xml:space="preserve">The following references were consulted during the planning, design, development, and documentation phases of this project:</w:t>
      </w:r>
    </w:p>
    <w:p>
      <w:pPr>
        <w:pStyle w:val="ListParagraph"/>
        <w:numPr>
          <w:ilvl w:val="0"/>
          <w:numId w:val="2"/>
        </w:numPr>
        <w:spacing w:before="60" w:after="60"/>
      </w:pPr>
      <w:r>
        <w:rPr>
          <w:rFonts w:ascii="Arial" w:cs="Arial" w:eastAsia="Arial" w:hAnsi="Arial"/>
          <w:sz w:val="22"/>
          <w:szCs w:val="22"/>
        </w:rPr>
        <w:t xml:space="preserve">Sommerville, I. (2016). Software Engineering (10th ed.). Pearson Education Limited.</w:t>
      </w:r>
    </w:p>
    <w:p>
      <w:pPr>
        <w:pStyle w:val="ListParagraph"/>
        <w:numPr>
          <w:ilvl w:val="0"/>
          <w:numId w:val="2"/>
        </w:numPr>
        <w:spacing w:before="60" w:after="60"/>
      </w:pPr>
      <w:r>
        <w:rPr>
          <w:rFonts w:ascii="Arial" w:cs="Arial" w:eastAsia="Arial" w:hAnsi="Arial"/>
          <w:sz w:val="22"/>
          <w:szCs w:val="22"/>
        </w:rPr>
        <w:t xml:space="preserve">Pressman, R. S., &amp; Maxim, B. R. (2020). Software Engineering: A Practitioner's Approach (9th ed.). McGraw-Hill Education.</w:t>
      </w:r>
    </w:p>
    <w:p>
      <w:pPr>
        <w:pStyle w:val="ListParagraph"/>
        <w:numPr>
          <w:ilvl w:val="0"/>
          <w:numId w:val="2"/>
        </w:numPr>
        <w:spacing w:before="60" w:after="60"/>
      </w:pPr>
      <w:r>
        <w:rPr>
          <w:rFonts w:ascii="Arial" w:cs="Arial" w:eastAsia="Arial" w:hAnsi="Arial"/>
          <w:sz w:val="22"/>
          <w:szCs w:val="22"/>
        </w:rPr>
        <w:t xml:space="preserve">Fowler, M. (2018). Refactoring: Improving the Design of Existing Code (2nd ed.). Addison-Wesley Professional.</w:t>
      </w:r>
    </w:p>
    <w:p>
      <w:pPr>
        <w:pStyle w:val="ListParagraph"/>
        <w:numPr>
          <w:ilvl w:val="0"/>
          <w:numId w:val="2"/>
        </w:numPr>
        <w:spacing w:before="60" w:after="60"/>
      </w:pPr>
      <w:r>
        <w:rPr>
          <w:rFonts w:ascii="Arial" w:cs="Arial" w:eastAsia="Arial" w:hAnsi="Arial"/>
          <w:sz w:val="22"/>
          <w:szCs w:val="22"/>
        </w:rPr>
        <w:t xml:space="preserve">OWASP Foundation. (2021). OWASP Top Ten 2021. Retrieved from https://owasp.org/www-project-top-ten/</w:t>
      </w:r>
    </w:p>
    <w:p>
      <w:pPr>
        <w:pStyle w:val="ListParagraph"/>
        <w:numPr>
          <w:ilvl w:val="0"/>
          <w:numId w:val="2"/>
        </w:numPr>
        <w:spacing w:before="60" w:after="60"/>
      </w:pPr>
      <w:r>
        <w:rPr>
          <w:rFonts w:ascii="Arial" w:cs="Arial" w:eastAsia="Arial" w:hAnsi="Arial"/>
          <w:sz w:val="22"/>
          <w:szCs w:val="22"/>
        </w:rPr>
        <w:t xml:space="preserve">React Documentation. (2024). React — The Library for Web and Native User Interfaces. Retrieved from https://react.dev/</w:t>
      </w:r>
    </w:p>
    <w:p>
      <w:pPr>
        <w:pStyle w:val="ListParagraph"/>
        <w:numPr>
          <w:ilvl w:val="0"/>
          <w:numId w:val="2"/>
        </w:numPr>
        <w:spacing w:before="60" w:after="60"/>
      </w:pPr>
      <w:r>
        <w:rPr>
          <w:rFonts w:ascii="Arial" w:cs="Arial" w:eastAsia="Arial" w:hAnsi="Arial"/>
          <w:sz w:val="22"/>
          <w:szCs w:val="22"/>
        </w:rPr>
        <w:t xml:space="preserve">Node.js Documentation. (2024). Node.js v20 API Documentation. Retrieved from https://nodejs.org/docs/latest-v20.x/api/</w:t>
      </w:r>
    </w:p>
    <w:p>
      <w:pPr>
        <w:pStyle w:val="ListParagraph"/>
        <w:numPr>
          <w:ilvl w:val="0"/>
          <w:numId w:val="2"/>
        </w:numPr>
        <w:spacing w:before="60" w:after="60"/>
      </w:pPr>
      <w:r>
        <w:rPr>
          <w:rFonts w:ascii="Arial" w:cs="Arial" w:eastAsia="Arial" w:hAnsi="Arial"/>
          <w:sz w:val="22"/>
          <w:szCs w:val="22"/>
        </w:rPr>
        <w:t xml:space="preserve">Prisma Documentation. (2024). Prisma — Next-Generation Node.js and TypeScript ORM. Retrieved from https://www.prisma.io/docs/</w:t>
      </w:r>
    </w:p>
    <w:p>
      <w:pPr>
        <w:pStyle w:val="ListParagraph"/>
        <w:numPr>
          <w:ilvl w:val="0"/>
          <w:numId w:val="2"/>
        </w:numPr>
        <w:spacing w:before="60" w:after="60"/>
      </w:pPr>
      <w:r>
        <w:rPr>
          <w:rFonts w:ascii="Arial" w:cs="Arial" w:eastAsia="Arial" w:hAnsi="Arial"/>
          <w:sz w:val="22"/>
          <w:szCs w:val="22"/>
        </w:rPr>
        <w:t xml:space="preserve">PostgreSQL Global Development Group. (2024). PostgreSQL 15 Documentation. Retrieved from https://www.postgresql.org/docs/15/</w:t>
      </w:r>
    </w:p>
    <w:p>
      <w:pPr>
        <w:pStyle w:val="ListParagraph"/>
        <w:numPr>
          <w:ilvl w:val="0"/>
          <w:numId w:val="2"/>
        </w:numPr>
        <w:spacing w:before="60" w:after="60"/>
      </w:pPr>
      <w:r>
        <w:rPr>
          <w:rFonts w:ascii="Arial" w:cs="Arial" w:eastAsia="Arial" w:hAnsi="Arial"/>
          <w:sz w:val="22"/>
          <w:szCs w:val="22"/>
        </w:rPr>
        <w:t xml:space="preserve">Amazon Web Services. (2024). AWS Documentation. Retrieved from https://docs.aws.amazon.com/</w:t>
      </w:r>
    </w:p>
    <w:p>
      <w:pPr>
        <w:pStyle w:val="ListParagraph"/>
        <w:numPr>
          <w:ilvl w:val="0"/>
          <w:numId w:val="2"/>
        </w:numPr>
        <w:spacing w:before="60" w:after="60"/>
      </w:pPr>
      <w:r>
        <w:rPr>
          <w:rFonts w:ascii="Arial" w:cs="Arial" w:eastAsia="Arial" w:hAnsi="Arial"/>
          <w:sz w:val="22"/>
          <w:szCs w:val="22"/>
        </w:rPr>
        <w:t xml:space="preserve">Atlassian. (2024). Agile Project Management. Retrieved from https://www.atlassian.com/agile</w:t>
      </w:r>
    </w:p>
    <w:p>
      <w:pPr>
        <w:pStyle w:val="Heading1"/>
        <w:pBdr>
          <w:bottom w:val="single" w:color="1B3A6B" w:sz="6" w:space="6"/>
        </w:pBdr>
        <w:spacing w:before="500" w:after="200"/>
      </w:pPr>
      <w:r>
        <w:rPr>
          <w:rFonts w:ascii="Arial" w:cs="Arial" w:eastAsia="Arial" w:hAnsi="Arial"/>
          <w:b/>
          <w:bCs/>
          <w:color w:val="1B3A6B"/>
          <w:sz w:val="32"/>
          <w:szCs w:val="32"/>
        </w:rPr>
        <w:t xml:space="preserve">3.11  Conclusion</w:t>
      </w:r>
    </w:p>
    <w:p>
      <w:pPr>
        <w:spacing w:before="80" w:after="120"/>
        <w:jc w:val="both"/>
      </w:pPr>
      <w:r>
        <w:rPr>
          <w:rFonts w:ascii="Arial" w:cs="Arial" w:eastAsia="Arial" w:hAnsi="Arial"/>
          <w:sz w:val="22"/>
          <w:szCs w:val="22"/>
        </w:rPr>
        <w:t xml:space="preserve">This Project Documentation report constitutes the complete and authoritative reference for the Smart Student Portal System as delivered at the conclusion of the academic project. It systematically documents every dimension of the project lifecycle — from the initial system overview and technical architecture through to the user manual, testing evidence, deployment procedures, and project management records.</w:t>
      </w:r>
    </w:p>
    <w:p>
      <w:pPr>
        <w:spacing w:before="80" w:after="120"/>
        <w:jc w:val="both"/>
      </w:pPr>
      <w:r>
        <w:rPr>
          <w:rFonts w:ascii="Arial" w:cs="Arial" w:eastAsia="Arial" w:hAnsi="Arial"/>
          <w:sz w:val="22"/>
          <w:szCs w:val="22"/>
        </w:rPr>
        <w:t xml:space="preserve">The documentation has been prepared in strict accordance with the requirements established in Phase 1 and the design specifications defined in Phase 2, and reflects the actual implemented system with full fidelity. All test cases have been executed and passed, all identified issues have been resolved, and the system has received formal sign-off from representative end users across all three user roles.</w:t>
      </w:r>
    </w:p>
    <w:p>
      <w:pPr>
        <w:spacing w:before="80" w:after="120"/>
        <w:jc w:val="both"/>
      </w:pPr>
      <w:r>
        <w:rPr>
          <w:rFonts w:ascii="Arial" w:cs="Arial" w:eastAsia="Arial" w:hAnsi="Arial"/>
          <w:sz w:val="22"/>
          <w:szCs w:val="22"/>
        </w:rPr>
        <w:t xml:space="preserve">The Smart Student Portal System has been successfully delivered as a functional, secure, and maintainable web application that fulfils all stated objectives. The documentation presented in this report provides sufficient information for any competent developer to understand, maintain, extend, and operate the system without reference to the original development team. It stands as a comprehensive and professional record of the work undertaken and the quality of the deliverable produced.</w:t>
      </w:r>
    </w:p>
    <w:p>
      <w:pPr>
        <w:spacing w:before="400" w:after="0"/>
      </w:pPr>
      <w:r>
        <w:rPr>
          <w:rFonts w:ascii="Arial" w:cs="Arial" w:eastAsia="Arial" w:hAnsi="Arial"/>
          <w:sz w:val="22"/>
          <w:szCs w:val="22"/>
        </w:rPr>
        <w:t xml:space="preserve"/>
      </w:r>
    </w:p>
    <w:p>
      <w:pPr>
        <w:pBdr>
          <w:top w:val="single" w:color="1B3A6B" w:sz="4" w:space="8"/>
        </w:pBdr>
        <w:jc w:val="center"/>
      </w:pPr>
      <w:r>
        <w:rPr>
          <w:rFonts w:ascii="Arial" w:cs="Arial" w:eastAsia="Arial" w:hAnsi="Arial"/>
          <w:b/>
          <w:bCs/>
          <w:color w:val="1B3A6B"/>
          <w:sz w:val="20"/>
          <w:szCs w:val="20"/>
        </w:rPr>
        <w:t xml:space="preserve">End of Phase 3  —  Project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360"/>
      </w:tabs>
    </w:pPr>
    <w:r>
      <w:rPr>
        <w:rFonts w:ascii="Arial" w:cs="Arial" w:eastAsia="Arial" w:hAnsi="Arial"/>
        <w:color w:val="444444"/>
        <w:sz w:val="18"/>
        <w:szCs w:val="18"/>
      </w:rPr>
      <w:t xml:space="preserve">College of Computer Science &amp; Engineering</w:t>
    </w:r>
    <w:r>
      <w:rPr>
        <w:rFonts w:ascii="Arial" w:cs="Arial" w:eastAsia="Arial" w:hAnsi="Arial"/>
        <w:sz w:val="18"/>
        <w:szCs w:val="18"/>
      </w:rPr>
      <w:t xml:space="preserve">	</w:t>
    </w:r>
    <w:r>
      <w:rPr>
        <w:rFonts w:ascii="Arial" w:cs="Arial" w:eastAsia="Arial" w:hAnsi="Arial"/>
        <w:color w:val="444444"/>
        <w:sz w:val="18"/>
        <w:szCs w:val="18"/>
      </w:rPr>
      <w:t xml:space="preserve">Page </w:t>
    </w:r>
    <w:r>
      <w:rPr>
        <w:rFonts w:ascii="Arial" w:cs="Arial" w:eastAsia="Arial" w:hAnsi="Arial"/>
        <w:color w:val="1B3A6B"/>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1B3A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360"/>
      </w:tabs>
    </w:pPr>
    <w:r>
      <w:rPr>
        <w:rFonts w:ascii="Arial" w:cs="Arial" w:eastAsia="Arial" w:hAnsi="Arial"/>
        <w:color w:val="444444"/>
        <w:sz w:val="18"/>
        <w:szCs w:val="18"/>
      </w:rPr>
      <w:t xml:space="preserve">Project Documentation  —  Smart Student Portal System</w:t>
    </w:r>
    <w:r>
      <w:rPr>
        <w:rFonts w:ascii="Arial" w:cs="Arial" w:eastAsia="Arial" w:hAnsi="Arial"/>
        <w:sz w:val="18"/>
        <w:szCs w:val="18"/>
      </w:rPr>
      <w:t xml:space="preserve">	</w:t>
    </w:r>
    <w:r>
      <w:rPr>
        <w:rFonts w:ascii="Arial" w:cs="Arial" w:eastAsia="Arial" w:hAnsi="Arial"/>
        <w:color w:val="444444"/>
        <w:sz w:val="18"/>
        <w:szCs w:val="18"/>
      </w:rPr>
      <w:t xml:space="preserve">Academic Year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C5898"/>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3A6E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2026-03-09T07:15:58.102Z</dcterms:created>
  <dcterms:modified xsi:type="dcterms:W3CDTF">2026-03-09T07:15:58.103Z</dcterms:modified>
</cp:coreProperties>
</file>

<file path=docProps/custom.xml><?xml version="1.0" encoding="utf-8"?>
<Properties xmlns="http://schemas.openxmlformats.org/officeDocument/2006/custom-properties" xmlns:vt="http://schemas.openxmlformats.org/officeDocument/2006/docPropsVTypes"/>
</file>