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CHANDRASHEKAR KRISHNAMA RAJU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-548639</wp:posOffset>
                </wp:positionH>
                <wp:positionV relativeFrom="paragraph">
                  <wp:posOffset>-548639</wp:posOffset>
                </wp:positionV>
                <wp:extent cx="419100" cy="1857375"/>
                <wp:effectExtent b="28575" l="0" r="1905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1857375"/>
                        </a:xfrm>
                        <a:prstGeom prst="halfFram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cap="flat" cmpd="sng" w="25400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-548639</wp:posOffset>
                </wp:positionH>
                <wp:positionV relativeFrom="paragraph">
                  <wp:posOffset>-548639</wp:posOffset>
                </wp:positionV>
                <wp:extent cx="438150" cy="1885950"/>
                <wp:effectExtent b="0" l="0" r="0" t="0"/>
                <wp:wrapNone/>
                <wp:docPr id="8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6527165</wp:posOffset>
                </wp:positionH>
                <wp:positionV relativeFrom="paragraph">
                  <wp:posOffset>-546099</wp:posOffset>
                </wp:positionV>
                <wp:extent cx="470535" cy="1831340"/>
                <wp:effectExtent b="11113" l="5398" r="11112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70535" cy="1831340"/>
                        </a:xfrm>
                        <a:prstGeom prst="halfFram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cap="flat" cmpd="sng" w="25400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6527165</wp:posOffset>
                </wp:positionH>
                <wp:positionV relativeFrom="paragraph">
                  <wp:posOffset>-546099</wp:posOffset>
                </wp:positionV>
                <wp:extent cx="487045" cy="1842453"/>
                <wp:effectExtent b="-677704" l="677704" r="677704" t="-677704"/>
                <wp:wrapNone/>
                <wp:docPr id="95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87045" cy="18424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09003027215/09444493125;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jmcraju@gmail.com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Address: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105, Kamakshi Nagar Main Road, Valasaravakkam, Chennai -600087, TN</w:t>
      </w:r>
    </w:p>
    <w:p w:rsidR="00000000" w:rsidDel="00000000" w:rsidP="00000000" w:rsidRDefault="00000000" w:rsidRPr="00000000" w14:paraId="00000003">
      <w:pPr>
        <w:ind w:right="41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Extensive operations, risk &amp; capital market background in multi-cultural environments; evolved &amp; executed strategies that met the organizational objectives</w:t>
      </w:r>
    </w:p>
    <w:p w:rsidR="00000000" w:rsidDel="00000000" w:rsidP="00000000" w:rsidRDefault="00000000" w:rsidRPr="00000000" w14:paraId="00000004">
      <w:pPr>
        <w:ind w:right="41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**********************</w:t>
      </w:r>
    </w:p>
    <w:p w:rsidR="00000000" w:rsidDel="00000000" w:rsidP="00000000" w:rsidRDefault="00000000" w:rsidRPr="00000000" w14:paraId="00000005">
      <w:pPr>
        <w:ind w:right="41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Merit of being associated with renowned financial service groups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State Street, Northern Trust, Deutsche Bank Group, JP Morgan Chase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00300" cy="161925"/>
                <wp:effectExtent b="28575" l="0" r="1905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19350" cy="190500"/>
                <wp:effectExtent b="0" l="0" r="0" t="0"/>
                <wp:wrapNone/>
                <wp:docPr id="8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PROFILE SUMMARY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7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00" w:lineRule="auto"/>
        <w:ind w:left="360"/>
        <w:contextualSpacing w:val="0"/>
        <w:jc w:val="both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Dynamic career of nearly 16 years inclusively nearly 3 years of entrepreneurial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experience in achieving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Risk Management and Operations Management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objectives in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BFSI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Proven track record in directing cross-functional teams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by using interactive and motivational leadership skills with an equal desire to win</w:t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Leveraged skills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in performing activities entailing operations of banking &amp; financial process, reconciliation and managing operational risk of varied portfolios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Comprehensive Operational Experience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US / EMEA Markets in Equity, Fixed Income, Foreign Exchange, Private Equity and Mutual Fund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Enterprising leader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with a record of contributions that invigorated risk, heightened productivity &amp; enhanced internal controls: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"/>
        </w:tabs>
        <w:spacing w:after="0" w:before="0" w:line="20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Evaluating &amp; redesigning of risk management structure including devising of new appetite / framework / policy; developing new risk identification, assessment and reporting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"/>
        </w:tabs>
        <w:spacing w:after="0" w:before="0" w:line="20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Drafting &amp; implementing contingency &amp; continuity plans to ensure smooth operations for attainment of company’s objectives in coordination with leadership, stakeholder and lines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numPr>
          <w:ilvl w:val="0"/>
          <w:numId w:val="12"/>
        </w:numPr>
        <w:spacing w:line="200" w:lineRule="auto"/>
        <w:ind w:left="360" w:hanging="360"/>
        <w:contextualSpacing w:val="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A forward thinking person with excellent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communication, leadership &amp; time management skills;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exceptionally well organized with a track record that demonstrates self-motivation &amp; creativity to achieve corporate &amp; personal goals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00300" cy="161925"/>
                <wp:effectExtent b="28575" l="0" r="1905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19350" cy="190500"/>
                <wp:effectExtent b="0" l="0" r="0" t="0"/>
                <wp:wrapNone/>
                <wp:docPr id="8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KEY SKILLS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7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 Management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Operations Management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Strategic Planning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 Improvement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Management 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Stakeholder Management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Compliance Management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Transition Management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Management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3999230</wp:posOffset>
                </wp:positionH>
                <wp:positionV relativeFrom="paragraph">
                  <wp:posOffset>97155</wp:posOffset>
                </wp:positionV>
                <wp:extent cx="2400300" cy="161925"/>
                <wp:effectExtent b="28575" l="0" r="1905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3999230</wp:posOffset>
                </wp:positionH>
                <wp:positionV relativeFrom="paragraph">
                  <wp:posOffset>97155</wp:posOffset>
                </wp:positionV>
                <wp:extent cx="2419350" cy="190500"/>
                <wp:effectExtent b="0" l="0" r="0" t="0"/>
                <wp:wrapNone/>
                <wp:docPr id="7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 Certifications and Workshop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118110</wp:posOffset>
                </wp:positionH>
                <wp:positionV relativeFrom="paragraph">
                  <wp:posOffset>109854</wp:posOffset>
                </wp:positionV>
                <wp:extent cx="2228850" cy="161925"/>
                <wp:effectExtent b="28575" l="0" r="1905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118110</wp:posOffset>
                </wp:positionH>
                <wp:positionV relativeFrom="paragraph">
                  <wp:posOffset>109854</wp:posOffset>
                </wp:positionV>
                <wp:extent cx="2247900" cy="190500"/>
                <wp:effectExtent b="0" l="0" r="0" t="0"/>
                <wp:wrapNone/>
                <wp:docPr id="7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Certified Risk Professional from BSI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(ISO 31000 and ISO 22301 | certificate number -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ENR-00308802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Operational Risk certification from CISI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(Membership Number -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12025552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Workshop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 Organization Controls No.1 &amp;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(SOC 1 and SOC 2) by Grant Thornton-USA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TMA from HCL (Transition Management Academy)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ASSET</w:t>
      </w:r>
      <w:r w:rsidDel="00000000" w:rsidR="00000000" w:rsidRPr="00000000">
        <w:rPr>
          <w:rFonts w:ascii="Calibri" w:cs="Calibri" w:eastAsia="Calibri" w:hAnsi="Calibri"/>
          <w:b w:val="1"/>
          <w:color w:val="545454"/>
          <w:vertAlign w:val="superscript"/>
          <w:rtl w:val="0"/>
        </w:rPr>
        <w:t xml:space="preserve">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methodology</w:t>
      </w:r>
    </w:p>
    <w:p w:rsidR="00000000" w:rsidDel="00000000" w:rsidP="00000000" w:rsidRDefault="00000000" w:rsidRPr="00000000" w14:paraId="00000021">
      <w:pPr>
        <w:ind w:left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3961130</wp:posOffset>
                </wp:positionH>
                <wp:positionV relativeFrom="paragraph">
                  <wp:posOffset>24130</wp:posOffset>
                </wp:positionV>
                <wp:extent cx="2400300" cy="161925"/>
                <wp:effectExtent b="28575" l="0" r="1905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3961130</wp:posOffset>
                </wp:positionH>
                <wp:positionV relativeFrom="paragraph">
                  <wp:posOffset>24130</wp:posOffset>
                </wp:positionV>
                <wp:extent cx="2419350" cy="190500"/>
                <wp:effectExtent b="0" l="0" r="0" t="0"/>
                <wp:wrapNone/>
                <wp:docPr id="9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 Notable Accomplishments Across The Career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-34289</wp:posOffset>
                </wp:positionH>
                <wp:positionV relativeFrom="paragraph">
                  <wp:posOffset>119379</wp:posOffset>
                </wp:positionV>
                <wp:extent cx="2228850" cy="161925"/>
                <wp:effectExtent b="28575" l="0" r="1905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-34289</wp:posOffset>
                </wp:positionH>
                <wp:positionV relativeFrom="paragraph">
                  <wp:posOffset>119379</wp:posOffset>
                </wp:positionV>
                <wp:extent cx="2247900" cy="190500"/>
                <wp:effectExtent b="0" l="0" r="0" t="0"/>
                <wp:wrapNone/>
                <wp:docPr id="9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Bagged: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O-Infinity Award </w:t>
      </w:r>
      <w:r w:rsidDel="00000000" w:rsidR="00000000" w:rsidRPr="00000000">
        <w:rPr>
          <w:sz w:val="17"/>
          <w:szCs w:val="17"/>
          <w:rtl w:val="0"/>
        </w:rPr>
        <w:t xml:space="preserve">for consecutive best performance 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2013-14 and 2014-2015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Best Manager of the Year Award in 2014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Spirit Award in 2008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GEM of the Quarter Award in 2006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 of Month Award in 2004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Merit of heading global audit migration and conversion of business at offshore entities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Managed various interdependencies during process transition involving project management, legal &amp; risk approval, recruitment and logistics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Participated in BPM engagement and independently performed risk and control self-assessment (RCSA) for securities and custody operations business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Secured appreciation from the management for implementing Controls Review and Testing program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Actively spearheaded the third party risk management and material risk identification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program for the organization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the operations management by creating redundancies through lean initiatives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Played a key role in resolving client issues through governance and stakeholder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WORK EXPERIENCE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4043045</wp:posOffset>
                </wp:positionH>
                <wp:positionV relativeFrom="paragraph">
                  <wp:posOffset>-114934</wp:posOffset>
                </wp:positionV>
                <wp:extent cx="2400300" cy="161925"/>
                <wp:effectExtent b="28575" l="0" r="1905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4043045</wp:posOffset>
                </wp:positionH>
                <wp:positionV relativeFrom="paragraph">
                  <wp:posOffset>-114934</wp:posOffset>
                </wp:positionV>
                <wp:extent cx="2419350" cy="190500"/>
                <wp:effectExtent b="0" l="0" r="0" t="0"/>
                <wp:wrapNone/>
                <wp:docPr id="8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8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alibri" w:cs="Calibri" w:eastAsia="Calibri" w:hAnsi="Calibri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Since Sep’13 with State Street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HCL Services, Chennai as Senior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 Manager</w:t>
      </w:r>
    </w:p>
    <w:p w:rsidR="00000000" w:rsidDel="00000000" w:rsidP="00000000" w:rsidRDefault="00000000" w:rsidRPr="00000000" w14:paraId="00000039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(Custody Operations)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Key Responsibilities and accomplishments: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Responsible for Operational Risk management, Information Security, Compliance and Business Continuity functions at SSHCL locations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Provide additional oversight to Enterprise Risk Management for State Street HCL Services India Operations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conduct Operational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Risk Reviews &amp; Audits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and report findings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Review &amp; validate the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RCM’s &amp; Control documents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 and provide the findings to stakeholders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perform periodical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Process Control Testing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(Monitoring &amp; Testing of Control) to check &amp; ensure the controls documented in RCM’s are deployed in day-to-day operations and check for its operating effectiveness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conduct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HR audits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 on Recruitment &amp; hiring process based on corporate HR hiring policy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ensure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Client &amp; Regulatory Compliance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 of organization with respect to applicable policy, standards, and guidelines prescribed in Master Service Agreement &amp; Service Level Agreement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engage and perform other regulatory exercise based on client requirements like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Third party risk management program, Material Risk Identification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Business Continuity, Resiliency Test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 and so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provide required reports to relevant stakeholders as per defined periodicity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act as operational risk, information security, compliance and business continuity liaison and ensure effective alignment among these functions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present Risk and Compliance Management Framework to visiting clients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undertake special assignments as directed by the Management</w:t>
        <w:tab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Incident &amp; Claims Management - </w:t>
      </w: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performed root cause analysis (RCA) to ascertain whether the gap is due to control design inefficiency or operating ineffectiveness of controls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Managed risk functions for major portfolios within the JV and have performed risk reviews for various business functions like Reconciliations and Transaction 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Headed complete vendor-to-vendor transition and project management for internal reconciliation (Mutual and Pension Funds) operations for the Joint Venture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Oct’07-May’09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Northern Trust, Bangalore as Section</w:t>
      </w: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 Manager </w:t>
      </w:r>
    </w:p>
    <w:p w:rsidR="00000000" w:rsidDel="00000000" w:rsidP="00000000" w:rsidRDefault="00000000" w:rsidRPr="00000000" w14:paraId="0000004D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(Private Equity Operations)</w:t>
      </w:r>
    </w:p>
    <w:p w:rsidR="00000000" w:rsidDel="00000000" w:rsidP="00000000" w:rsidRDefault="00000000" w:rsidRPr="00000000" w14:paraId="0000004E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Key Responsibilities and accomplishments: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To manage operations covering People, Process and Technology risk; including implementation and testing of DR strategies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Recruitment Handling, Performance appraisals; Coaching and providing feedback to team members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Managed a team of 35 members, where the teams were engaged in Market Value (MV) Calculation and Reconciliation processes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Participated in FED audit and it was demonstrated to the auditors that the business was operating in control environment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360" w:hanging="360"/>
        <w:contextualSpacing w:val="0"/>
        <w:jc w:val="both"/>
        <w:rPr>
          <w:color w:val="0d0d0d"/>
        </w:rPr>
      </w:pPr>
      <w:r w:rsidDel="00000000" w:rsidR="00000000" w:rsidRPr="00000000">
        <w:rPr>
          <w:rFonts w:ascii="Calibri" w:cs="Calibri" w:eastAsia="Calibri" w:hAnsi="Calibri"/>
          <w:color w:val="0d0d0d"/>
          <w:rtl w:val="0"/>
        </w:rPr>
        <w:t xml:space="preserve">Formulated quality initiatives ensuring accuracy &amp; speed for the better performance of the team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Previous EXPERIENCE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9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3905884</wp:posOffset>
                </wp:positionH>
                <wp:positionV relativeFrom="paragraph">
                  <wp:posOffset>-56513</wp:posOffset>
                </wp:positionV>
                <wp:extent cx="2400300" cy="161925"/>
                <wp:effectExtent b="28575" l="0" r="1905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3905884</wp:posOffset>
                </wp:positionH>
                <wp:positionV relativeFrom="paragraph">
                  <wp:posOffset>-56513</wp:posOffset>
                </wp:positionV>
                <wp:extent cx="2419350" cy="190500"/>
                <wp:effectExtent b="0" l="0" r="0" t="0"/>
                <wp:wrapNone/>
                <wp:docPr id="7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Jun’05-Sep’07 with Deutsche Network Services (Deutsche Bank Group), Mumbai as Team Manager</w:t>
      </w:r>
    </w:p>
    <w:p w:rsidR="00000000" w:rsidDel="00000000" w:rsidP="00000000" w:rsidRDefault="00000000" w:rsidRPr="00000000" w14:paraId="00000059">
      <w:pPr>
        <w:contextualSpacing w:val="0"/>
        <w:jc w:val="center"/>
        <w:rPr>
          <w:rFonts w:ascii="Calibri" w:cs="Calibri" w:eastAsia="Calibri" w:hAnsi="Calibri"/>
          <w:b w:val="1"/>
          <w:color w:val="0d0d0d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(Securities and Custody Operations)</w:t>
      </w:r>
    </w:p>
    <w:p w:rsidR="00000000" w:rsidDel="00000000" w:rsidP="00000000" w:rsidRDefault="00000000" w:rsidRPr="00000000" w14:paraId="0000005A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Nov’03-May’05 with JP Morgan Chase, Mumbai as Team Member-Forex Operations Department</w:t>
      </w:r>
    </w:p>
    <w:p w:rsidR="00000000" w:rsidDel="00000000" w:rsidP="00000000" w:rsidRDefault="00000000" w:rsidRPr="00000000" w14:paraId="0000005C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Oct’02-Nov’03 with Hewlett-Packard, Bangalore as Financial Assistant-Treasury Accounting Department</w:t>
      </w:r>
    </w:p>
    <w:p w:rsidR="00000000" w:rsidDel="00000000" w:rsidP="00000000" w:rsidRDefault="00000000" w:rsidRPr="00000000" w14:paraId="0000005E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Aug’01-Aug’02 with Stream Tracmail Pvt. Ltd., Mumbai as Support Service Representative / eCRM Executive</w:t>
      </w:r>
    </w:p>
    <w:p w:rsidR="00000000" w:rsidDel="00000000" w:rsidP="00000000" w:rsidRDefault="00000000" w:rsidRPr="00000000" w14:paraId="0000006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64135</wp:posOffset>
                </wp:positionV>
                <wp:extent cx="2400300" cy="161925"/>
                <wp:effectExtent b="28575" l="0" r="1905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64135</wp:posOffset>
                </wp:positionV>
                <wp:extent cx="2419350" cy="190500"/>
                <wp:effectExtent b="0" l="0" r="0" t="0"/>
                <wp:wrapNone/>
                <wp:docPr id="8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ind w:left="270" w:right="221"/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 ENTREPRENEURIAL EXPERIENCE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1918335" cy="161925"/>
                <wp:effectExtent b="28575" l="0" r="24765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8335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1943100" cy="190500"/>
                <wp:effectExtent b="0" l="0" r="0" t="0"/>
                <wp:wrapNone/>
                <wp:docPr id="7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304" w:hanging="2304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rtl w:val="0"/>
        </w:rPr>
        <w:t xml:space="preserve">Apr’10-Feb’13 with Citius Financial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Services, Mumbai as Entrepreneur</w:t>
      </w:r>
    </w:p>
    <w:p w:rsidR="00000000" w:rsidDel="00000000" w:rsidP="00000000" w:rsidRDefault="00000000" w:rsidRPr="00000000" w14:paraId="00000065">
      <w:pPr>
        <w:ind w:left="2304" w:hanging="2304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304" w:hanging="2304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304" w:hanging="2304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304" w:hanging="2304"/>
        <w:contextualSpacing w:val="0"/>
        <w:jc w:val="center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00300" cy="161925"/>
                <wp:effectExtent b="28575" l="0" r="1905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19350" cy="190500"/>
                <wp:effectExtent b="0" l="0" r="0" t="0"/>
                <wp:wrapNone/>
                <wp:docPr id="9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EDUCATION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9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Graduate Executive Program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Finance and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Great Lakes Institute of Management (Batch 2016-2018)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M.Com. Part 1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Mumbai University, Mumbai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2004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B.Com. (Financial Accounting &amp; Auditing and Computer Applications)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Mumbai, Mumbai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2001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76200</wp:posOffset>
                </wp:positionV>
                <wp:extent cx="2400300" cy="161925"/>
                <wp:effectExtent b="28575" l="0" r="1905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76200</wp:posOffset>
                </wp:positionV>
                <wp:extent cx="2419350" cy="190500"/>
                <wp:effectExtent b="0" l="0" r="0" t="0"/>
                <wp:wrapNone/>
                <wp:docPr id="8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Academic Achievements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8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Merit of receiving scholarship for securing: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position during B.Com. (First Year)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position during B.Com. (Second Year)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00300" cy="161925"/>
                <wp:effectExtent b="28575" l="0" r="1905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4064634</wp:posOffset>
                </wp:positionH>
                <wp:positionV relativeFrom="paragraph">
                  <wp:posOffset>99695</wp:posOffset>
                </wp:positionV>
                <wp:extent cx="2419350" cy="190500"/>
                <wp:effectExtent b="0" l="0" r="0" t="0"/>
                <wp:wrapNone/>
                <wp:docPr id="8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IT Skills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8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36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Comprehensive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knowledge of MS Excel (Advanced), MS Word and MS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128270</wp:posOffset>
                </wp:positionV>
                <wp:extent cx="2400300" cy="161925"/>
                <wp:effectExtent b="28575" l="0" r="1905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4048759</wp:posOffset>
                </wp:positionH>
                <wp:positionV relativeFrom="paragraph">
                  <wp:posOffset>128270</wp:posOffset>
                </wp:positionV>
                <wp:extent cx="2419350" cy="190500"/>
                <wp:effectExtent b="0" l="0" r="0" t="0"/>
                <wp:wrapNone/>
                <wp:docPr id="9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2419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contextualSpacing w:val="0"/>
        <w:jc w:val="center"/>
        <w:rPr>
          <w:rFonts w:ascii="Calibri" w:cs="Calibri" w:eastAsia="Calibri" w:hAnsi="Calibri"/>
          <w:b w:val="1"/>
          <w:smallCaps w:val="1"/>
          <w:color w:val="365f9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65f91"/>
          <w:rtl w:val="0"/>
        </w:rPr>
        <w:t xml:space="preserve">PERSONAL DETAILS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28850" cy="161925"/>
                <wp:effectExtent b="28575" l="0" r="1905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ysClr lastClr="FFFFFF" val="window"/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33020</wp:posOffset>
                </wp:positionV>
                <wp:extent cx="2247900" cy="190500"/>
                <wp:effectExtent b="0" l="0" r="0" t="0"/>
                <wp:wrapNone/>
                <wp:docPr id="9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630"/>
        </w:tabs>
        <w:spacing w:after="0" w:before="0" w:line="240" w:lineRule="auto"/>
        <w:ind w:left="0" w:right="0" w:hanging="36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January, 1981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 Known: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English, Hindi, Marathi and Telugu</w:t>
      </w:r>
    </w:p>
    <w:p w:rsidR="00000000" w:rsidDel="00000000" w:rsidP="00000000" w:rsidRDefault="00000000" w:rsidRPr="00000000" w14:paraId="0000007D">
      <w:pPr>
        <w:ind w:left="2160" w:hanging="21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Strength: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Self-Motivated, Leadership skills, Communication, Ability to work with various people including Senior management in a matrix structure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30" w:type="default"/>
      <w:headerReference r:id="rId31" w:type="first"/>
      <w:headerReference r:id="rId32" w:type="even"/>
      <w:footerReference r:id="rId33" w:type="default"/>
      <w:footerReference r:id="rId34" w:type="first"/>
      <w:footerReference r:id="rId35" w:type="even"/>
      <w:pgSz w:h="16834" w:w="11909"/>
      <w:pgMar w:bottom="864" w:top="864" w:left="864" w:right="8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Times New Roman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contextualSpacing w:val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qFormat w:val="1"/>
    <w:rsid w:val="00C30FB9"/>
    <w:rPr>
      <w:rFonts w:ascii="Verdana" w:hAnsi="Verdana"/>
      <w:lang w:val="en-GB"/>
    </w:rPr>
  </w:style>
  <w:style w:type="paragraph" w:styleId="Heading1">
    <w:name w:val="heading 1"/>
    <w:basedOn w:val="Normal"/>
    <w:next w:val="Normal"/>
    <w:qFormat w:val="1"/>
    <w:rsid w:val="00C30FB9"/>
    <w:pPr>
      <w:spacing w:after="60" w:before="240"/>
      <w:outlineLvl w:val="0"/>
    </w:pPr>
    <w:rPr>
      <w:rFonts w:ascii="Cambria" w:hAnsi="Cambr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qFormat w:val="1"/>
    <w:rsid w:val="00C30FB9"/>
    <w:pPr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4C3C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6">
    <w:name w:val="heading 6"/>
    <w:basedOn w:val="Normal"/>
    <w:next w:val="Normal"/>
    <w:semiHidden w:val="1"/>
    <w:unhideWhenUsed w:val="1"/>
    <w:qFormat w:val="1"/>
    <w:rsid w:val="00C30FB9"/>
    <w:pPr>
      <w:spacing w:after="60" w:before="240"/>
      <w:outlineLvl w:val="5"/>
    </w:pPr>
    <w:rPr>
      <w:rFonts w:ascii="Calibri" w:hAnsi="Calibri"/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semiHidden w:val="1"/>
    <w:unhideWhenUsed w:val="1"/>
    <w:qFormat w:val="1"/>
    <w:rsid w:val="00C30FB9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semiHidden w:val="1"/>
    <w:rsid w:val="00C30FB9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val="en-GB"/>
    </w:rPr>
  </w:style>
  <w:style w:type="character" w:styleId="Hyperlink">
    <w:name w:val="Hyperlink"/>
    <w:rsid w:val="00C30FB9"/>
    <w:rPr>
      <w:rFonts w:cs="Times New Roman"/>
      <w:color w:val="0000ff"/>
      <w:u w:val="single"/>
    </w:rPr>
  </w:style>
  <w:style w:type="paragraph" w:styleId="BodyText">
    <w:name w:val="Body Text"/>
    <w:basedOn w:val="Normal"/>
    <w:rsid w:val="00C30FB9"/>
    <w:pPr>
      <w:spacing w:after="120"/>
    </w:pPr>
  </w:style>
  <w:style w:type="character" w:styleId="BodyTextChar" w:customStyle="1">
    <w:name w:val="Body Text Char"/>
    <w:semiHidden w:val="1"/>
    <w:rsid w:val="00C30FB9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rsid w:val="00C30FB9"/>
  </w:style>
  <w:style w:type="character" w:styleId="HeaderChar" w:customStyle="1">
    <w:name w:val="Header Char"/>
    <w:semiHidden w:val="1"/>
    <w:rsid w:val="00C30FB9"/>
    <w:rPr>
      <w:rFonts w:ascii="Verdana" w:hAnsi="Verdana"/>
      <w:sz w:val="20"/>
      <w:szCs w:val="20"/>
      <w:lang w:val="en-GB"/>
    </w:rPr>
  </w:style>
  <w:style w:type="character" w:styleId="link11" w:customStyle="1">
    <w:name w:val="link11"/>
    <w:rsid w:val="00C30FB9"/>
    <w:rPr>
      <w:rFonts w:cs="Times New Roman"/>
    </w:rPr>
  </w:style>
  <w:style w:type="paragraph" w:styleId="NormalWeb">
    <w:name w:val="Normal (Web)"/>
    <w:basedOn w:val="Normal"/>
    <w:rsid w:val="00C30FB9"/>
    <w:pPr>
      <w:spacing w:after="100" w:afterAutospacing="1" w:before="100" w:beforeAutospacing="1"/>
    </w:pPr>
    <w:rPr>
      <w:rFonts w:ascii="Times New Roman" w:eastAsia="Batang" w:hAnsi="Times New Roman"/>
      <w:sz w:val="24"/>
      <w:szCs w:val="24"/>
      <w:lang w:val="en-US"/>
    </w:rPr>
  </w:style>
  <w:style w:type="character" w:styleId="apple-style-span" w:customStyle="1">
    <w:name w:val="apple-style-span"/>
    <w:rsid w:val="00C30FB9"/>
  </w:style>
  <w:style w:type="paragraph" w:styleId="Style1" w:customStyle="1">
    <w:name w:val="Style1"/>
    <w:basedOn w:val="Normal"/>
    <w:qFormat w:val="1"/>
    <w:rsid w:val="00C30FB9"/>
    <w:rPr>
      <w:b w:val="1"/>
      <w:sz w:val="28"/>
      <w:szCs w:val="28"/>
      <w:lang w:val="fr-FR"/>
    </w:rPr>
  </w:style>
  <w:style w:type="character" w:styleId="apple-converted-space" w:customStyle="1">
    <w:name w:val="apple-converted-space"/>
    <w:basedOn w:val="DefaultParagraphFont"/>
    <w:rsid w:val="00C30FB9"/>
  </w:style>
  <w:style w:type="character" w:styleId="Style1Char" w:customStyle="1">
    <w:name w:val="Style1 Char"/>
    <w:rsid w:val="00C30FB9"/>
    <w:rPr>
      <w:rFonts w:ascii="Verdana" w:hAnsi="Verdana"/>
      <w:b w:val="1"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 w:val="1"/>
    <w:rsid w:val="00C30FB9"/>
    <w:pPr>
      <w:spacing w:after="200" w:line="276" w:lineRule="auto"/>
      <w:ind w:left="720"/>
      <w:contextualSpacing w:val="1"/>
    </w:pPr>
    <w:rPr>
      <w:rFonts w:ascii="Calibri" w:cs="Arial" w:eastAsia="Calibri" w:hAnsi="Calibri"/>
      <w:sz w:val="22"/>
      <w:szCs w:val="22"/>
      <w:lang w:val="en-US"/>
    </w:rPr>
  </w:style>
  <w:style w:type="paragraph" w:styleId="Default" w:customStyle="1">
    <w:name w:val="Default"/>
    <w:rsid w:val="00C30FB9"/>
    <w:rPr>
      <w:rFonts w:eastAsia="Calibri"/>
      <w:color w:val="000000"/>
      <w:sz w:val="24"/>
      <w:szCs w:val="24"/>
    </w:rPr>
  </w:style>
  <w:style w:type="paragraph" w:styleId="Bullets" w:customStyle="1">
    <w:name w:val="Bullets"/>
    <w:basedOn w:val="Normal"/>
    <w:rsid w:val="00C30FB9"/>
    <w:pPr>
      <w:numPr>
        <w:numId w:val="1"/>
      </w:numPr>
      <w:spacing w:after="120" w:before="40" w:line="220" w:lineRule="exact"/>
      <w:contextualSpacing w:val="1"/>
    </w:pPr>
    <w:rPr>
      <w:rFonts w:ascii="Tahoma" w:hAnsi="Tahoma"/>
      <w:spacing w:val="10"/>
      <w:sz w:val="16"/>
      <w:szCs w:val="16"/>
      <w:lang w:val="en-US"/>
    </w:rPr>
  </w:style>
  <w:style w:type="paragraph" w:styleId="DefaultText" w:customStyle="1">
    <w:name w:val="Default Text"/>
    <w:basedOn w:val="Normal"/>
    <w:rsid w:val="00C30FB9"/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C30FB9"/>
    <w:pPr>
      <w:spacing w:after="120"/>
      <w:ind w:left="360"/>
    </w:pPr>
  </w:style>
  <w:style w:type="paragraph" w:styleId="Achievement" w:customStyle="1">
    <w:name w:val="Achievement"/>
    <w:basedOn w:val="BodyText"/>
    <w:rsid w:val="00C30FB9"/>
    <w:pPr>
      <w:numPr>
        <w:numId w:val="2"/>
      </w:numPr>
      <w:spacing w:after="60" w:line="220" w:lineRule="atLeast"/>
    </w:pPr>
    <w:rPr>
      <w:rFonts w:ascii="Arial" w:eastAsia="Batang" w:hAnsi="Arial"/>
      <w:spacing w:val="-5"/>
      <w:lang w:val="en-US"/>
    </w:rPr>
  </w:style>
  <w:style w:type="character" w:styleId="Heading1Char" w:customStyle="1">
    <w:name w:val="Heading 1 Char"/>
    <w:rsid w:val="00C30FB9"/>
    <w:rPr>
      <w:rFonts w:ascii="Cambria" w:cs="Times New Roman" w:eastAsia="Times New Roman" w:hAnsi="Cambria"/>
      <w:b w:val="1"/>
      <w:bCs w:val="1"/>
      <w:sz w:val="32"/>
      <w:szCs w:val="32"/>
      <w:lang w:val="en-GB"/>
    </w:rPr>
  </w:style>
  <w:style w:type="table" w:styleId="TableGrid">
    <w:name w:val="Table Grid"/>
    <w:basedOn w:val="TableNormal"/>
    <w:rsid w:val="00C30FB9"/>
    <w:rPr>
      <w:lang w:val="en-IN"/>
    </w:rPr>
    <w:tblPr>
      <w:tblCellMar>
        <w:left w:w="0.0" w:type="dxa"/>
        <w:right w:w="0.0" w:type="dxa"/>
      </w:tblCellMar>
    </w:tblPr>
  </w:style>
  <w:style w:type="character" w:styleId="IntenseEmphasis">
    <w:name w:val="Intense Emphasis"/>
    <w:qFormat w:val="1"/>
    <w:rsid w:val="00C30FB9"/>
    <w:rPr>
      <w:b w:val="1"/>
      <w:bCs w:val="1"/>
      <w:i w:val="1"/>
      <w:iCs w:val="1"/>
      <w:color w:val="4f81bd"/>
    </w:rPr>
  </w:style>
  <w:style w:type="character" w:styleId="Heading6Char" w:customStyle="1">
    <w:name w:val="Heading 6 Char"/>
    <w:semiHidden w:val="1"/>
    <w:rsid w:val="00C30FB9"/>
    <w:rPr>
      <w:rFonts w:ascii="Calibri" w:cs="Times New Roman" w:eastAsia="Times New Roman" w:hAnsi="Calibri"/>
      <w:b w:val="1"/>
      <w:bCs w:val="1"/>
      <w:sz w:val="22"/>
      <w:szCs w:val="22"/>
      <w:lang w:val="en-GB"/>
    </w:rPr>
  </w:style>
  <w:style w:type="character" w:styleId="Heading7Char" w:customStyle="1">
    <w:name w:val="Heading 7 Char"/>
    <w:semiHidden w:val="1"/>
    <w:rsid w:val="00C30FB9"/>
    <w:rPr>
      <w:rFonts w:ascii="Calibri" w:cs="Times New Roman" w:eastAsia="Times New Roman" w:hAnsi="Calibri"/>
      <w:sz w:val="24"/>
      <w:szCs w:val="24"/>
      <w:lang w:val="en-GB"/>
    </w:rPr>
  </w:style>
  <w:style w:type="paragraph" w:styleId="Footer">
    <w:name w:val="footer"/>
    <w:basedOn w:val="Normal"/>
    <w:unhideWhenUsed w:val="1"/>
    <w:rsid w:val="00C30FB9"/>
  </w:style>
  <w:style w:type="character" w:styleId="FooterChar" w:customStyle="1">
    <w:name w:val="Footer Char"/>
    <w:semiHidden w:val="1"/>
    <w:rsid w:val="00C30FB9"/>
    <w:rPr>
      <w:rFonts w:ascii="Verdana" w:hAnsi="Verdana"/>
      <w:lang w:val="en-GB"/>
    </w:rPr>
  </w:style>
  <w:style w:type="character" w:styleId="Strong">
    <w:name w:val="Strong"/>
    <w:uiPriority w:val="22"/>
    <w:qFormat w:val="1"/>
    <w:rsid w:val="00C30FB9"/>
    <w:rPr>
      <w:b w:val="1"/>
      <w:bCs w:val="1"/>
    </w:rPr>
  </w:style>
  <w:style w:type="paragraph" w:styleId="western" w:customStyle="1">
    <w:name w:val="western"/>
    <w:basedOn w:val="Normal"/>
    <w:rsid w:val="00C30FB9"/>
    <w:rPr>
      <w:rFonts w:ascii="Times New Roman" w:hAnsi="Times New Roman"/>
      <w:sz w:val="24"/>
      <w:szCs w:val="24"/>
      <w:lang w:val="en-US"/>
    </w:rPr>
  </w:style>
  <w:style w:type="character" w:styleId="rvts193" w:customStyle="1">
    <w:name w:val="rvts193"/>
    <w:rsid w:val="00C30FB9"/>
  </w:style>
  <w:style w:type="character" w:styleId="rvts38" w:customStyle="1">
    <w:name w:val="rvts38"/>
    <w:rsid w:val="00C30FB9"/>
    <w:rPr>
      <w:rFonts w:ascii="Calibri" w:hAnsi="Calibri"/>
      <w:color w:val="000000"/>
      <w:sz w:val="22"/>
      <w:szCs w:val="22"/>
    </w:rPr>
  </w:style>
  <w:style w:type="character" w:styleId="CommentReference">
    <w:name w:val="annotation reference"/>
    <w:semiHidden w:val="1"/>
    <w:unhideWhenUsed w:val="1"/>
    <w:rsid w:val="00C30FB9"/>
    <w:rPr>
      <w:sz w:val="16"/>
      <w:szCs w:val="16"/>
    </w:rPr>
  </w:style>
  <w:style w:type="paragraph" w:styleId="CommentText">
    <w:name w:val="annotation text"/>
    <w:basedOn w:val="Normal"/>
    <w:semiHidden w:val="1"/>
    <w:unhideWhenUsed w:val="1"/>
    <w:rsid w:val="00C30FB9"/>
  </w:style>
  <w:style w:type="character" w:styleId="CommentTextChar" w:customStyle="1">
    <w:name w:val="Comment Text Char"/>
    <w:semiHidden w:val="1"/>
    <w:rsid w:val="00C30FB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semiHidden w:val="1"/>
    <w:unhideWhenUsed w:val="1"/>
    <w:rsid w:val="00C30FB9"/>
    <w:rPr>
      <w:b w:val="1"/>
      <w:bCs w:val="1"/>
    </w:rPr>
  </w:style>
  <w:style w:type="character" w:styleId="CommentSubjectChar" w:customStyle="1">
    <w:name w:val="Comment Subject Char"/>
    <w:semiHidden w:val="1"/>
    <w:rsid w:val="00C30FB9"/>
    <w:rPr>
      <w:rFonts w:ascii="Verdana" w:hAnsi="Verdana"/>
      <w:b w:val="1"/>
      <w:bCs w:val="1"/>
      <w:lang w:val="en-GB"/>
    </w:rPr>
  </w:style>
  <w:style w:type="paragraph" w:styleId="BalloonText">
    <w:name w:val="Balloon Text"/>
    <w:basedOn w:val="Normal"/>
    <w:semiHidden w:val="1"/>
    <w:unhideWhenUsed w:val="1"/>
    <w:rsid w:val="00C30FB9"/>
    <w:rPr>
      <w:rFonts w:ascii="Tahoma" w:hAnsi="Tahoma"/>
      <w:sz w:val="16"/>
      <w:szCs w:val="16"/>
    </w:rPr>
  </w:style>
  <w:style w:type="character" w:styleId="BalloonTextChar" w:customStyle="1">
    <w:name w:val="Balloon Text Char"/>
    <w:semiHidden w:val="1"/>
    <w:rsid w:val="00C30FB9"/>
    <w:rPr>
      <w:rFonts w:ascii="Tahoma" w:cs="Tahoma" w:hAnsi="Tahoma"/>
      <w:sz w:val="16"/>
      <w:szCs w:val="16"/>
      <w:lang w:val="en-GB"/>
    </w:rPr>
  </w:style>
  <w:style w:type="character" w:styleId="PlaceholderText">
    <w:name w:val="Placeholder Text"/>
    <w:semiHidden w:val="1"/>
    <w:rsid w:val="00C30FB9"/>
    <w:rPr>
      <w:color w:val="808080"/>
    </w:rPr>
  </w:style>
  <w:style w:type="paragraph" w:styleId="Title">
    <w:name w:val="Title"/>
    <w:basedOn w:val="Normal"/>
    <w:qFormat w:val="1"/>
    <w:rsid w:val="00C30FB9"/>
    <w:pPr>
      <w:jc w:val="center"/>
    </w:pPr>
    <w:rPr>
      <w:rFonts w:ascii="Times New Roman" w:hAnsi="Times New Roman"/>
      <w:b w:val="1"/>
      <w:bCs w:val="1"/>
      <w:sz w:val="24"/>
      <w:szCs w:val="24"/>
    </w:rPr>
  </w:style>
  <w:style w:type="character" w:styleId="TitleChar" w:customStyle="1">
    <w:name w:val="Title Char"/>
    <w:rsid w:val="00C30FB9"/>
    <w:rPr>
      <w:b w:val="1"/>
      <w:bCs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4C3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lang w:val="en-GB"/>
    </w:rPr>
  </w:style>
  <w:style w:type="paragraph" w:styleId="NoSpacing">
    <w:name w:val="No Spacing"/>
    <w:uiPriority w:val="1"/>
    <w:qFormat w:val="1"/>
    <w:rsid w:val="00987FC3"/>
    <w:rPr>
      <w:rFonts w:asciiTheme="minorHAnsi" w:cstheme="minorBidi" w:eastAsiaTheme="minorHAnsi" w:hAnsiTheme="minorHAnsi"/>
      <w:sz w:val="22"/>
      <w:szCs w:val="22"/>
    </w:rPr>
  </w:style>
  <w:style w:type="paragraph" w:styleId="NormalWeb1" w:customStyle="1">
    <w:name w:val="Normal (Web)1"/>
    <w:uiPriority w:val="99"/>
    <w:rsid w:val="00A201BA"/>
    <w:pPr>
      <w:spacing w:after="100" w:before="100"/>
    </w:pPr>
    <w:rPr>
      <w:sz w:val="24"/>
    </w:rPr>
  </w:style>
  <w:style w:type="character" w:styleId="Emphasis">
    <w:name w:val="Emphasis"/>
    <w:basedOn w:val="DefaultParagraphFont"/>
    <w:uiPriority w:val="20"/>
    <w:qFormat w:val="1"/>
    <w:rsid w:val="00A201BA"/>
    <w:rPr>
      <w:b w:val="1"/>
      <w:bCs w:val="1"/>
      <w:i w:val="0"/>
      <w:iCs w:val="0"/>
    </w:rPr>
  </w:style>
  <w:style w:type="character" w:styleId="st1" w:customStyle="1">
    <w:name w:val="st1"/>
    <w:basedOn w:val="DefaultParagraphFont"/>
    <w:rsid w:val="00A201B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image" Target="media/image10.png"/><Relationship Id="rId28" Type="http://schemas.openxmlformats.org/officeDocument/2006/relationships/image" Target="media/image48.png"/><Relationship Id="rId16" Type="http://schemas.openxmlformats.org/officeDocument/2006/relationships/image" Target="media/image32.png"/><Relationship Id="rId20" Type="http://schemas.openxmlformats.org/officeDocument/2006/relationships/image" Target="media/image19.png"/><Relationship Id="rId15" Type="http://schemas.openxmlformats.org/officeDocument/2006/relationships/image" Target="media/image34.png"/><Relationship Id="rId11" Type="http://schemas.openxmlformats.org/officeDocument/2006/relationships/image" Target="media/image11.png"/><Relationship Id="rId25" Type="http://schemas.openxmlformats.org/officeDocument/2006/relationships/image" Target="media/image24.png"/><Relationship Id="rId7" Type="http://schemas.openxmlformats.org/officeDocument/2006/relationships/image" Target="media/image44.png"/><Relationship Id="rId14" Type="http://schemas.openxmlformats.org/officeDocument/2006/relationships/image" Target="media/image40.png"/><Relationship Id="rId29" Type="http://schemas.openxmlformats.org/officeDocument/2006/relationships/image" Target="media/image46.png"/><Relationship Id="rId27" Type="http://schemas.openxmlformats.org/officeDocument/2006/relationships/image" Target="media/image30.png"/><Relationship Id="rId35" Type="http://schemas.openxmlformats.org/officeDocument/2006/relationships/footer" Target="footer3.xml"/><Relationship Id="rId8" Type="http://schemas.openxmlformats.org/officeDocument/2006/relationships/image" Target="media/image17.png"/><Relationship Id="rId13" Type="http://schemas.openxmlformats.org/officeDocument/2006/relationships/image" Target="media/image12.png"/><Relationship Id="rId34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31" Type="http://schemas.openxmlformats.org/officeDocument/2006/relationships/header" Target="header2.xml"/><Relationship Id="rId33" Type="http://schemas.openxmlformats.org/officeDocument/2006/relationships/footer" Target="footer1.xml"/><Relationship Id="rId1" Type="http://schemas.openxmlformats.org/officeDocument/2006/relationships/theme" Target="theme/theme1.xml"/><Relationship Id="rId22" Type="http://schemas.openxmlformats.org/officeDocument/2006/relationships/image" Target="media/image36.png"/><Relationship Id="rId30" Type="http://schemas.openxmlformats.org/officeDocument/2006/relationships/header" Target="header1.xml"/><Relationship Id="rId18" Type="http://schemas.openxmlformats.org/officeDocument/2006/relationships/image" Target="media/image42.png"/><Relationship Id="rId5" Type="http://schemas.openxmlformats.org/officeDocument/2006/relationships/styles" Target="styles.xml"/><Relationship Id="rId26" Type="http://schemas.openxmlformats.org/officeDocument/2006/relationships/image" Target="media/image26.png"/><Relationship Id="rId24" Type="http://schemas.openxmlformats.org/officeDocument/2006/relationships/image" Target="media/image21.png"/><Relationship Id="rId2" Type="http://schemas.openxmlformats.org/officeDocument/2006/relationships/settings" Target="settings.xml"/><Relationship Id="rId21" Type="http://schemas.openxmlformats.org/officeDocument/2006/relationships/image" Target="media/image16.png"/><Relationship Id="rId23" Type="http://schemas.openxmlformats.org/officeDocument/2006/relationships/image" Target="media/image38.png"/><Relationship Id="rId32" Type="http://schemas.openxmlformats.org/officeDocument/2006/relationships/header" Target="header3.xml"/><Relationship Id="rId10" Type="http://schemas.openxmlformats.org/officeDocument/2006/relationships/image" Target="media/image23.png"/><Relationship Id="rId19" Type="http://schemas.openxmlformats.org/officeDocument/2006/relationships/image" Target="media/image13.png"/><Relationship Id="rId17" Type="http://schemas.openxmlformats.org/officeDocument/2006/relationships/image" Target="media/image28.png"/><Relationship Id="rId3" Type="http://schemas.openxmlformats.org/officeDocument/2006/relationships/fontTable" Target="fontTable.xml"/><Relationship Id="rId6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