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BE01" w14:textId="77777777" w:rsidR="00485E25" w:rsidRDefault="00485E25">
      <w:pPr>
        <w:spacing w:after="0" w:line="360" w:lineRule="auto"/>
        <w:jc w:val="center"/>
        <w:rPr>
          <w:rFonts w:ascii="Times New Roman" w:eastAsia="Times New Roman" w:hAnsi="Times New Roman" w:cs="Times New Roman"/>
          <w:b/>
          <w:bCs/>
          <w:color w:val="002060"/>
          <w:sz w:val="36"/>
          <w:szCs w:val="36"/>
          <w:u w:val="single"/>
          <w:lang w:val="en-US"/>
        </w:rPr>
      </w:pPr>
    </w:p>
    <w:p w14:paraId="3EE96D6F" w14:textId="2C21EAD5" w:rsidR="00075CB1" w:rsidRDefault="00296598">
      <w:pPr>
        <w:spacing w:after="0" w:line="360" w:lineRule="auto"/>
        <w:jc w:val="center"/>
        <w:rPr>
          <w:rFonts w:ascii="Times New Roman" w:eastAsia="Times New Roman" w:hAnsi="Times New Roman" w:cs="Times New Roman"/>
          <w:b/>
          <w:bCs/>
          <w:color w:val="002060"/>
          <w:sz w:val="28"/>
          <w:szCs w:val="28"/>
          <w:lang w:val="en-US"/>
        </w:rPr>
      </w:pPr>
      <w:r w:rsidRPr="0065561E">
        <w:rPr>
          <w:rFonts w:ascii="Times New Roman" w:eastAsia="Times New Roman" w:hAnsi="Times New Roman" w:cs="Times New Roman"/>
          <w:b/>
          <w:bCs/>
          <w:color w:val="002060"/>
          <w:sz w:val="36"/>
          <w:szCs w:val="36"/>
          <w:u w:val="single"/>
          <w:lang w:val="en-US"/>
        </w:rPr>
        <w:t xml:space="preserve">Healthcare Revenue Cycle Management (RCM) Analytics </w:t>
      </w:r>
      <w:r w:rsidRPr="0065561E">
        <w:rPr>
          <w:rFonts w:ascii="Times New Roman" w:eastAsia="Times New Roman" w:hAnsi="Times New Roman" w:cs="Times New Roman"/>
          <w:b/>
          <w:bCs/>
          <w:color w:val="002060"/>
          <w:sz w:val="36"/>
          <w:szCs w:val="36"/>
          <w:lang w:val="en-US"/>
        </w:rPr>
        <w:t>(</w:t>
      </w:r>
      <w:r w:rsidRPr="0065561E">
        <w:rPr>
          <w:rFonts w:ascii="Times New Roman" w:eastAsia="Times New Roman" w:hAnsi="Times New Roman" w:cs="Times New Roman"/>
          <w:b/>
          <w:bCs/>
          <w:color w:val="002060"/>
          <w:sz w:val="28"/>
          <w:szCs w:val="28"/>
          <w:lang w:val="en-US"/>
        </w:rPr>
        <w:t>Claims, Payments, Denials &amp; Accounts Receivable)</w:t>
      </w:r>
    </w:p>
    <w:p w14:paraId="65C75C04" w14:textId="77777777" w:rsidR="00485E25" w:rsidRPr="0065561E" w:rsidRDefault="00485E25">
      <w:pPr>
        <w:spacing w:after="0" w:line="360" w:lineRule="auto"/>
        <w:jc w:val="center"/>
        <w:rPr>
          <w:rFonts w:ascii="Times New Roman" w:eastAsia="Times New Roman" w:hAnsi="Times New Roman" w:cs="Times New Roman"/>
          <w:b/>
          <w:bCs/>
          <w:color w:val="002060"/>
          <w:sz w:val="28"/>
          <w:szCs w:val="28"/>
          <w:lang w:val="en-US"/>
        </w:rPr>
      </w:pPr>
    </w:p>
    <w:p w14:paraId="1C181A09" w14:textId="77777777" w:rsidR="00075CB1" w:rsidRPr="0065561E"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1. Project Overview and Objective</w:t>
      </w:r>
    </w:p>
    <w:p w14:paraId="4AB8AC9D" w14:textId="0B5A8976" w:rsidR="006F4FEC" w:rsidRPr="0065561E" w:rsidRDefault="006F4FEC" w:rsidP="00F50734">
      <w:pPr>
        <w:spacing w:after="0" w:line="360" w:lineRule="auto"/>
        <w:ind w:firstLine="720"/>
        <w:jc w:val="both"/>
        <w:rPr>
          <w:rFonts w:ascii="Times New Roman" w:eastAsia="Times New Roman" w:hAnsi="Times New Roman" w:cs="Times New Roman"/>
          <w:b/>
          <w:bCs/>
          <w:color w:val="1F3864"/>
          <w:sz w:val="24"/>
          <w:szCs w:val="24"/>
          <w:lang w:val="en-US"/>
        </w:rPr>
      </w:pPr>
      <w:r w:rsidRPr="0065561E">
        <w:rPr>
          <w:rFonts w:ascii="Times New Roman" w:eastAsia="Times New Roman" w:hAnsi="Times New Roman" w:cs="Times New Roman"/>
          <w:color w:val="1F3864"/>
          <w:sz w:val="24"/>
          <w:szCs w:val="24"/>
          <w:lang w:val="en-US"/>
        </w:rPr>
        <w:t>This project focuses on analy</w:t>
      </w:r>
      <w:r w:rsidR="0065561E" w:rsidRPr="0065561E">
        <w:rPr>
          <w:rFonts w:ascii="Times New Roman" w:eastAsia="Times New Roman" w:hAnsi="Times New Roman" w:cs="Times New Roman"/>
          <w:color w:val="1F3864"/>
          <w:sz w:val="24"/>
          <w:szCs w:val="24"/>
          <w:lang w:val="en-US"/>
        </w:rPr>
        <w:t>z</w:t>
      </w:r>
      <w:r w:rsidRPr="0065561E">
        <w:rPr>
          <w:rFonts w:ascii="Times New Roman" w:eastAsia="Times New Roman" w:hAnsi="Times New Roman" w:cs="Times New Roman"/>
          <w:color w:val="1F3864"/>
          <w:sz w:val="24"/>
          <w:szCs w:val="24"/>
          <w:lang w:val="en-US"/>
        </w:rPr>
        <w:t xml:space="preserve">ing </w:t>
      </w:r>
      <w:r w:rsidRPr="0065561E">
        <w:rPr>
          <w:rFonts w:ascii="Times New Roman" w:eastAsia="Times New Roman" w:hAnsi="Times New Roman" w:cs="Times New Roman"/>
          <w:b/>
          <w:bCs/>
          <w:color w:val="1F3864"/>
          <w:sz w:val="24"/>
          <w:szCs w:val="24"/>
          <w:lang w:val="en-US"/>
        </w:rPr>
        <w:t>US Healthcare Revenue Cycle Management (RCM)</w:t>
      </w:r>
      <w:r w:rsidRPr="0065561E">
        <w:rPr>
          <w:rFonts w:ascii="Times New Roman" w:eastAsia="Times New Roman" w:hAnsi="Times New Roman" w:cs="Times New Roman"/>
          <w:color w:val="1F3864"/>
          <w:sz w:val="24"/>
          <w:szCs w:val="24"/>
          <w:lang w:val="en-US"/>
        </w:rPr>
        <w:t xml:space="preserve"> data using </w:t>
      </w:r>
      <w:r w:rsidRPr="0065561E">
        <w:rPr>
          <w:rFonts w:ascii="Times New Roman" w:eastAsia="Times New Roman" w:hAnsi="Times New Roman" w:cs="Times New Roman"/>
          <w:b/>
          <w:bCs/>
          <w:color w:val="1F3864"/>
          <w:sz w:val="24"/>
          <w:szCs w:val="24"/>
          <w:lang w:val="en-US"/>
        </w:rPr>
        <w:t xml:space="preserve">Python </w:t>
      </w:r>
      <w:r w:rsidRPr="0065561E">
        <w:rPr>
          <w:rFonts w:ascii="Times New Roman" w:eastAsia="Times New Roman" w:hAnsi="Times New Roman" w:cs="Times New Roman"/>
          <w:color w:val="1F3864"/>
          <w:sz w:val="24"/>
          <w:szCs w:val="24"/>
          <w:lang w:val="en-US"/>
        </w:rPr>
        <w:t>and</w:t>
      </w:r>
      <w:r w:rsidRPr="0065561E">
        <w:rPr>
          <w:rFonts w:ascii="Times New Roman" w:eastAsia="Times New Roman" w:hAnsi="Times New Roman" w:cs="Times New Roman"/>
          <w:b/>
          <w:bCs/>
          <w:color w:val="1F3864"/>
          <w:sz w:val="24"/>
          <w:szCs w:val="24"/>
          <w:lang w:val="en-US"/>
        </w:rPr>
        <w:t xml:space="preserve"> Power BI</w:t>
      </w:r>
      <w:r w:rsidRPr="0065561E">
        <w:rPr>
          <w:rFonts w:ascii="Times New Roman" w:eastAsia="Times New Roman" w:hAnsi="Times New Roman" w:cs="Times New Roman"/>
          <w:color w:val="1F3864"/>
          <w:sz w:val="24"/>
          <w:szCs w:val="24"/>
          <w:lang w:val="en-US"/>
        </w:rPr>
        <w:t>. The analysis covers healthcare claims, payments, denials, outstanding Accounts Receivable (AR), payer and provider performance</w:t>
      </w:r>
      <w:r w:rsidR="00F50734" w:rsidRPr="0065561E">
        <w:rPr>
          <w:rFonts w:ascii="Times New Roman" w:eastAsia="Times New Roman" w:hAnsi="Times New Roman" w:cs="Times New Roman"/>
          <w:color w:val="1F3864"/>
          <w:sz w:val="24"/>
          <w:szCs w:val="24"/>
          <w:lang w:val="en-US"/>
        </w:rPr>
        <w:t>,</w:t>
      </w:r>
      <w:r w:rsidRPr="0065561E">
        <w:rPr>
          <w:rFonts w:ascii="Times New Roman" w:eastAsia="Times New Roman" w:hAnsi="Times New Roman" w:cs="Times New Roman"/>
          <w:color w:val="1F3864"/>
          <w:sz w:val="24"/>
          <w:szCs w:val="24"/>
          <w:lang w:val="en-US"/>
        </w:rPr>
        <w:t xml:space="preserve"> </w:t>
      </w:r>
      <w:r w:rsidR="00174E52" w:rsidRPr="0065561E">
        <w:rPr>
          <w:rFonts w:ascii="Times New Roman" w:eastAsia="Times New Roman" w:hAnsi="Times New Roman" w:cs="Times New Roman"/>
          <w:color w:val="1F3864"/>
          <w:sz w:val="24"/>
          <w:szCs w:val="24"/>
          <w:lang w:val="en-US"/>
        </w:rPr>
        <w:t>AR aging, and claim follow-up activities</w:t>
      </w:r>
      <w:r w:rsidRPr="0065561E">
        <w:rPr>
          <w:rFonts w:ascii="Times New Roman" w:eastAsia="Times New Roman" w:hAnsi="Times New Roman" w:cs="Times New Roman"/>
          <w:color w:val="1F3864"/>
          <w:sz w:val="24"/>
          <w:szCs w:val="24"/>
          <w:lang w:val="en-US"/>
        </w:rPr>
        <w:t>.</w:t>
      </w:r>
      <w:r w:rsidRPr="0065561E">
        <w:rPr>
          <w:rFonts w:ascii="Times New Roman" w:eastAsia="Times New Roman" w:hAnsi="Times New Roman" w:cs="Times New Roman"/>
          <w:b/>
          <w:bCs/>
          <w:color w:val="1F3864"/>
          <w:sz w:val="24"/>
          <w:szCs w:val="24"/>
          <w:lang w:val="en-US"/>
        </w:rPr>
        <w:t xml:space="preserve"> </w:t>
      </w:r>
    </w:p>
    <w:p w14:paraId="19982AF9" w14:textId="2EA6C12C" w:rsidR="00075CB1" w:rsidRPr="0065561E" w:rsidRDefault="006F4FEC" w:rsidP="006F4FEC">
      <w:pPr>
        <w:spacing w:after="0" w:line="360" w:lineRule="auto"/>
        <w:ind w:firstLine="720"/>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 xml:space="preserve">The main objective is to </w:t>
      </w:r>
      <w:r w:rsidRPr="0065561E">
        <w:rPr>
          <w:rFonts w:ascii="Times New Roman" w:eastAsia="Times New Roman" w:hAnsi="Times New Roman" w:cs="Times New Roman"/>
          <w:b/>
          <w:bCs/>
          <w:color w:val="1F3864"/>
          <w:sz w:val="24"/>
          <w:szCs w:val="24"/>
          <w:lang w:val="en-US"/>
        </w:rPr>
        <w:t>clean and transform the healthcare claims data using Python and develop an interactive Power BI dashboard</w:t>
      </w:r>
      <w:r w:rsidRPr="0065561E">
        <w:rPr>
          <w:rFonts w:ascii="Times New Roman" w:eastAsia="Times New Roman" w:hAnsi="Times New Roman" w:cs="Times New Roman"/>
          <w:color w:val="1F3864"/>
          <w:sz w:val="24"/>
          <w:szCs w:val="24"/>
          <w:lang w:val="en-US"/>
        </w:rPr>
        <w:t xml:space="preserve"> to identify meaningful patterns, trends, and business insights that support better claim resolution, denial management, AR monitoring, and revenue cycle performance.</w:t>
      </w:r>
    </w:p>
    <w:p w14:paraId="7DB561CD" w14:textId="77777777"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481B2C04">
          <v:rect id="_x0000_i1025" style="width:0;height:1.5pt" o:hralign="center" o:hrstd="t" o:hr="t" fillcolor="#a0a0a0" stroked="f"/>
        </w:pict>
      </w:r>
    </w:p>
    <w:p w14:paraId="32760363" w14:textId="0F6153A3" w:rsidR="00075CB1" w:rsidRPr="0065561E"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 xml:space="preserve">2. Data Sources </w:t>
      </w:r>
    </w:p>
    <w:p w14:paraId="10FD703C" w14:textId="0D7EAD1B" w:rsidR="00F50734" w:rsidRPr="0065561E" w:rsidRDefault="00000000" w:rsidP="00F50734">
      <w:pPr>
        <w:numPr>
          <w:ilvl w:val="0"/>
          <w:numId w:val="6"/>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b/>
          <w:bCs/>
          <w:color w:val="1F3864"/>
          <w:sz w:val="24"/>
          <w:szCs w:val="24"/>
          <w:lang w:val="en-US"/>
        </w:rPr>
        <w:t>Source Description and Timeline:</w:t>
      </w:r>
      <w:r w:rsidRPr="0065561E">
        <w:rPr>
          <w:rFonts w:ascii="Times New Roman" w:eastAsia="Times New Roman" w:hAnsi="Times New Roman" w:cs="Times New Roman"/>
          <w:color w:val="1F3864"/>
          <w:sz w:val="24"/>
          <w:szCs w:val="24"/>
          <w:lang w:val="en-US"/>
        </w:rPr>
        <w:t xml:space="preserve"> </w:t>
      </w:r>
      <w:r w:rsidR="00F50734" w:rsidRPr="0065561E">
        <w:rPr>
          <w:rFonts w:ascii="Times New Roman" w:eastAsia="Times New Roman" w:hAnsi="Times New Roman" w:cs="Times New Roman"/>
          <w:color w:val="1F3864"/>
          <w:sz w:val="24"/>
          <w:szCs w:val="24"/>
          <w:lang w:val="en-US"/>
        </w:rPr>
        <w:t>GitHub and Data collected during 2019 to 2024.</w:t>
      </w:r>
    </w:p>
    <w:p w14:paraId="746CC800" w14:textId="303AFE25" w:rsidR="00075CB1" w:rsidRPr="0065561E" w:rsidRDefault="00F50734" w:rsidP="00F50734">
      <w:pPr>
        <w:spacing w:after="0" w:line="360" w:lineRule="auto"/>
        <w:ind w:left="720"/>
        <w:jc w:val="both"/>
        <w:rPr>
          <w:rFonts w:ascii="Times New Roman" w:eastAsia="Times New Roman" w:hAnsi="Times New Roman" w:cs="Times New Roman"/>
          <w:color w:val="1F3864"/>
          <w:sz w:val="24"/>
          <w:szCs w:val="24"/>
          <w:lang w:val="en-US"/>
        </w:rPr>
      </w:pPr>
      <w:r w:rsidRPr="00C916C3">
        <w:rPr>
          <w:rFonts w:ascii="Times New Roman" w:eastAsia="Times New Roman" w:hAnsi="Times New Roman" w:cs="Times New Roman"/>
          <w:color w:val="1F3864"/>
          <w:sz w:val="24"/>
          <w:szCs w:val="24"/>
          <w:lang w:val="en-US"/>
        </w:rPr>
        <w:t>Link</w:t>
      </w:r>
      <w:r w:rsidRPr="0065561E">
        <w:rPr>
          <w:rFonts w:ascii="Times New Roman" w:eastAsia="Times New Roman" w:hAnsi="Times New Roman" w:cs="Times New Roman"/>
          <w:b/>
          <w:bCs/>
          <w:color w:val="1F3864"/>
          <w:sz w:val="24"/>
          <w:szCs w:val="24"/>
          <w:lang w:val="en-US"/>
        </w:rPr>
        <w:t xml:space="preserve">: </w:t>
      </w:r>
      <w:r w:rsidRPr="0065561E">
        <w:rPr>
          <w:rFonts w:ascii="Times New Roman" w:eastAsia="Times New Roman" w:hAnsi="Times New Roman" w:cs="Times New Roman"/>
          <w:b/>
          <w:bCs/>
          <w:color w:val="1F3864"/>
          <w:sz w:val="24"/>
          <w:szCs w:val="24"/>
          <w:u w:val="single"/>
          <w:lang w:val="en-US"/>
        </w:rPr>
        <w:t xml:space="preserve"> </w:t>
      </w:r>
      <w:hyperlink r:id="rId6" w:history="1">
        <w:r w:rsidRPr="0065561E">
          <w:rPr>
            <w:rStyle w:val="Hyperlink"/>
            <w:rFonts w:ascii="Times New Roman" w:eastAsia="Times New Roman" w:hAnsi="Times New Roman" w:cs="Times New Roman"/>
            <w:b/>
            <w:bCs/>
            <w:sz w:val="24"/>
            <w:szCs w:val="24"/>
            <w:lang w:val="en-US"/>
          </w:rPr>
          <w:t>https://github.com/imranbdcse/healthcaredatasets</w:t>
        </w:r>
      </w:hyperlink>
    </w:p>
    <w:p w14:paraId="0C419C71" w14:textId="3C9203A8" w:rsidR="00075CB1" w:rsidRPr="0065561E" w:rsidRDefault="00000000">
      <w:pPr>
        <w:numPr>
          <w:ilvl w:val="0"/>
          <w:numId w:val="6"/>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b/>
          <w:bCs/>
          <w:color w:val="1F3864"/>
          <w:sz w:val="24"/>
          <w:szCs w:val="24"/>
          <w:lang w:val="en-US"/>
        </w:rPr>
        <w:t>Domain</w:t>
      </w:r>
      <w:r w:rsidRPr="0065561E">
        <w:rPr>
          <w:rFonts w:ascii="Times New Roman" w:eastAsia="Times New Roman" w:hAnsi="Times New Roman" w:cs="Times New Roman"/>
          <w:color w:val="1F3864"/>
          <w:sz w:val="24"/>
          <w:szCs w:val="24"/>
          <w:lang w:val="en-US"/>
        </w:rPr>
        <w:t xml:space="preserve">: </w:t>
      </w:r>
      <w:r w:rsidR="006B4100" w:rsidRPr="0065561E">
        <w:rPr>
          <w:rFonts w:ascii="Times New Roman" w:eastAsia="Times New Roman" w:hAnsi="Times New Roman" w:cs="Times New Roman"/>
          <w:color w:val="1F3864"/>
          <w:sz w:val="24"/>
          <w:szCs w:val="24"/>
          <w:lang w:val="en-US"/>
        </w:rPr>
        <w:t>US Healthcare – Revenue Cycle Management (RCM), Medical Billing, Claims, Payments, Denials and Accounts Receivable (AR) Analytics</w:t>
      </w:r>
    </w:p>
    <w:p w14:paraId="4C1B5904" w14:textId="77777777"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0CEACDD6">
          <v:rect id="_x0000_i1026" style="width:0;height:1.5pt" o:hralign="center" o:hrstd="t" o:hr="t" fillcolor="#a0a0a0" stroked="f"/>
        </w:pict>
      </w:r>
    </w:p>
    <w:p w14:paraId="5032D09C" w14:textId="7A87FBC4" w:rsidR="00075CB1" w:rsidRPr="0065561E" w:rsidRDefault="00000000">
      <w:pPr>
        <w:spacing w:after="0" w:line="360" w:lineRule="auto"/>
        <w:jc w:val="both"/>
        <w:rPr>
          <w:rFonts w:ascii="Times New Roman" w:eastAsia="Times New Roman" w:hAnsi="Times New Roman" w:cs="Times New Roman"/>
          <w:b/>
          <w:bCs/>
          <w:color w:val="EE0000"/>
          <w:sz w:val="24"/>
          <w:szCs w:val="24"/>
          <w:lang w:val="en-US"/>
        </w:rPr>
      </w:pPr>
      <w:r w:rsidRPr="0065561E">
        <w:rPr>
          <w:rFonts w:ascii="Times New Roman" w:eastAsia="Times New Roman" w:hAnsi="Times New Roman" w:cs="Times New Roman"/>
          <w:b/>
          <w:bCs/>
          <w:color w:val="3333CC"/>
          <w:sz w:val="24"/>
          <w:szCs w:val="24"/>
          <w:lang w:val="en-US"/>
        </w:rPr>
        <w:t xml:space="preserve">3. Problem Statement </w:t>
      </w:r>
    </w:p>
    <w:p w14:paraId="2DB163FB" w14:textId="62FA84CD" w:rsidR="00174E52" w:rsidRPr="0065561E" w:rsidRDefault="00174E52" w:rsidP="00174E5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To analy</w:t>
      </w:r>
      <w:r w:rsidR="009A1285" w:rsidRPr="0065561E">
        <w:rPr>
          <w:rFonts w:ascii="Times New Roman" w:eastAsia="Times New Roman" w:hAnsi="Times New Roman" w:cs="Times New Roman"/>
          <w:color w:val="1F3864"/>
          <w:sz w:val="24"/>
          <w:szCs w:val="24"/>
          <w:lang w:val="en-US"/>
        </w:rPr>
        <w:t>z</w:t>
      </w:r>
      <w:r w:rsidRPr="0065561E">
        <w:rPr>
          <w:rFonts w:ascii="Times New Roman" w:eastAsia="Times New Roman" w:hAnsi="Times New Roman" w:cs="Times New Roman"/>
          <w:color w:val="1F3864"/>
          <w:sz w:val="24"/>
          <w:szCs w:val="24"/>
          <w:lang w:val="en-US"/>
        </w:rPr>
        <w:t xml:space="preserve">e </w:t>
      </w:r>
      <w:r w:rsidRPr="0065561E">
        <w:rPr>
          <w:rFonts w:ascii="Times New Roman" w:eastAsia="Times New Roman" w:hAnsi="Times New Roman" w:cs="Times New Roman"/>
          <w:b/>
          <w:bCs/>
          <w:color w:val="1F3864"/>
          <w:sz w:val="24"/>
          <w:szCs w:val="24"/>
          <w:lang w:val="en-US"/>
        </w:rPr>
        <w:t>healthcare claims and payment performance</w:t>
      </w:r>
      <w:r w:rsidRPr="0065561E">
        <w:rPr>
          <w:rFonts w:ascii="Times New Roman" w:eastAsia="Times New Roman" w:hAnsi="Times New Roman" w:cs="Times New Roman"/>
          <w:color w:val="1F3864"/>
          <w:sz w:val="24"/>
          <w:szCs w:val="24"/>
          <w:lang w:val="en-US"/>
        </w:rPr>
        <w:t xml:space="preserve"> to identify patterns in billed, allowed, paid, and outstanding amounts.</w:t>
      </w:r>
    </w:p>
    <w:p w14:paraId="09554E7B" w14:textId="252455B1" w:rsidR="00174E52" w:rsidRPr="0065561E" w:rsidRDefault="00174E52" w:rsidP="00174E5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 xml:space="preserve">To examine </w:t>
      </w:r>
      <w:r w:rsidRPr="0065561E">
        <w:rPr>
          <w:rFonts w:ascii="Times New Roman" w:eastAsia="Times New Roman" w:hAnsi="Times New Roman" w:cs="Times New Roman"/>
          <w:b/>
          <w:bCs/>
          <w:color w:val="1F3864"/>
          <w:sz w:val="24"/>
          <w:szCs w:val="24"/>
          <w:lang w:val="en-US"/>
        </w:rPr>
        <w:t>denial patterns across payers and denial categories</w:t>
      </w:r>
      <w:r w:rsidRPr="0065561E">
        <w:rPr>
          <w:rFonts w:ascii="Times New Roman" w:eastAsia="Times New Roman" w:hAnsi="Times New Roman" w:cs="Times New Roman"/>
          <w:color w:val="1F3864"/>
          <w:sz w:val="24"/>
          <w:szCs w:val="24"/>
          <w:lang w:val="en-US"/>
        </w:rPr>
        <w:t xml:space="preserve"> to identify major causes of claim rejections and opportunities for denial reduction.</w:t>
      </w:r>
    </w:p>
    <w:p w14:paraId="28B0844D" w14:textId="3521EAB3" w:rsidR="00174E52" w:rsidRPr="0065561E" w:rsidRDefault="00174E52" w:rsidP="00174E5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 xml:space="preserve">To evaluate </w:t>
      </w:r>
      <w:r w:rsidRPr="0065561E">
        <w:rPr>
          <w:rFonts w:ascii="Times New Roman" w:eastAsia="Times New Roman" w:hAnsi="Times New Roman" w:cs="Times New Roman"/>
          <w:b/>
          <w:bCs/>
          <w:color w:val="1F3864"/>
          <w:sz w:val="24"/>
          <w:szCs w:val="24"/>
          <w:lang w:val="en-US"/>
        </w:rPr>
        <w:t>Accounts Receivable (AR) aging and outstanding claims</w:t>
      </w:r>
      <w:r w:rsidRPr="0065561E">
        <w:rPr>
          <w:rFonts w:ascii="Times New Roman" w:eastAsia="Times New Roman" w:hAnsi="Times New Roman" w:cs="Times New Roman"/>
          <w:color w:val="1F3864"/>
          <w:sz w:val="24"/>
          <w:szCs w:val="24"/>
          <w:lang w:val="en-US"/>
        </w:rPr>
        <w:t xml:space="preserve"> to identify high-value and long-pending claims requiring immediate follow-up.</w:t>
      </w:r>
    </w:p>
    <w:p w14:paraId="16D0399E" w14:textId="2F6BFB65" w:rsidR="00174E52" w:rsidRPr="0065561E" w:rsidRDefault="00174E52" w:rsidP="00174E5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 xml:space="preserve">To assess </w:t>
      </w:r>
      <w:r w:rsidRPr="0065561E">
        <w:rPr>
          <w:rFonts w:ascii="Times New Roman" w:eastAsia="Times New Roman" w:hAnsi="Times New Roman" w:cs="Times New Roman"/>
          <w:b/>
          <w:bCs/>
          <w:color w:val="1F3864"/>
          <w:sz w:val="24"/>
          <w:szCs w:val="24"/>
          <w:lang w:val="en-US"/>
        </w:rPr>
        <w:t>payer, provider, follow-up, and appeal performance</w:t>
      </w:r>
      <w:r w:rsidRPr="0065561E">
        <w:rPr>
          <w:rFonts w:ascii="Times New Roman" w:eastAsia="Times New Roman" w:hAnsi="Times New Roman" w:cs="Times New Roman"/>
          <w:color w:val="1F3864"/>
          <w:sz w:val="24"/>
          <w:szCs w:val="24"/>
          <w:lang w:val="en-US"/>
        </w:rPr>
        <w:t xml:space="preserve"> to identify operational gaps affecting claim resolution and revenue collection.</w:t>
      </w:r>
    </w:p>
    <w:p w14:paraId="116E6150" w14:textId="5554CBDF" w:rsidR="00174E52" w:rsidRPr="0065561E" w:rsidRDefault="00174E52" w:rsidP="00174E52">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 xml:space="preserve">To provide </w:t>
      </w:r>
      <w:r w:rsidRPr="0065561E">
        <w:rPr>
          <w:rFonts w:ascii="Times New Roman" w:eastAsia="Times New Roman" w:hAnsi="Times New Roman" w:cs="Times New Roman"/>
          <w:b/>
          <w:bCs/>
          <w:color w:val="1F3864"/>
          <w:sz w:val="24"/>
          <w:szCs w:val="24"/>
          <w:lang w:val="en-US"/>
        </w:rPr>
        <w:t>actionable insights through Python analysis and an interactive Power BI dashboard</w:t>
      </w:r>
      <w:r w:rsidRPr="0065561E">
        <w:rPr>
          <w:rFonts w:ascii="Times New Roman" w:eastAsia="Times New Roman" w:hAnsi="Times New Roman" w:cs="Times New Roman"/>
          <w:color w:val="1F3864"/>
          <w:sz w:val="24"/>
          <w:szCs w:val="24"/>
          <w:lang w:val="en-US"/>
        </w:rPr>
        <w:t xml:space="preserve"> to support better claim management, reduce outstanding AR, improve payment collection, and optimize overall Revenue Cycle Management performance.</w:t>
      </w:r>
    </w:p>
    <w:p w14:paraId="79C7900E" w14:textId="77777777"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626314A1">
          <v:rect id="_x0000_i1027" style="width:0;height:1.5pt" o:hralign="center" o:hrstd="t" o:hr="t" fillcolor="#a0a0a0" stroked="f"/>
        </w:pict>
      </w:r>
    </w:p>
    <w:p w14:paraId="34026F4B" w14:textId="77777777" w:rsidR="00485E25" w:rsidRDefault="00485E25">
      <w:pPr>
        <w:spacing w:after="0" w:line="360" w:lineRule="auto"/>
        <w:jc w:val="both"/>
        <w:rPr>
          <w:rFonts w:ascii="Times New Roman" w:eastAsia="Times New Roman" w:hAnsi="Times New Roman" w:cs="Times New Roman"/>
          <w:b/>
          <w:bCs/>
          <w:color w:val="3333CC"/>
          <w:sz w:val="24"/>
          <w:szCs w:val="24"/>
          <w:lang w:val="en-US"/>
        </w:rPr>
      </w:pPr>
    </w:p>
    <w:p w14:paraId="76310107" w14:textId="77777777" w:rsidR="00485E25" w:rsidRDefault="00485E25">
      <w:pPr>
        <w:spacing w:after="0" w:line="360" w:lineRule="auto"/>
        <w:jc w:val="both"/>
        <w:rPr>
          <w:rFonts w:ascii="Times New Roman" w:eastAsia="Times New Roman" w:hAnsi="Times New Roman" w:cs="Times New Roman"/>
          <w:b/>
          <w:bCs/>
          <w:color w:val="3333CC"/>
          <w:sz w:val="24"/>
          <w:szCs w:val="24"/>
          <w:lang w:val="en-US"/>
        </w:rPr>
      </w:pPr>
    </w:p>
    <w:p w14:paraId="77EE5102" w14:textId="4EF5DEEA" w:rsidR="00075CB1" w:rsidRPr="0065561E"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lastRenderedPageBreak/>
        <w:t>4. Attribute (Column /Features) Details:</w:t>
      </w:r>
      <w:r w:rsidRPr="0065561E">
        <w:rPr>
          <w:rFonts w:ascii="Times New Roman" w:eastAsia="Times New Roman" w:hAnsi="Times New Roman" w:cs="Times New Roman"/>
          <w:b/>
          <w:bCs/>
          <w:color w:val="EE0000"/>
          <w:sz w:val="24"/>
          <w:szCs w:val="24"/>
          <w:lang w:val="en-US"/>
        </w:rPr>
        <w:t xml:space="preserve"> </w:t>
      </w:r>
    </w:p>
    <w:p w14:paraId="46AC7CBB" w14:textId="77777777" w:rsidR="00485E25" w:rsidRDefault="00485E25">
      <w:pPr>
        <w:spacing w:after="0" w:line="360" w:lineRule="auto"/>
        <w:jc w:val="both"/>
        <w:rPr>
          <w:lang w:val="en-US"/>
        </w:rPr>
      </w:pPr>
    </w:p>
    <w:tbl>
      <w:tblPr>
        <w:tblW w:w="8600" w:type="dxa"/>
        <w:tblLook w:val="04A0" w:firstRow="1" w:lastRow="0" w:firstColumn="1" w:lastColumn="0" w:noHBand="0" w:noVBand="1"/>
      </w:tblPr>
      <w:tblGrid>
        <w:gridCol w:w="2616"/>
        <w:gridCol w:w="1938"/>
        <w:gridCol w:w="4046"/>
      </w:tblGrid>
      <w:tr w:rsidR="00485E25" w:rsidRPr="00485E25" w14:paraId="3839D1F0" w14:textId="77777777" w:rsidTr="00485E25">
        <w:trPr>
          <w:trHeight w:val="312"/>
        </w:trPr>
        <w:tc>
          <w:tcPr>
            <w:tcW w:w="2500" w:type="dxa"/>
            <w:tcBorders>
              <w:top w:val="single" w:sz="4" w:space="0" w:color="auto"/>
              <w:left w:val="single" w:sz="4" w:space="0" w:color="auto"/>
              <w:bottom w:val="single" w:sz="4" w:space="0" w:color="auto"/>
              <w:right w:val="single" w:sz="4" w:space="0" w:color="auto"/>
            </w:tcBorders>
            <w:vAlign w:val="center"/>
            <w:hideMark/>
          </w:tcPr>
          <w:p w14:paraId="3152F1A0" w14:textId="77777777" w:rsidR="00485E25" w:rsidRPr="00485E25" w:rsidRDefault="00485E25" w:rsidP="00485E25">
            <w:pPr>
              <w:spacing w:after="0" w:line="360" w:lineRule="auto"/>
              <w:jc w:val="center"/>
              <w:rPr>
                <w:rFonts w:ascii="Times New Roman" w:eastAsia="Times New Roman" w:hAnsi="Times New Roman" w:cs="Times New Roman"/>
                <w:b/>
                <w:bCs/>
                <w:color w:val="1F3864"/>
                <w:sz w:val="24"/>
                <w:szCs w:val="24"/>
                <w:lang w:val="en-US"/>
              </w:rPr>
            </w:pPr>
            <w:r w:rsidRPr="00485E25">
              <w:rPr>
                <w:rFonts w:ascii="Times New Roman" w:eastAsia="Times New Roman" w:hAnsi="Times New Roman" w:cs="Times New Roman"/>
                <w:b/>
                <w:bCs/>
                <w:color w:val="1F3864"/>
                <w:sz w:val="24"/>
                <w:szCs w:val="24"/>
                <w:lang w:val="en-US"/>
              </w:rPr>
              <w:t>Attribute Name</w:t>
            </w:r>
          </w:p>
        </w:tc>
        <w:tc>
          <w:tcPr>
            <w:tcW w:w="1960" w:type="dxa"/>
            <w:tcBorders>
              <w:top w:val="single" w:sz="4" w:space="0" w:color="auto"/>
              <w:left w:val="nil"/>
              <w:bottom w:val="single" w:sz="4" w:space="0" w:color="auto"/>
              <w:right w:val="single" w:sz="4" w:space="0" w:color="auto"/>
            </w:tcBorders>
            <w:vAlign w:val="center"/>
            <w:hideMark/>
          </w:tcPr>
          <w:p w14:paraId="560C665C" w14:textId="77777777" w:rsidR="00485E25" w:rsidRPr="00485E25" w:rsidRDefault="00485E25" w:rsidP="00485E25">
            <w:pPr>
              <w:spacing w:after="0" w:line="360" w:lineRule="auto"/>
              <w:jc w:val="center"/>
              <w:rPr>
                <w:rFonts w:ascii="Times New Roman" w:eastAsia="Times New Roman" w:hAnsi="Times New Roman" w:cs="Times New Roman"/>
                <w:b/>
                <w:bCs/>
                <w:color w:val="1F3864"/>
                <w:sz w:val="24"/>
                <w:szCs w:val="24"/>
                <w:lang w:val="en-US"/>
              </w:rPr>
            </w:pPr>
            <w:r w:rsidRPr="00485E25">
              <w:rPr>
                <w:rFonts w:ascii="Times New Roman" w:eastAsia="Times New Roman" w:hAnsi="Times New Roman" w:cs="Times New Roman"/>
                <w:b/>
                <w:bCs/>
                <w:color w:val="1F3864"/>
                <w:sz w:val="24"/>
                <w:szCs w:val="24"/>
                <w:lang w:val="en-US"/>
              </w:rPr>
              <w:t>Data Type</w:t>
            </w:r>
          </w:p>
        </w:tc>
        <w:tc>
          <w:tcPr>
            <w:tcW w:w="4140" w:type="dxa"/>
            <w:tcBorders>
              <w:top w:val="single" w:sz="4" w:space="0" w:color="auto"/>
              <w:left w:val="nil"/>
              <w:bottom w:val="single" w:sz="4" w:space="0" w:color="auto"/>
              <w:right w:val="single" w:sz="4" w:space="0" w:color="auto"/>
            </w:tcBorders>
            <w:vAlign w:val="center"/>
            <w:hideMark/>
          </w:tcPr>
          <w:p w14:paraId="34BFAC18" w14:textId="77777777" w:rsidR="00485E25" w:rsidRPr="00485E25" w:rsidRDefault="00485E25" w:rsidP="00485E25">
            <w:pPr>
              <w:spacing w:after="0" w:line="360" w:lineRule="auto"/>
              <w:jc w:val="center"/>
              <w:rPr>
                <w:rFonts w:ascii="Times New Roman" w:eastAsia="Times New Roman" w:hAnsi="Times New Roman" w:cs="Times New Roman"/>
                <w:b/>
                <w:bCs/>
                <w:color w:val="1F3864"/>
                <w:sz w:val="24"/>
                <w:szCs w:val="24"/>
                <w:lang w:val="en-US"/>
              </w:rPr>
            </w:pPr>
            <w:r w:rsidRPr="00485E25">
              <w:rPr>
                <w:rFonts w:ascii="Times New Roman" w:eastAsia="Times New Roman" w:hAnsi="Times New Roman" w:cs="Times New Roman"/>
                <w:b/>
                <w:bCs/>
                <w:color w:val="1F3864"/>
                <w:sz w:val="24"/>
                <w:szCs w:val="24"/>
                <w:lang w:val="en-US"/>
              </w:rPr>
              <w:t>Description</w:t>
            </w:r>
          </w:p>
        </w:tc>
      </w:tr>
      <w:tr w:rsidR="00485E25" w:rsidRPr="00485E25" w14:paraId="73FA3BA2"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1D37A70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Claim_ID</w:t>
            </w:r>
          </w:p>
        </w:tc>
        <w:tc>
          <w:tcPr>
            <w:tcW w:w="1960" w:type="dxa"/>
            <w:tcBorders>
              <w:top w:val="nil"/>
              <w:left w:val="nil"/>
              <w:bottom w:val="single" w:sz="4" w:space="0" w:color="auto"/>
              <w:right w:val="single" w:sz="4" w:space="0" w:color="auto"/>
            </w:tcBorders>
            <w:vAlign w:val="center"/>
            <w:hideMark/>
          </w:tcPr>
          <w:p w14:paraId="7B0F6BE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 / String</w:t>
            </w:r>
          </w:p>
        </w:tc>
        <w:tc>
          <w:tcPr>
            <w:tcW w:w="4140" w:type="dxa"/>
            <w:tcBorders>
              <w:top w:val="nil"/>
              <w:left w:val="nil"/>
              <w:bottom w:val="single" w:sz="4" w:space="0" w:color="auto"/>
              <w:right w:val="single" w:sz="4" w:space="0" w:color="auto"/>
            </w:tcBorders>
            <w:vAlign w:val="center"/>
            <w:hideMark/>
          </w:tcPr>
          <w:p w14:paraId="19ABEEF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Unique identifier for each healthcare claim</w:t>
            </w:r>
          </w:p>
        </w:tc>
      </w:tr>
      <w:tr w:rsidR="00485E25" w:rsidRPr="00485E25" w14:paraId="7BA9101A"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61CEBCD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Name</w:t>
            </w:r>
          </w:p>
        </w:tc>
        <w:tc>
          <w:tcPr>
            <w:tcW w:w="1960" w:type="dxa"/>
            <w:tcBorders>
              <w:top w:val="nil"/>
              <w:left w:val="nil"/>
              <w:bottom w:val="single" w:sz="4" w:space="0" w:color="auto"/>
              <w:right w:val="single" w:sz="4" w:space="0" w:color="auto"/>
            </w:tcBorders>
            <w:vAlign w:val="center"/>
            <w:hideMark/>
          </w:tcPr>
          <w:p w14:paraId="53309D2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0B0937A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Name associated with the claim/patient record</w:t>
            </w:r>
          </w:p>
        </w:tc>
      </w:tr>
      <w:tr w:rsidR="00485E25" w:rsidRPr="00485E25" w14:paraId="13CF66DE"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1FDBC11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Age</w:t>
            </w:r>
          </w:p>
        </w:tc>
        <w:tc>
          <w:tcPr>
            <w:tcW w:w="1960" w:type="dxa"/>
            <w:tcBorders>
              <w:top w:val="nil"/>
              <w:left w:val="nil"/>
              <w:bottom w:val="single" w:sz="4" w:space="0" w:color="auto"/>
              <w:right w:val="single" w:sz="4" w:space="0" w:color="auto"/>
            </w:tcBorders>
            <w:vAlign w:val="center"/>
            <w:hideMark/>
          </w:tcPr>
          <w:p w14:paraId="4C8C3F3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w:t>
            </w:r>
          </w:p>
        </w:tc>
        <w:tc>
          <w:tcPr>
            <w:tcW w:w="4140" w:type="dxa"/>
            <w:tcBorders>
              <w:top w:val="nil"/>
              <w:left w:val="nil"/>
              <w:bottom w:val="single" w:sz="4" w:space="0" w:color="auto"/>
              <w:right w:val="single" w:sz="4" w:space="0" w:color="auto"/>
            </w:tcBorders>
            <w:vAlign w:val="center"/>
            <w:hideMark/>
          </w:tcPr>
          <w:p w14:paraId="3B61037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Age of the patient in years</w:t>
            </w:r>
          </w:p>
        </w:tc>
      </w:tr>
      <w:tr w:rsidR="00485E25" w:rsidRPr="00485E25" w14:paraId="0962A743"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16AA1CA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Gender</w:t>
            </w:r>
          </w:p>
        </w:tc>
        <w:tc>
          <w:tcPr>
            <w:tcW w:w="1960" w:type="dxa"/>
            <w:tcBorders>
              <w:top w:val="nil"/>
              <w:left w:val="nil"/>
              <w:bottom w:val="single" w:sz="4" w:space="0" w:color="auto"/>
              <w:right w:val="single" w:sz="4" w:space="0" w:color="auto"/>
            </w:tcBorders>
            <w:vAlign w:val="center"/>
            <w:hideMark/>
          </w:tcPr>
          <w:p w14:paraId="171B045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02837D1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Gender of the patient</w:t>
            </w:r>
          </w:p>
        </w:tc>
      </w:tr>
      <w:tr w:rsidR="00485E25" w:rsidRPr="00485E25" w14:paraId="4FDD6B11"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28B768E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Medical Condition</w:t>
            </w:r>
          </w:p>
        </w:tc>
        <w:tc>
          <w:tcPr>
            <w:tcW w:w="1960" w:type="dxa"/>
            <w:tcBorders>
              <w:top w:val="nil"/>
              <w:left w:val="nil"/>
              <w:bottom w:val="single" w:sz="4" w:space="0" w:color="auto"/>
              <w:right w:val="single" w:sz="4" w:space="0" w:color="auto"/>
            </w:tcBorders>
            <w:vAlign w:val="center"/>
            <w:hideMark/>
          </w:tcPr>
          <w:p w14:paraId="1F3FE27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70DFAC2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Medical condition associated with the claim</w:t>
            </w:r>
          </w:p>
        </w:tc>
      </w:tr>
      <w:tr w:rsidR="00485E25" w:rsidRPr="00485E25" w14:paraId="2F630A8B"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7C61414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CPT_HCPCS_Code</w:t>
            </w:r>
          </w:p>
        </w:tc>
        <w:tc>
          <w:tcPr>
            <w:tcW w:w="1960" w:type="dxa"/>
            <w:tcBorders>
              <w:top w:val="nil"/>
              <w:left w:val="nil"/>
              <w:bottom w:val="single" w:sz="4" w:space="0" w:color="auto"/>
              <w:right w:val="single" w:sz="4" w:space="0" w:color="auto"/>
            </w:tcBorders>
            <w:vAlign w:val="center"/>
            <w:hideMark/>
          </w:tcPr>
          <w:p w14:paraId="3A11C29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w:t>
            </w:r>
          </w:p>
        </w:tc>
        <w:tc>
          <w:tcPr>
            <w:tcW w:w="4140" w:type="dxa"/>
            <w:tcBorders>
              <w:top w:val="nil"/>
              <w:left w:val="nil"/>
              <w:bottom w:val="single" w:sz="4" w:space="0" w:color="auto"/>
              <w:right w:val="single" w:sz="4" w:space="0" w:color="auto"/>
            </w:tcBorders>
            <w:vAlign w:val="center"/>
            <w:hideMark/>
          </w:tcPr>
          <w:p w14:paraId="5663027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Procedure or service code associated with the claim</w:t>
            </w:r>
          </w:p>
        </w:tc>
      </w:tr>
      <w:tr w:rsidR="00485E25" w:rsidRPr="00485E25" w14:paraId="0F274C95"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0598328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Procedure_Description</w:t>
            </w:r>
          </w:p>
        </w:tc>
        <w:tc>
          <w:tcPr>
            <w:tcW w:w="1960" w:type="dxa"/>
            <w:tcBorders>
              <w:top w:val="nil"/>
              <w:left w:val="nil"/>
              <w:bottom w:val="single" w:sz="4" w:space="0" w:color="auto"/>
              <w:right w:val="single" w:sz="4" w:space="0" w:color="auto"/>
            </w:tcBorders>
            <w:vAlign w:val="center"/>
            <w:hideMark/>
          </w:tcPr>
          <w:p w14:paraId="3AD6B86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5A6C7DE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Description of the medical procedure or service</w:t>
            </w:r>
          </w:p>
        </w:tc>
      </w:tr>
      <w:tr w:rsidR="00485E25" w:rsidRPr="00485E25" w14:paraId="0EDA7712"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71B1AA0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Provider_ID</w:t>
            </w:r>
          </w:p>
        </w:tc>
        <w:tc>
          <w:tcPr>
            <w:tcW w:w="1960" w:type="dxa"/>
            <w:tcBorders>
              <w:top w:val="nil"/>
              <w:left w:val="nil"/>
              <w:bottom w:val="single" w:sz="4" w:space="0" w:color="auto"/>
              <w:right w:val="single" w:sz="4" w:space="0" w:color="auto"/>
            </w:tcBorders>
            <w:vAlign w:val="center"/>
            <w:hideMark/>
          </w:tcPr>
          <w:p w14:paraId="47D577D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 / String</w:t>
            </w:r>
          </w:p>
        </w:tc>
        <w:tc>
          <w:tcPr>
            <w:tcW w:w="4140" w:type="dxa"/>
            <w:tcBorders>
              <w:top w:val="nil"/>
              <w:left w:val="nil"/>
              <w:bottom w:val="single" w:sz="4" w:space="0" w:color="auto"/>
              <w:right w:val="single" w:sz="4" w:space="0" w:color="auto"/>
            </w:tcBorders>
            <w:vAlign w:val="center"/>
            <w:hideMark/>
          </w:tcPr>
          <w:p w14:paraId="6364032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Unique identifier for the healthcare provider</w:t>
            </w:r>
          </w:p>
        </w:tc>
      </w:tr>
      <w:tr w:rsidR="00485E25" w:rsidRPr="00485E25" w14:paraId="56C38595"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6E1696F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Provider_Name</w:t>
            </w:r>
          </w:p>
        </w:tc>
        <w:tc>
          <w:tcPr>
            <w:tcW w:w="1960" w:type="dxa"/>
            <w:tcBorders>
              <w:top w:val="nil"/>
              <w:left w:val="nil"/>
              <w:bottom w:val="single" w:sz="4" w:space="0" w:color="auto"/>
              <w:right w:val="single" w:sz="4" w:space="0" w:color="auto"/>
            </w:tcBorders>
            <w:vAlign w:val="center"/>
            <w:hideMark/>
          </w:tcPr>
          <w:p w14:paraId="73AAB97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77997FA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Name of the healthcare provider</w:t>
            </w:r>
          </w:p>
        </w:tc>
      </w:tr>
      <w:tr w:rsidR="00485E25" w:rsidRPr="00485E25" w14:paraId="4334429C"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25E8837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Facility_Name</w:t>
            </w:r>
          </w:p>
        </w:tc>
        <w:tc>
          <w:tcPr>
            <w:tcW w:w="1960" w:type="dxa"/>
            <w:tcBorders>
              <w:top w:val="nil"/>
              <w:left w:val="nil"/>
              <w:bottom w:val="single" w:sz="4" w:space="0" w:color="auto"/>
              <w:right w:val="single" w:sz="4" w:space="0" w:color="auto"/>
            </w:tcBorders>
            <w:vAlign w:val="center"/>
            <w:hideMark/>
          </w:tcPr>
          <w:p w14:paraId="64083A0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2AA6270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Name of the healthcare facility</w:t>
            </w:r>
          </w:p>
        </w:tc>
      </w:tr>
      <w:tr w:rsidR="00485E25" w:rsidRPr="00485E25" w14:paraId="00DDA737"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46EC394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Payer_Name</w:t>
            </w:r>
          </w:p>
        </w:tc>
        <w:tc>
          <w:tcPr>
            <w:tcW w:w="1960" w:type="dxa"/>
            <w:tcBorders>
              <w:top w:val="nil"/>
              <w:left w:val="nil"/>
              <w:bottom w:val="single" w:sz="4" w:space="0" w:color="auto"/>
              <w:right w:val="single" w:sz="4" w:space="0" w:color="auto"/>
            </w:tcBorders>
            <w:vAlign w:val="center"/>
            <w:hideMark/>
          </w:tcPr>
          <w:p w14:paraId="6F5F4EF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3665F7B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Name of the insurance payer</w:t>
            </w:r>
          </w:p>
        </w:tc>
      </w:tr>
      <w:tr w:rsidR="00485E25" w:rsidRPr="00485E25" w14:paraId="1848C7E4"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52649A2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Payer_Type</w:t>
            </w:r>
          </w:p>
        </w:tc>
        <w:tc>
          <w:tcPr>
            <w:tcW w:w="1960" w:type="dxa"/>
            <w:tcBorders>
              <w:top w:val="nil"/>
              <w:left w:val="nil"/>
              <w:bottom w:val="single" w:sz="4" w:space="0" w:color="auto"/>
              <w:right w:val="single" w:sz="4" w:space="0" w:color="auto"/>
            </w:tcBorders>
            <w:vAlign w:val="center"/>
            <w:hideMark/>
          </w:tcPr>
          <w:p w14:paraId="7879EA2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7819FE96"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 xml:space="preserve">Type of </w:t>
            </w:r>
            <w:proofErr w:type="spellStart"/>
            <w:r w:rsidRPr="00485E25">
              <w:rPr>
                <w:rFonts w:ascii="Times New Roman" w:eastAsia="Times New Roman" w:hAnsi="Times New Roman" w:cs="Times New Roman"/>
                <w:color w:val="1F3864"/>
                <w:sz w:val="24"/>
                <w:szCs w:val="24"/>
                <w:lang w:val="en-US"/>
              </w:rPr>
              <w:t>payer</w:t>
            </w:r>
            <w:proofErr w:type="spellEnd"/>
            <w:r w:rsidRPr="00485E25">
              <w:rPr>
                <w:rFonts w:ascii="Times New Roman" w:eastAsia="Times New Roman" w:hAnsi="Times New Roman" w:cs="Times New Roman"/>
                <w:color w:val="1F3864"/>
                <w:sz w:val="24"/>
                <w:szCs w:val="24"/>
                <w:lang w:val="en-US"/>
              </w:rPr>
              <w:t>, such as Commercial or Government</w:t>
            </w:r>
          </w:p>
        </w:tc>
      </w:tr>
      <w:tr w:rsidR="00485E25" w:rsidRPr="00485E25" w14:paraId="581E51A5"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3B2931F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State</w:t>
            </w:r>
          </w:p>
        </w:tc>
        <w:tc>
          <w:tcPr>
            <w:tcW w:w="1960" w:type="dxa"/>
            <w:tcBorders>
              <w:top w:val="nil"/>
              <w:left w:val="nil"/>
              <w:bottom w:val="single" w:sz="4" w:space="0" w:color="auto"/>
              <w:right w:val="single" w:sz="4" w:space="0" w:color="auto"/>
            </w:tcBorders>
            <w:vAlign w:val="center"/>
            <w:hideMark/>
          </w:tcPr>
          <w:p w14:paraId="366FD80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7BBE8C6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State where the healthcare service was provided</w:t>
            </w:r>
          </w:p>
        </w:tc>
      </w:tr>
      <w:tr w:rsidR="00485E25" w:rsidRPr="00485E25" w14:paraId="1029FDE3"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1E2F002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Region</w:t>
            </w:r>
          </w:p>
        </w:tc>
        <w:tc>
          <w:tcPr>
            <w:tcW w:w="1960" w:type="dxa"/>
            <w:tcBorders>
              <w:top w:val="nil"/>
              <w:left w:val="nil"/>
              <w:bottom w:val="single" w:sz="4" w:space="0" w:color="auto"/>
              <w:right w:val="single" w:sz="4" w:space="0" w:color="auto"/>
            </w:tcBorders>
            <w:vAlign w:val="center"/>
            <w:hideMark/>
          </w:tcPr>
          <w:p w14:paraId="0C26CB5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475482C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Geographical region associated with the claim</w:t>
            </w:r>
          </w:p>
        </w:tc>
      </w:tr>
      <w:tr w:rsidR="00485E25" w:rsidRPr="00485E25" w14:paraId="688B8E6D"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35FDAF0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of Admission</w:t>
            </w:r>
          </w:p>
        </w:tc>
        <w:tc>
          <w:tcPr>
            <w:tcW w:w="1960" w:type="dxa"/>
            <w:tcBorders>
              <w:top w:val="nil"/>
              <w:left w:val="nil"/>
              <w:bottom w:val="single" w:sz="4" w:space="0" w:color="auto"/>
              <w:right w:val="single" w:sz="4" w:space="0" w:color="auto"/>
            </w:tcBorders>
            <w:vAlign w:val="center"/>
            <w:hideMark/>
          </w:tcPr>
          <w:p w14:paraId="603076E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3E4E9A8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on which the patient was admitted</w:t>
            </w:r>
          </w:p>
        </w:tc>
      </w:tr>
      <w:tr w:rsidR="00485E25" w:rsidRPr="00485E25" w14:paraId="3D6BBDB8"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4CE3D3D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Discharge Date</w:t>
            </w:r>
          </w:p>
        </w:tc>
        <w:tc>
          <w:tcPr>
            <w:tcW w:w="1960" w:type="dxa"/>
            <w:tcBorders>
              <w:top w:val="nil"/>
              <w:left w:val="nil"/>
              <w:bottom w:val="single" w:sz="4" w:space="0" w:color="auto"/>
              <w:right w:val="single" w:sz="4" w:space="0" w:color="auto"/>
            </w:tcBorders>
            <w:vAlign w:val="center"/>
            <w:hideMark/>
          </w:tcPr>
          <w:p w14:paraId="5B42128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10CDACD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on which the patient was discharged</w:t>
            </w:r>
          </w:p>
        </w:tc>
      </w:tr>
      <w:tr w:rsidR="00485E25" w:rsidRPr="00485E25" w14:paraId="664EA0D4"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695A15F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Claim_Submission_Date</w:t>
            </w:r>
          </w:p>
        </w:tc>
        <w:tc>
          <w:tcPr>
            <w:tcW w:w="1960" w:type="dxa"/>
            <w:tcBorders>
              <w:top w:val="nil"/>
              <w:left w:val="nil"/>
              <w:bottom w:val="single" w:sz="4" w:space="0" w:color="auto"/>
              <w:right w:val="single" w:sz="4" w:space="0" w:color="auto"/>
            </w:tcBorders>
            <w:vAlign w:val="center"/>
            <w:hideMark/>
          </w:tcPr>
          <w:p w14:paraId="400A2BB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613C6DD6"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on which the claim was submitted to the payer</w:t>
            </w:r>
          </w:p>
        </w:tc>
      </w:tr>
      <w:tr w:rsidR="00485E25" w:rsidRPr="00485E25" w14:paraId="55C96932"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717CC90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Claim_Month</w:t>
            </w:r>
          </w:p>
        </w:tc>
        <w:tc>
          <w:tcPr>
            <w:tcW w:w="1960" w:type="dxa"/>
            <w:tcBorders>
              <w:top w:val="nil"/>
              <w:left w:val="nil"/>
              <w:bottom w:val="single" w:sz="4" w:space="0" w:color="auto"/>
              <w:right w:val="single" w:sz="4" w:space="0" w:color="auto"/>
            </w:tcBorders>
            <w:vAlign w:val="center"/>
            <w:hideMark/>
          </w:tcPr>
          <w:p w14:paraId="5B3997A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Date/Period</w:t>
            </w:r>
          </w:p>
        </w:tc>
        <w:tc>
          <w:tcPr>
            <w:tcW w:w="4140" w:type="dxa"/>
            <w:tcBorders>
              <w:top w:val="nil"/>
              <w:left w:val="nil"/>
              <w:bottom w:val="single" w:sz="4" w:space="0" w:color="auto"/>
              <w:right w:val="single" w:sz="4" w:space="0" w:color="auto"/>
            </w:tcBorders>
            <w:vAlign w:val="center"/>
            <w:hideMark/>
          </w:tcPr>
          <w:p w14:paraId="4B7B571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Month in which the claim was submitted</w:t>
            </w:r>
          </w:p>
        </w:tc>
      </w:tr>
      <w:tr w:rsidR="00485E25" w:rsidRPr="00485E25" w14:paraId="19B1CDBA"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2AD57A7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Claim_Year</w:t>
            </w:r>
          </w:p>
        </w:tc>
        <w:tc>
          <w:tcPr>
            <w:tcW w:w="1960" w:type="dxa"/>
            <w:tcBorders>
              <w:top w:val="nil"/>
              <w:left w:val="nil"/>
              <w:bottom w:val="single" w:sz="4" w:space="0" w:color="auto"/>
              <w:right w:val="single" w:sz="4" w:space="0" w:color="auto"/>
            </w:tcBorders>
            <w:vAlign w:val="center"/>
            <w:hideMark/>
          </w:tcPr>
          <w:p w14:paraId="5AC7A56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w:t>
            </w:r>
          </w:p>
        </w:tc>
        <w:tc>
          <w:tcPr>
            <w:tcW w:w="4140" w:type="dxa"/>
            <w:tcBorders>
              <w:top w:val="nil"/>
              <w:left w:val="nil"/>
              <w:bottom w:val="single" w:sz="4" w:space="0" w:color="auto"/>
              <w:right w:val="single" w:sz="4" w:space="0" w:color="auto"/>
            </w:tcBorders>
            <w:vAlign w:val="center"/>
            <w:hideMark/>
          </w:tcPr>
          <w:p w14:paraId="38225F6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Year in which the claim was submitted</w:t>
            </w:r>
          </w:p>
        </w:tc>
      </w:tr>
      <w:tr w:rsidR="00485E25" w:rsidRPr="00485E25" w14:paraId="7071C61A"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552E28F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Claim_Status</w:t>
            </w:r>
          </w:p>
        </w:tc>
        <w:tc>
          <w:tcPr>
            <w:tcW w:w="1960" w:type="dxa"/>
            <w:tcBorders>
              <w:top w:val="nil"/>
              <w:left w:val="nil"/>
              <w:bottom w:val="single" w:sz="4" w:space="0" w:color="auto"/>
              <w:right w:val="single" w:sz="4" w:space="0" w:color="auto"/>
            </w:tcBorders>
            <w:vAlign w:val="center"/>
            <w:hideMark/>
          </w:tcPr>
          <w:p w14:paraId="66E6881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3500881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proofErr w:type="gramStart"/>
            <w:r w:rsidRPr="00485E25">
              <w:rPr>
                <w:rFonts w:ascii="Times New Roman" w:eastAsia="Times New Roman" w:hAnsi="Times New Roman" w:cs="Times New Roman"/>
                <w:color w:val="1F3864"/>
                <w:sz w:val="24"/>
                <w:szCs w:val="24"/>
                <w:lang w:val="en-US"/>
              </w:rPr>
              <w:t>Current status</w:t>
            </w:r>
            <w:proofErr w:type="gramEnd"/>
            <w:r w:rsidRPr="00485E25">
              <w:rPr>
                <w:rFonts w:ascii="Times New Roman" w:eastAsia="Times New Roman" w:hAnsi="Times New Roman" w:cs="Times New Roman"/>
                <w:color w:val="1F3864"/>
                <w:sz w:val="24"/>
                <w:szCs w:val="24"/>
                <w:lang w:val="en-US"/>
              </w:rPr>
              <w:t xml:space="preserve"> of the claim, such as Paid, Denied, or Partially Paid</w:t>
            </w:r>
          </w:p>
        </w:tc>
      </w:tr>
      <w:tr w:rsidR="00485E25" w:rsidRPr="00485E25" w14:paraId="1A58049A"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57C9B4E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lastRenderedPageBreak/>
              <w:t>Billed_Amount</w:t>
            </w:r>
          </w:p>
        </w:tc>
        <w:tc>
          <w:tcPr>
            <w:tcW w:w="1960" w:type="dxa"/>
            <w:tcBorders>
              <w:top w:val="nil"/>
              <w:left w:val="nil"/>
              <w:bottom w:val="single" w:sz="4" w:space="0" w:color="auto"/>
              <w:right w:val="single" w:sz="4" w:space="0" w:color="auto"/>
            </w:tcBorders>
            <w:vAlign w:val="center"/>
            <w:hideMark/>
          </w:tcPr>
          <w:p w14:paraId="702ECE1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4EA490E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billed to the payer for the service</w:t>
            </w:r>
          </w:p>
        </w:tc>
      </w:tr>
      <w:tr w:rsidR="00485E25" w:rsidRPr="00485E25" w14:paraId="02C891B6"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3DB5462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Allowed_Amount</w:t>
            </w:r>
          </w:p>
        </w:tc>
        <w:tc>
          <w:tcPr>
            <w:tcW w:w="1960" w:type="dxa"/>
            <w:tcBorders>
              <w:top w:val="nil"/>
              <w:left w:val="nil"/>
              <w:bottom w:val="single" w:sz="4" w:space="0" w:color="auto"/>
              <w:right w:val="single" w:sz="4" w:space="0" w:color="auto"/>
            </w:tcBorders>
            <w:vAlign w:val="center"/>
            <w:hideMark/>
          </w:tcPr>
          <w:p w14:paraId="6E507D6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20E8170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allowed by the payer according to the claim</w:t>
            </w:r>
          </w:p>
        </w:tc>
      </w:tr>
      <w:tr w:rsidR="00485E25" w:rsidRPr="00485E25" w14:paraId="4A587191"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638A93A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Contractual_Adjustment</w:t>
            </w:r>
          </w:p>
        </w:tc>
        <w:tc>
          <w:tcPr>
            <w:tcW w:w="1960" w:type="dxa"/>
            <w:tcBorders>
              <w:top w:val="nil"/>
              <w:left w:val="nil"/>
              <w:bottom w:val="single" w:sz="4" w:space="0" w:color="auto"/>
              <w:right w:val="single" w:sz="4" w:space="0" w:color="auto"/>
            </w:tcBorders>
            <w:vAlign w:val="center"/>
            <w:hideMark/>
          </w:tcPr>
          <w:p w14:paraId="564EA79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228102E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adjusted based on payer contract or fee schedule</w:t>
            </w:r>
          </w:p>
        </w:tc>
      </w:tr>
      <w:tr w:rsidR="00485E25" w:rsidRPr="00485E25" w14:paraId="15DD169C"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3E099CD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Paid_Amount</w:t>
            </w:r>
          </w:p>
        </w:tc>
        <w:tc>
          <w:tcPr>
            <w:tcW w:w="1960" w:type="dxa"/>
            <w:tcBorders>
              <w:top w:val="nil"/>
              <w:left w:val="nil"/>
              <w:bottom w:val="single" w:sz="4" w:space="0" w:color="auto"/>
              <w:right w:val="single" w:sz="4" w:space="0" w:color="auto"/>
            </w:tcBorders>
            <w:vAlign w:val="center"/>
            <w:hideMark/>
          </w:tcPr>
          <w:p w14:paraId="11D3DEA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08112C4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actually paid by the payer</w:t>
            </w:r>
          </w:p>
        </w:tc>
      </w:tr>
      <w:tr w:rsidR="00485E25" w:rsidRPr="00485E25" w14:paraId="21C64801"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5DB91E96"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Outstanding_Amount</w:t>
            </w:r>
          </w:p>
        </w:tc>
        <w:tc>
          <w:tcPr>
            <w:tcW w:w="1960" w:type="dxa"/>
            <w:tcBorders>
              <w:top w:val="nil"/>
              <w:left w:val="nil"/>
              <w:bottom w:val="single" w:sz="4" w:space="0" w:color="auto"/>
              <w:right w:val="single" w:sz="4" w:space="0" w:color="auto"/>
            </w:tcBorders>
            <w:vAlign w:val="center"/>
            <w:hideMark/>
          </w:tcPr>
          <w:p w14:paraId="21D7380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588C848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remaining unpaid on the claim</w:t>
            </w:r>
          </w:p>
        </w:tc>
      </w:tr>
      <w:tr w:rsidR="00485E25" w:rsidRPr="00485E25" w14:paraId="7BE285D4"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4EC510F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Denial_Code</w:t>
            </w:r>
          </w:p>
        </w:tc>
        <w:tc>
          <w:tcPr>
            <w:tcW w:w="1960" w:type="dxa"/>
            <w:tcBorders>
              <w:top w:val="nil"/>
              <w:left w:val="nil"/>
              <w:bottom w:val="single" w:sz="4" w:space="0" w:color="auto"/>
              <w:right w:val="single" w:sz="4" w:space="0" w:color="auto"/>
            </w:tcBorders>
            <w:vAlign w:val="center"/>
            <w:hideMark/>
          </w:tcPr>
          <w:p w14:paraId="79290CA6"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 / String</w:t>
            </w:r>
          </w:p>
        </w:tc>
        <w:tc>
          <w:tcPr>
            <w:tcW w:w="4140" w:type="dxa"/>
            <w:tcBorders>
              <w:top w:val="nil"/>
              <w:left w:val="nil"/>
              <w:bottom w:val="single" w:sz="4" w:space="0" w:color="auto"/>
              <w:right w:val="single" w:sz="4" w:space="0" w:color="auto"/>
            </w:tcBorders>
            <w:vAlign w:val="center"/>
            <w:hideMark/>
          </w:tcPr>
          <w:p w14:paraId="36D7479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Code representing the reason for claim denial</w:t>
            </w:r>
          </w:p>
        </w:tc>
      </w:tr>
      <w:tr w:rsidR="00485E25" w:rsidRPr="00485E25" w14:paraId="13B6CAAA"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3C3520A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Denial_Reason</w:t>
            </w:r>
          </w:p>
        </w:tc>
        <w:tc>
          <w:tcPr>
            <w:tcW w:w="1960" w:type="dxa"/>
            <w:tcBorders>
              <w:top w:val="nil"/>
              <w:left w:val="nil"/>
              <w:bottom w:val="single" w:sz="4" w:space="0" w:color="auto"/>
              <w:right w:val="single" w:sz="4" w:space="0" w:color="auto"/>
            </w:tcBorders>
            <w:vAlign w:val="center"/>
            <w:hideMark/>
          </w:tcPr>
          <w:p w14:paraId="5D31C23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String (Text)</w:t>
            </w:r>
          </w:p>
        </w:tc>
        <w:tc>
          <w:tcPr>
            <w:tcW w:w="4140" w:type="dxa"/>
            <w:tcBorders>
              <w:top w:val="nil"/>
              <w:left w:val="nil"/>
              <w:bottom w:val="single" w:sz="4" w:space="0" w:color="auto"/>
              <w:right w:val="single" w:sz="4" w:space="0" w:color="auto"/>
            </w:tcBorders>
            <w:vAlign w:val="center"/>
            <w:hideMark/>
          </w:tcPr>
          <w:p w14:paraId="58F3956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Explanation for why the claim was denied</w:t>
            </w:r>
          </w:p>
        </w:tc>
      </w:tr>
      <w:tr w:rsidR="00485E25" w:rsidRPr="00485E25" w14:paraId="77D2AC9E" w14:textId="77777777" w:rsidTr="00485E25">
        <w:trPr>
          <w:trHeight w:val="936"/>
        </w:trPr>
        <w:tc>
          <w:tcPr>
            <w:tcW w:w="2500" w:type="dxa"/>
            <w:tcBorders>
              <w:top w:val="nil"/>
              <w:left w:val="single" w:sz="4" w:space="0" w:color="auto"/>
              <w:bottom w:val="single" w:sz="4" w:space="0" w:color="auto"/>
              <w:right w:val="single" w:sz="4" w:space="0" w:color="auto"/>
            </w:tcBorders>
            <w:vAlign w:val="center"/>
            <w:hideMark/>
          </w:tcPr>
          <w:p w14:paraId="66898B1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Denial_Category</w:t>
            </w:r>
          </w:p>
        </w:tc>
        <w:tc>
          <w:tcPr>
            <w:tcW w:w="1960" w:type="dxa"/>
            <w:tcBorders>
              <w:top w:val="nil"/>
              <w:left w:val="nil"/>
              <w:bottom w:val="single" w:sz="4" w:space="0" w:color="auto"/>
              <w:right w:val="single" w:sz="4" w:space="0" w:color="auto"/>
            </w:tcBorders>
            <w:vAlign w:val="center"/>
            <w:hideMark/>
          </w:tcPr>
          <w:p w14:paraId="45AAA99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3F388EF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Classification of the denial, such as Contractual, Technical, Eligibility, or Authorization</w:t>
            </w:r>
          </w:p>
        </w:tc>
      </w:tr>
      <w:tr w:rsidR="00485E25" w:rsidRPr="00485E25" w14:paraId="500E4A8E"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68351D6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Denial_Amount</w:t>
            </w:r>
          </w:p>
        </w:tc>
        <w:tc>
          <w:tcPr>
            <w:tcW w:w="1960" w:type="dxa"/>
            <w:tcBorders>
              <w:top w:val="nil"/>
              <w:left w:val="nil"/>
              <w:bottom w:val="single" w:sz="4" w:space="0" w:color="auto"/>
              <w:right w:val="single" w:sz="4" w:space="0" w:color="auto"/>
            </w:tcBorders>
            <w:vAlign w:val="center"/>
            <w:hideMark/>
          </w:tcPr>
          <w:p w14:paraId="58B53FB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3C597C9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associated with the denied portion of the claim</w:t>
            </w:r>
          </w:p>
        </w:tc>
      </w:tr>
      <w:tr w:rsidR="00485E25" w:rsidRPr="00485E25" w14:paraId="7A280292"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4F4F1A4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Posting_Rep</w:t>
            </w:r>
          </w:p>
        </w:tc>
        <w:tc>
          <w:tcPr>
            <w:tcW w:w="1960" w:type="dxa"/>
            <w:tcBorders>
              <w:top w:val="nil"/>
              <w:left w:val="nil"/>
              <w:bottom w:val="single" w:sz="4" w:space="0" w:color="auto"/>
              <w:right w:val="single" w:sz="4" w:space="0" w:color="auto"/>
            </w:tcBorders>
            <w:vAlign w:val="center"/>
            <w:hideMark/>
          </w:tcPr>
          <w:p w14:paraId="28AFF6D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 / String</w:t>
            </w:r>
          </w:p>
        </w:tc>
        <w:tc>
          <w:tcPr>
            <w:tcW w:w="4140" w:type="dxa"/>
            <w:tcBorders>
              <w:top w:val="nil"/>
              <w:left w:val="nil"/>
              <w:bottom w:val="single" w:sz="4" w:space="0" w:color="auto"/>
              <w:right w:val="single" w:sz="4" w:space="0" w:color="auto"/>
            </w:tcBorders>
            <w:vAlign w:val="center"/>
            <w:hideMark/>
          </w:tcPr>
          <w:p w14:paraId="019CDF1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Representative responsible for payment posting</w:t>
            </w:r>
          </w:p>
        </w:tc>
      </w:tr>
      <w:tr w:rsidR="00485E25" w:rsidRPr="00485E25" w14:paraId="2D05B0EE"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6BF78D3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Payment_Posting_Date</w:t>
            </w:r>
          </w:p>
        </w:tc>
        <w:tc>
          <w:tcPr>
            <w:tcW w:w="1960" w:type="dxa"/>
            <w:tcBorders>
              <w:top w:val="nil"/>
              <w:left w:val="nil"/>
              <w:bottom w:val="single" w:sz="4" w:space="0" w:color="auto"/>
              <w:right w:val="single" w:sz="4" w:space="0" w:color="auto"/>
            </w:tcBorders>
            <w:vAlign w:val="center"/>
            <w:hideMark/>
          </w:tcPr>
          <w:p w14:paraId="12F1EEE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66678928"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on which the payment was posted</w:t>
            </w:r>
          </w:p>
        </w:tc>
      </w:tr>
      <w:tr w:rsidR="00485E25" w:rsidRPr="00485E25" w14:paraId="29969591"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4E61556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Admission Type</w:t>
            </w:r>
          </w:p>
        </w:tc>
        <w:tc>
          <w:tcPr>
            <w:tcW w:w="1960" w:type="dxa"/>
            <w:tcBorders>
              <w:top w:val="nil"/>
              <w:left w:val="nil"/>
              <w:bottom w:val="single" w:sz="4" w:space="0" w:color="auto"/>
              <w:right w:val="single" w:sz="4" w:space="0" w:color="auto"/>
            </w:tcBorders>
            <w:vAlign w:val="center"/>
            <w:hideMark/>
          </w:tcPr>
          <w:p w14:paraId="071734E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20564B6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Type of patient admission</w:t>
            </w:r>
          </w:p>
        </w:tc>
      </w:tr>
      <w:tr w:rsidR="00485E25" w:rsidRPr="00485E25" w14:paraId="09182E68"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10F4A08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DOS</w:t>
            </w:r>
          </w:p>
        </w:tc>
        <w:tc>
          <w:tcPr>
            <w:tcW w:w="1960" w:type="dxa"/>
            <w:tcBorders>
              <w:top w:val="nil"/>
              <w:left w:val="nil"/>
              <w:bottom w:val="single" w:sz="4" w:space="0" w:color="auto"/>
              <w:right w:val="single" w:sz="4" w:space="0" w:color="auto"/>
            </w:tcBorders>
            <w:vAlign w:val="center"/>
            <w:hideMark/>
          </w:tcPr>
          <w:p w14:paraId="13BF7ED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3471B42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 of service for the healthcare claim</w:t>
            </w:r>
          </w:p>
        </w:tc>
      </w:tr>
      <w:tr w:rsidR="00485E25" w:rsidRPr="00485E25" w14:paraId="0EE76A96"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7FB90C2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Days_Outstanding</w:t>
            </w:r>
          </w:p>
        </w:tc>
        <w:tc>
          <w:tcPr>
            <w:tcW w:w="1960" w:type="dxa"/>
            <w:tcBorders>
              <w:top w:val="nil"/>
              <w:left w:val="nil"/>
              <w:bottom w:val="single" w:sz="4" w:space="0" w:color="auto"/>
              <w:right w:val="single" w:sz="4" w:space="0" w:color="auto"/>
            </w:tcBorders>
            <w:vAlign w:val="center"/>
            <w:hideMark/>
          </w:tcPr>
          <w:p w14:paraId="7913C26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w:t>
            </w:r>
          </w:p>
        </w:tc>
        <w:tc>
          <w:tcPr>
            <w:tcW w:w="4140" w:type="dxa"/>
            <w:tcBorders>
              <w:top w:val="nil"/>
              <w:left w:val="nil"/>
              <w:bottom w:val="single" w:sz="4" w:space="0" w:color="auto"/>
              <w:right w:val="single" w:sz="4" w:space="0" w:color="auto"/>
            </w:tcBorders>
            <w:vAlign w:val="center"/>
            <w:hideMark/>
          </w:tcPr>
          <w:p w14:paraId="0615D70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Number of days the claim amount has remained outstanding</w:t>
            </w:r>
          </w:p>
        </w:tc>
      </w:tr>
      <w:tr w:rsidR="00485E25" w:rsidRPr="00485E25" w14:paraId="23D807C7" w14:textId="77777777" w:rsidTr="00485E25">
        <w:trPr>
          <w:trHeight w:val="936"/>
        </w:trPr>
        <w:tc>
          <w:tcPr>
            <w:tcW w:w="2500" w:type="dxa"/>
            <w:tcBorders>
              <w:top w:val="nil"/>
              <w:left w:val="single" w:sz="4" w:space="0" w:color="auto"/>
              <w:bottom w:val="single" w:sz="4" w:space="0" w:color="auto"/>
              <w:right w:val="single" w:sz="4" w:space="0" w:color="auto"/>
            </w:tcBorders>
            <w:vAlign w:val="center"/>
            <w:hideMark/>
          </w:tcPr>
          <w:p w14:paraId="5EF0A8B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AR_Aging_Bucket</w:t>
            </w:r>
          </w:p>
        </w:tc>
        <w:tc>
          <w:tcPr>
            <w:tcW w:w="1960" w:type="dxa"/>
            <w:tcBorders>
              <w:top w:val="nil"/>
              <w:left w:val="nil"/>
              <w:bottom w:val="single" w:sz="4" w:space="0" w:color="auto"/>
              <w:right w:val="single" w:sz="4" w:space="0" w:color="auto"/>
            </w:tcBorders>
            <w:vAlign w:val="center"/>
            <w:hideMark/>
          </w:tcPr>
          <w:p w14:paraId="5184BB4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6C12AF3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Aging classification of outstanding AR, such as 0–30, 31–60, 61–90, and 90+ days</w:t>
            </w:r>
          </w:p>
        </w:tc>
      </w:tr>
      <w:tr w:rsidR="00485E25" w:rsidRPr="00485E25" w14:paraId="3057EF6A"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31AF2573"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Assigned_AR_Rep</w:t>
            </w:r>
          </w:p>
        </w:tc>
        <w:tc>
          <w:tcPr>
            <w:tcW w:w="1960" w:type="dxa"/>
            <w:tcBorders>
              <w:top w:val="nil"/>
              <w:left w:val="nil"/>
              <w:bottom w:val="single" w:sz="4" w:space="0" w:color="auto"/>
              <w:right w:val="single" w:sz="4" w:space="0" w:color="auto"/>
            </w:tcBorders>
            <w:vAlign w:val="center"/>
            <w:hideMark/>
          </w:tcPr>
          <w:p w14:paraId="273C838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Integer / String</w:t>
            </w:r>
          </w:p>
        </w:tc>
        <w:tc>
          <w:tcPr>
            <w:tcW w:w="4140" w:type="dxa"/>
            <w:tcBorders>
              <w:top w:val="nil"/>
              <w:left w:val="nil"/>
              <w:bottom w:val="single" w:sz="4" w:space="0" w:color="auto"/>
              <w:right w:val="single" w:sz="4" w:space="0" w:color="auto"/>
            </w:tcBorders>
            <w:vAlign w:val="center"/>
            <w:hideMark/>
          </w:tcPr>
          <w:p w14:paraId="578F525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AR representative assigned to follow up on the claim</w:t>
            </w:r>
          </w:p>
        </w:tc>
      </w:tr>
      <w:tr w:rsidR="00485E25" w:rsidRPr="00485E25" w14:paraId="4FDFC758"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3888746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Priority</w:t>
            </w:r>
          </w:p>
        </w:tc>
        <w:tc>
          <w:tcPr>
            <w:tcW w:w="1960" w:type="dxa"/>
            <w:tcBorders>
              <w:top w:val="nil"/>
              <w:left w:val="nil"/>
              <w:bottom w:val="single" w:sz="4" w:space="0" w:color="auto"/>
              <w:right w:val="single" w:sz="4" w:space="0" w:color="auto"/>
            </w:tcBorders>
            <w:vAlign w:val="center"/>
            <w:hideMark/>
          </w:tcPr>
          <w:p w14:paraId="65E5498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2843E61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Priority level assigned to the claim, such as High, Medium, or Low</w:t>
            </w:r>
          </w:p>
        </w:tc>
      </w:tr>
      <w:tr w:rsidR="00485E25" w:rsidRPr="00485E25" w14:paraId="00D53A65"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56EF488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Follow-up_Status</w:t>
            </w:r>
          </w:p>
        </w:tc>
        <w:tc>
          <w:tcPr>
            <w:tcW w:w="1960" w:type="dxa"/>
            <w:tcBorders>
              <w:top w:val="nil"/>
              <w:left w:val="nil"/>
              <w:bottom w:val="single" w:sz="4" w:space="0" w:color="auto"/>
              <w:right w:val="single" w:sz="4" w:space="0" w:color="auto"/>
            </w:tcBorders>
            <w:vAlign w:val="center"/>
            <w:hideMark/>
          </w:tcPr>
          <w:p w14:paraId="34BDF015"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75B0205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proofErr w:type="gramStart"/>
            <w:r w:rsidRPr="00485E25">
              <w:rPr>
                <w:rFonts w:ascii="Times New Roman" w:eastAsia="Times New Roman" w:hAnsi="Times New Roman" w:cs="Times New Roman"/>
                <w:color w:val="1F3864"/>
                <w:sz w:val="24"/>
                <w:szCs w:val="24"/>
                <w:lang w:val="en-US"/>
              </w:rPr>
              <w:t>Current status</w:t>
            </w:r>
            <w:proofErr w:type="gramEnd"/>
            <w:r w:rsidRPr="00485E25">
              <w:rPr>
                <w:rFonts w:ascii="Times New Roman" w:eastAsia="Times New Roman" w:hAnsi="Times New Roman" w:cs="Times New Roman"/>
                <w:color w:val="1F3864"/>
                <w:sz w:val="24"/>
                <w:szCs w:val="24"/>
                <w:lang w:val="en-US"/>
              </w:rPr>
              <w:t xml:space="preserve"> of AR follow-up activity</w:t>
            </w:r>
          </w:p>
        </w:tc>
      </w:tr>
      <w:tr w:rsidR="00485E25" w:rsidRPr="00485E25" w14:paraId="50EC7842"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0F2DDC2F"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Appeal_Status</w:t>
            </w:r>
          </w:p>
        </w:tc>
        <w:tc>
          <w:tcPr>
            <w:tcW w:w="1960" w:type="dxa"/>
            <w:tcBorders>
              <w:top w:val="nil"/>
              <w:left w:val="nil"/>
              <w:bottom w:val="single" w:sz="4" w:space="0" w:color="auto"/>
              <w:right w:val="single" w:sz="4" w:space="0" w:color="auto"/>
            </w:tcBorders>
            <w:vAlign w:val="center"/>
            <w:hideMark/>
          </w:tcPr>
          <w:p w14:paraId="6D649FF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485A72A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Status of the claim appeal, such as Filed, Won, Lost, or In Progress</w:t>
            </w:r>
          </w:p>
        </w:tc>
      </w:tr>
      <w:tr w:rsidR="00485E25" w:rsidRPr="00485E25" w14:paraId="454FCB94"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1ACE59CA"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Last_Follow-up_Date</w:t>
            </w:r>
          </w:p>
        </w:tc>
        <w:tc>
          <w:tcPr>
            <w:tcW w:w="1960" w:type="dxa"/>
            <w:tcBorders>
              <w:top w:val="nil"/>
              <w:left w:val="nil"/>
              <w:bottom w:val="single" w:sz="4" w:space="0" w:color="auto"/>
              <w:right w:val="single" w:sz="4" w:space="0" w:color="auto"/>
            </w:tcBorders>
            <w:vAlign w:val="center"/>
            <w:hideMark/>
          </w:tcPr>
          <w:p w14:paraId="79575DB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Date</w:t>
            </w:r>
          </w:p>
        </w:tc>
        <w:tc>
          <w:tcPr>
            <w:tcW w:w="4140" w:type="dxa"/>
            <w:tcBorders>
              <w:top w:val="nil"/>
              <w:left w:val="nil"/>
              <w:bottom w:val="single" w:sz="4" w:space="0" w:color="auto"/>
              <w:right w:val="single" w:sz="4" w:space="0" w:color="auto"/>
            </w:tcBorders>
            <w:vAlign w:val="center"/>
            <w:hideMark/>
          </w:tcPr>
          <w:p w14:paraId="27B4272E"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Most recent date on which claim follow-up was performed</w:t>
            </w:r>
          </w:p>
        </w:tc>
      </w:tr>
      <w:tr w:rsidR="00485E25" w:rsidRPr="00485E25" w14:paraId="32593237" w14:textId="77777777" w:rsidTr="00485E25">
        <w:trPr>
          <w:trHeight w:val="312"/>
        </w:trPr>
        <w:tc>
          <w:tcPr>
            <w:tcW w:w="2500" w:type="dxa"/>
            <w:tcBorders>
              <w:top w:val="nil"/>
              <w:left w:val="single" w:sz="4" w:space="0" w:color="auto"/>
              <w:bottom w:val="single" w:sz="4" w:space="0" w:color="auto"/>
              <w:right w:val="single" w:sz="4" w:space="0" w:color="auto"/>
            </w:tcBorders>
            <w:vAlign w:val="center"/>
            <w:hideMark/>
          </w:tcPr>
          <w:p w14:paraId="2141CBA1"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lastRenderedPageBreak/>
              <w:t>Next_Action</w:t>
            </w:r>
          </w:p>
        </w:tc>
        <w:tc>
          <w:tcPr>
            <w:tcW w:w="1960" w:type="dxa"/>
            <w:tcBorders>
              <w:top w:val="nil"/>
              <w:left w:val="nil"/>
              <w:bottom w:val="single" w:sz="4" w:space="0" w:color="auto"/>
              <w:right w:val="single" w:sz="4" w:space="0" w:color="auto"/>
            </w:tcBorders>
            <w:vAlign w:val="center"/>
            <w:hideMark/>
          </w:tcPr>
          <w:p w14:paraId="742D915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132CA240"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Next action required to resolve the claim</w:t>
            </w:r>
          </w:p>
        </w:tc>
      </w:tr>
      <w:tr w:rsidR="00485E25" w:rsidRPr="00485E25" w14:paraId="26398EF8"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22E82DF7"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Escalation_Flag</w:t>
            </w:r>
          </w:p>
        </w:tc>
        <w:tc>
          <w:tcPr>
            <w:tcW w:w="1960" w:type="dxa"/>
            <w:tcBorders>
              <w:top w:val="nil"/>
              <w:left w:val="nil"/>
              <w:bottom w:val="single" w:sz="4" w:space="0" w:color="auto"/>
              <w:right w:val="single" w:sz="4" w:space="0" w:color="auto"/>
            </w:tcBorders>
            <w:vAlign w:val="center"/>
            <w:hideMark/>
          </w:tcPr>
          <w:p w14:paraId="4038293C"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Categorical</w:t>
            </w:r>
          </w:p>
        </w:tc>
        <w:tc>
          <w:tcPr>
            <w:tcW w:w="4140" w:type="dxa"/>
            <w:tcBorders>
              <w:top w:val="nil"/>
              <w:left w:val="nil"/>
              <w:bottom w:val="single" w:sz="4" w:space="0" w:color="auto"/>
              <w:right w:val="single" w:sz="4" w:space="0" w:color="auto"/>
            </w:tcBorders>
            <w:vAlign w:val="center"/>
            <w:hideMark/>
          </w:tcPr>
          <w:p w14:paraId="4592A7BB"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Indicates whether the claim requires escalation</w:t>
            </w:r>
          </w:p>
        </w:tc>
      </w:tr>
      <w:tr w:rsidR="00485E25" w:rsidRPr="00485E25" w14:paraId="3B136103"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092E985D"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Resolution_Amount</w:t>
            </w:r>
          </w:p>
        </w:tc>
        <w:tc>
          <w:tcPr>
            <w:tcW w:w="1960" w:type="dxa"/>
            <w:tcBorders>
              <w:top w:val="nil"/>
              <w:left w:val="nil"/>
              <w:bottom w:val="single" w:sz="4" w:space="0" w:color="auto"/>
              <w:right w:val="single" w:sz="4" w:space="0" w:color="auto"/>
            </w:tcBorders>
            <w:vAlign w:val="center"/>
            <w:hideMark/>
          </w:tcPr>
          <w:p w14:paraId="5B97DA36"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6B9B2CD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Amount resolved through AR follow-up or claim resolution</w:t>
            </w:r>
          </w:p>
        </w:tc>
      </w:tr>
      <w:tr w:rsidR="00485E25" w:rsidRPr="00485E25" w14:paraId="15CC6FA6" w14:textId="77777777" w:rsidTr="00485E25">
        <w:trPr>
          <w:trHeight w:val="624"/>
        </w:trPr>
        <w:tc>
          <w:tcPr>
            <w:tcW w:w="2500" w:type="dxa"/>
            <w:tcBorders>
              <w:top w:val="nil"/>
              <w:left w:val="single" w:sz="4" w:space="0" w:color="auto"/>
              <w:bottom w:val="single" w:sz="4" w:space="0" w:color="auto"/>
              <w:right w:val="single" w:sz="4" w:space="0" w:color="auto"/>
            </w:tcBorders>
            <w:vAlign w:val="center"/>
            <w:hideMark/>
          </w:tcPr>
          <w:p w14:paraId="717D7924"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Remaining_Outstanding</w:t>
            </w:r>
          </w:p>
        </w:tc>
        <w:tc>
          <w:tcPr>
            <w:tcW w:w="1960" w:type="dxa"/>
            <w:tcBorders>
              <w:top w:val="nil"/>
              <w:left w:val="nil"/>
              <w:bottom w:val="single" w:sz="4" w:space="0" w:color="auto"/>
              <w:right w:val="single" w:sz="4" w:space="0" w:color="auto"/>
            </w:tcBorders>
            <w:vAlign w:val="center"/>
            <w:hideMark/>
          </w:tcPr>
          <w:p w14:paraId="759D5E19"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Numeric</w:t>
            </w:r>
          </w:p>
        </w:tc>
        <w:tc>
          <w:tcPr>
            <w:tcW w:w="4140" w:type="dxa"/>
            <w:tcBorders>
              <w:top w:val="nil"/>
              <w:left w:val="nil"/>
              <w:bottom w:val="single" w:sz="4" w:space="0" w:color="auto"/>
              <w:right w:val="single" w:sz="4" w:space="0" w:color="auto"/>
            </w:tcBorders>
            <w:vAlign w:val="center"/>
            <w:hideMark/>
          </w:tcPr>
          <w:p w14:paraId="312FE762" w14:textId="77777777" w:rsidR="00485E25" w:rsidRPr="00485E25" w:rsidRDefault="00485E25" w:rsidP="00485E25">
            <w:pPr>
              <w:spacing w:after="0" w:line="360" w:lineRule="auto"/>
              <w:rPr>
                <w:rFonts w:ascii="Times New Roman" w:eastAsia="Times New Roman" w:hAnsi="Times New Roman" w:cs="Times New Roman"/>
                <w:color w:val="1F3864"/>
                <w:sz w:val="24"/>
                <w:szCs w:val="24"/>
                <w:lang w:val="en-US"/>
              </w:rPr>
            </w:pPr>
            <w:r w:rsidRPr="00485E25">
              <w:rPr>
                <w:rFonts w:ascii="Times New Roman" w:eastAsia="Times New Roman" w:hAnsi="Times New Roman" w:cs="Times New Roman"/>
                <w:color w:val="1F3864"/>
                <w:sz w:val="24"/>
                <w:szCs w:val="24"/>
                <w:lang w:val="en-US"/>
              </w:rPr>
              <w:t>Outstanding amount remaining after resolution activity</w:t>
            </w:r>
          </w:p>
        </w:tc>
      </w:tr>
    </w:tbl>
    <w:p w14:paraId="232796C1" w14:textId="332DC041"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3300916A">
          <v:rect id="_x0000_i1028" style="width:0;height:1.5pt" o:hralign="center" o:hrstd="t" o:hr="t" fillcolor="#a0a0a0" stroked="f"/>
        </w:pict>
      </w:r>
    </w:p>
    <w:p w14:paraId="40CF272E" w14:textId="77777777" w:rsidR="00075CB1" w:rsidRPr="0065561E"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5. Tools &amp; Technologies</w:t>
      </w:r>
    </w:p>
    <w:p w14:paraId="661EEAF9" w14:textId="025DC034" w:rsidR="00075CB1" w:rsidRPr="0065561E" w:rsidRDefault="00354783">
      <w:pPr>
        <w:numPr>
          <w:ilvl w:val="0"/>
          <w:numId w:val="4"/>
        </w:numPr>
        <w:spacing w:after="0" w:line="360" w:lineRule="auto"/>
        <w:jc w:val="both"/>
        <w:rPr>
          <w:rFonts w:ascii="Times New Roman" w:eastAsia="Times New Roman" w:hAnsi="Times New Roman" w:cs="Times New Roman"/>
          <w:color w:val="1F3864"/>
          <w:sz w:val="24"/>
          <w:szCs w:val="24"/>
          <w:lang w:val="en-US"/>
        </w:rPr>
      </w:pPr>
      <w:r w:rsidRPr="00354783">
        <w:rPr>
          <w:rFonts w:ascii="Times New Roman" w:eastAsia="Times New Roman" w:hAnsi="Times New Roman" w:cs="Times New Roman"/>
          <w:b/>
          <w:bCs/>
          <w:color w:val="1F3864"/>
          <w:sz w:val="24"/>
          <w:szCs w:val="24"/>
        </w:rPr>
        <w:t>Python:</w:t>
      </w:r>
      <w:r w:rsidRPr="00354783">
        <w:rPr>
          <w:rFonts w:ascii="Times New Roman" w:eastAsia="Times New Roman" w:hAnsi="Times New Roman" w:cs="Times New Roman"/>
          <w:color w:val="1F3864"/>
          <w:sz w:val="24"/>
          <w:szCs w:val="24"/>
        </w:rPr>
        <w:t xml:space="preserve"> Data cleaning, preprocessing, exploratory data analysis (EDA), data transformation, and data visualization using Pandas, NumPy, Matplotlib, and Seaborn.</w:t>
      </w:r>
    </w:p>
    <w:p w14:paraId="4B293570" w14:textId="71872C18" w:rsidR="00075CB1" w:rsidRPr="0065561E" w:rsidRDefault="00000000">
      <w:pPr>
        <w:numPr>
          <w:ilvl w:val="0"/>
          <w:numId w:val="4"/>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b/>
          <w:bCs/>
          <w:color w:val="1F3864"/>
          <w:sz w:val="24"/>
          <w:szCs w:val="24"/>
          <w:lang w:val="en-US"/>
        </w:rPr>
        <w:t>Power BI:</w:t>
      </w:r>
      <w:r w:rsidRPr="0065561E">
        <w:rPr>
          <w:rFonts w:ascii="Times New Roman" w:eastAsia="Times New Roman" w:hAnsi="Times New Roman" w:cs="Times New Roman"/>
          <w:color w:val="1F3864"/>
          <w:sz w:val="24"/>
          <w:szCs w:val="24"/>
          <w:lang w:val="en-US"/>
        </w:rPr>
        <w:t xml:space="preserve"> Data modelling, DAX calculations, </w:t>
      </w:r>
      <w:r w:rsidR="00354783" w:rsidRPr="00354783">
        <w:rPr>
          <w:rFonts w:ascii="Times New Roman" w:eastAsia="Times New Roman" w:hAnsi="Times New Roman" w:cs="Times New Roman"/>
          <w:color w:val="1F3864"/>
          <w:sz w:val="24"/>
          <w:szCs w:val="24"/>
        </w:rPr>
        <w:t>KPI development</w:t>
      </w:r>
      <w:r w:rsidR="00354783">
        <w:rPr>
          <w:rFonts w:ascii="Times New Roman" w:eastAsia="Times New Roman" w:hAnsi="Times New Roman" w:cs="Times New Roman"/>
          <w:color w:val="1F3864"/>
          <w:sz w:val="24"/>
          <w:szCs w:val="24"/>
        </w:rPr>
        <w:t xml:space="preserve">, </w:t>
      </w:r>
      <w:r w:rsidRPr="0065561E">
        <w:rPr>
          <w:rFonts w:ascii="Times New Roman" w:eastAsia="Times New Roman" w:hAnsi="Times New Roman" w:cs="Times New Roman"/>
          <w:color w:val="1F3864"/>
          <w:sz w:val="24"/>
          <w:szCs w:val="24"/>
          <w:lang w:val="en-US"/>
        </w:rPr>
        <w:t>visualization, and interactive dashboard creation.</w:t>
      </w:r>
    </w:p>
    <w:p w14:paraId="06F3E182" w14:textId="77777777"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37D75F28">
          <v:rect id="_x0000_i1029" style="width:0;height:1.5pt" o:hralign="center" o:hrstd="t" o:hr="t" fillcolor="#a0a0a0" stroked="f"/>
        </w:pict>
      </w:r>
    </w:p>
    <w:p w14:paraId="551EE735" w14:textId="36673B08" w:rsidR="00075CB1" w:rsidRPr="0065561E"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6. Data Pre-Processing (</w:t>
      </w:r>
      <w:r w:rsidR="007A42AF">
        <w:rPr>
          <w:rFonts w:ascii="Times New Roman" w:eastAsia="Times New Roman" w:hAnsi="Times New Roman" w:cs="Times New Roman"/>
          <w:b/>
          <w:bCs/>
          <w:color w:val="3333CC"/>
          <w:sz w:val="24"/>
          <w:szCs w:val="24"/>
          <w:lang w:val="en-US"/>
        </w:rPr>
        <w:t>Python</w:t>
      </w:r>
      <w:r w:rsidRPr="0065561E">
        <w:rPr>
          <w:rFonts w:ascii="Times New Roman" w:eastAsia="Times New Roman" w:hAnsi="Times New Roman" w:cs="Times New Roman"/>
          <w:b/>
          <w:bCs/>
          <w:color w:val="3333CC"/>
          <w:sz w:val="24"/>
          <w:szCs w:val="24"/>
          <w:lang w:val="en-US"/>
        </w:rPr>
        <w:t xml:space="preserve"> / Power Query)</w:t>
      </w:r>
    </w:p>
    <w:p w14:paraId="1D98B1D3" w14:textId="77777777" w:rsidR="00075CB1" w:rsidRPr="0065561E" w:rsidRDefault="00000000">
      <w:pPr>
        <w:spacing w:after="0" w:line="360" w:lineRule="auto"/>
        <w:jc w:val="both"/>
        <w:rPr>
          <w:rFonts w:ascii="Times New Roman" w:eastAsia="Times New Roman" w:hAnsi="Times New Roman" w:cs="Times New Roman"/>
          <w:b/>
          <w:bCs/>
          <w:color w:val="1F3864"/>
          <w:sz w:val="24"/>
          <w:szCs w:val="24"/>
          <w:lang w:val="en-US"/>
        </w:rPr>
      </w:pPr>
      <w:r w:rsidRPr="0065561E">
        <w:rPr>
          <w:rFonts w:ascii="Times New Roman" w:eastAsia="Times New Roman" w:hAnsi="Times New Roman" w:cs="Times New Roman"/>
          <w:b/>
          <w:bCs/>
          <w:color w:val="1F3864"/>
          <w:sz w:val="24"/>
          <w:szCs w:val="24"/>
          <w:lang w:val="en-US"/>
        </w:rPr>
        <w:t>Tasks Performed:</w:t>
      </w:r>
    </w:p>
    <w:p w14:paraId="2A12E461" w14:textId="77777777" w:rsidR="001D7B61" w:rsidRDefault="00000000">
      <w:pPr>
        <w:numPr>
          <w:ilvl w:val="0"/>
          <w:numId w:val="7"/>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b/>
          <w:bCs/>
          <w:color w:val="1F3864"/>
          <w:sz w:val="24"/>
          <w:szCs w:val="24"/>
          <w:lang w:val="en-US"/>
        </w:rPr>
        <w:t>Data Cleaning &amp; Transformation:</w:t>
      </w:r>
      <w:r w:rsidRPr="0065561E">
        <w:rPr>
          <w:rFonts w:ascii="Times New Roman" w:eastAsia="Times New Roman" w:hAnsi="Times New Roman" w:cs="Times New Roman"/>
          <w:color w:val="1F3864"/>
          <w:sz w:val="24"/>
          <w:szCs w:val="24"/>
          <w:lang w:val="en-US"/>
        </w:rPr>
        <w:t xml:space="preserve"> </w:t>
      </w:r>
    </w:p>
    <w:p w14:paraId="7AA44BD6" w14:textId="25207E6D" w:rsidR="001D7B61" w:rsidRDefault="00000000" w:rsidP="001D7B61">
      <w:pPr>
        <w:pStyle w:val="ListParagraph"/>
        <w:numPr>
          <w:ilvl w:val="0"/>
          <w:numId w:val="8"/>
        </w:numPr>
        <w:spacing w:after="0" w:line="360" w:lineRule="auto"/>
        <w:jc w:val="both"/>
        <w:rPr>
          <w:rFonts w:ascii="Times New Roman" w:eastAsia="Times New Roman" w:hAnsi="Times New Roman" w:cs="Times New Roman"/>
          <w:color w:val="1F3864"/>
          <w:sz w:val="24"/>
          <w:szCs w:val="24"/>
          <w:lang w:val="en-US"/>
        </w:rPr>
      </w:pPr>
      <w:r w:rsidRPr="001D7B61">
        <w:rPr>
          <w:rFonts w:ascii="Times New Roman" w:eastAsia="Times New Roman" w:hAnsi="Times New Roman" w:cs="Times New Roman"/>
          <w:color w:val="1F3864"/>
          <w:sz w:val="24"/>
          <w:szCs w:val="24"/>
          <w:lang w:val="en-US"/>
        </w:rPr>
        <w:t xml:space="preserve">Removed duplicates </w:t>
      </w:r>
      <w:r w:rsidR="001D7B61" w:rsidRPr="001D7B61">
        <w:rPr>
          <w:rFonts w:ascii="Times New Roman" w:eastAsia="Times New Roman" w:hAnsi="Times New Roman" w:cs="Times New Roman"/>
          <w:color w:val="1F3864"/>
          <w:sz w:val="24"/>
          <w:szCs w:val="24"/>
          <w:lang w:val="en-US"/>
        </w:rPr>
        <w:t>on all 44 columns.</w:t>
      </w:r>
    </w:p>
    <w:p w14:paraId="79267680" w14:textId="77777777" w:rsidR="001D7B61" w:rsidRDefault="001D7B61" w:rsidP="001D7B61">
      <w:pPr>
        <w:pStyle w:val="ListParagraph"/>
        <w:numPr>
          <w:ilvl w:val="0"/>
          <w:numId w:val="8"/>
        </w:numPr>
        <w:spacing w:after="0" w:line="360" w:lineRule="auto"/>
        <w:rPr>
          <w:rFonts w:ascii="Times New Roman" w:eastAsia="Times New Roman" w:hAnsi="Times New Roman" w:cs="Times New Roman"/>
          <w:color w:val="1F3864"/>
          <w:sz w:val="24"/>
          <w:szCs w:val="24"/>
          <w:lang w:val="en-US"/>
        </w:rPr>
      </w:pPr>
      <w:r w:rsidRPr="001D7B61">
        <w:rPr>
          <w:rFonts w:ascii="Times New Roman" w:eastAsia="Times New Roman" w:hAnsi="Times New Roman" w:cs="Times New Roman"/>
          <w:color w:val="1F3864"/>
          <w:sz w:val="24"/>
          <w:szCs w:val="24"/>
          <w:lang w:val="en-US"/>
        </w:rPr>
        <w:t>Missing values handled contextually</w:t>
      </w:r>
      <w:r>
        <w:rPr>
          <w:rFonts w:ascii="Times New Roman" w:eastAsia="Times New Roman" w:hAnsi="Times New Roman" w:cs="Times New Roman"/>
          <w:color w:val="1F3864"/>
          <w:sz w:val="24"/>
          <w:szCs w:val="24"/>
          <w:lang w:val="en-US"/>
        </w:rPr>
        <w:t xml:space="preserve">: </w:t>
      </w:r>
    </w:p>
    <w:p w14:paraId="6A1E6CD7" w14:textId="7E06F824" w:rsidR="009F08CB" w:rsidRDefault="009F08CB" w:rsidP="001D7B61">
      <w:pPr>
        <w:pStyle w:val="ListParagraph"/>
        <w:spacing w:after="0" w:line="360" w:lineRule="auto"/>
        <w:ind w:left="1500"/>
        <w:rPr>
          <w:rFonts w:ascii="Times New Roman" w:eastAsia="Times New Roman" w:hAnsi="Times New Roman" w:cs="Times New Roman"/>
          <w:color w:val="1F3864"/>
          <w:sz w:val="24"/>
          <w:szCs w:val="24"/>
          <w:lang w:val="en-US"/>
        </w:rPr>
      </w:pP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 xml:space="preserve">Not with blanket fill: Age → median; Gender → standardized to M/F; </w:t>
      </w:r>
      <w:r w:rsidR="001D7B61" w:rsidRPr="001D7B61">
        <w:rPr>
          <w:rFonts w:ascii="Times New Roman" w:eastAsia="Times New Roman" w:hAnsi="Times New Roman" w:cs="Times New Roman"/>
          <w:color w:val="1F3864"/>
          <w:sz w:val="24"/>
          <w:szCs w:val="24"/>
          <w:lang w:val="en-US"/>
        </w:rPr>
        <w:br/>
      </w: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 xml:space="preserve">Medical Condition ↔ CPT_HCPCS_Code ↔ Procedure_Description </w:t>
      </w: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 xml:space="preserve">→ cross-imputed using grouped mode (each field's most common </w:t>
      </w: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 xml:space="preserve">value for that specific code/condition, not a global average); </w:t>
      </w:r>
    </w:p>
    <w:p w14:paraId="3623A948" w14:textId="4D3AFA8E" w:rsidR="001D7B61" w:rsidRDefault="009F08CB" w:rsidP="001D7B61">
      <w:pPr>
        <w:pStyle w:val="ListParagraph"/>
        <w:spacing w:after="0" w:line="360" w:lineRule="auto"/>
        <w:ind w:left="1500"/>
        <w:rPr>
          <w:rFonts w:ascii="Times New Roman" w:eastAsia="Times New Roman" w:hAnsi="Times New Roman" w:cs="Times New Roman"/>
          <w:color w:val="1F3864"/>
          <w:sz w:val="24"/>
          <w:szCs w:val="24"/>
          <w:lang w:val="en-US"/>
        </w:rPr>
      </w:pP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 xml:space="preserve">Provider_ID ↔ Provider_Name → cross-filled via </w:t>
      </w:r>
      <w:proofErr w:type="spellStart"/>
      <w:r w:rsidR="001D7B61" w:rsidRPr="001D7B61">
        <w:rPr>
          <w:rFonts w:ascii="Times New Roman" w:eastAsia="Times New Roman" w:hAnsi="Times New Roman" w:cs="Times New Roman"/>
          <w:color w:val="1F3864"/>
          <w:sz w:val="24"/>
          <w:szCs w:val="24"/>
          <w:lang w:val="en-US"/>
        </w:rPr>
        <w:t>groupby</w:t>
      </w:r>
      <w:proofErr w:type="spellEnd"/>
      <w:r w:rsidR="001D7B61" w:rsidRPr="001D7B61">
        <w:rPr>
          <w:rFonts w:ascii="Times New Roman" w:eastAsia="Times New Roman" w:hAnsi="Times New Roman" w:cs="Times New Roman"/>
          <w:color w:val="1F3864"/>
          <w:sz w:val="24"/>
          <w:szCs w:val="24"/>
          <w:lang w:val="en-US"/>
        </w:rPr>
        <w:t xml:space="preserve"> mode; </w:t>
      </w:r>
      <w:r w:rsidR="001D7B61" w:rsidRPr="001D7B61">
        <w:rPr>
          <w:rFonts w:ascii="Times New Roman" w:eastAsia="Times New Roman" w:hAnsi="Times New Roman" w:cs="Times New Roman"/>
          <w:color w:val="1F3864"/>
          <w:sz w:val="24"/>
          <w:szCs w:val="24"/>
          <w:lang w:val="en-US"/>
        </w:rPr>
        <w:br/>
      </w:r>
      <w:r>
        <w:rPr>
          <w:rFonts w:ascii="Times New Roman" w:eastAsia="Times New Roman" w:hAnsi="Times New Roman" w:cs="Times New Roman"/>
          <w:color w:val="1F3864"/>
          <w:sz w:val="24"/>
          <w:szCs w:val="24"/>
          <w:lang w:val="en-US"/>
        </w:rPr>
        <w:tab/>
      </w:r>
      <w:r w:rsidR="001D7B61" w:rsidRPr="001D7B61">
        <w:rPr>
          <w:rFonts w:ascii="Times New Roman" w:eastAsia="Times New Roman" w:hAnsi="Times New Roman" w:cs="Times New Roman"/>
          <w:color w:val="1F3864"/>
          <w:sz w:val="24"/>
          <w:szCs w:val="24"/>
          <w:lang w:val="en-US"/>
        </w:rPr>
        <w:t>Claim_Month → derived from Discharge Date when missing</w:t>
      </w:r>
      <w:r w:rsidR="001D7B61" w:rsidRPr="001D7B61">
        <w:rPr>
          <w:rFonts w:ascii="Aptos Narrow" w:eastAsia="Times New Roman" w:hAnsi="Aptos Narrow" w:cs="Times New Roman"/>
          <w:color w:val="000000"/>
          <w:lang w:val="en-US"/>
        </w:rPr>
        <w:t>.</w:t>
      </w:r>
    </w:p>
    <w:p w14:paraId="34A616D7" w14:textId="77777777" w:rsidR="009F08CB" w:rsidRDefault="009F08CB" w:rsidP="009F08CB">
      <w:pPr>
        <w:pStyle w:val="ListParagraph"/>
        <w:numPr>
          <w:ilvl w:val="0"/>
          <w:numId w:val="8"/>
        </w:numPr>
        <w:spacing w:after="0" w:line="360" w:lineRule="auto"/>
        <w:rPr>
          <w:rFonts w:ascii="Times New Roman" w:eastAsia="Times New Roman" w:hAnsi="Times New Roman" w:cs="Times New Roman"/>
          <w:color w:val="1F3864"/>
          <w:sz w:val="24"/>
          <w:szCs w:val="24"/>
          <w:lang w:val="en-US"/>
        </w:rPr>
      </w:pPr>
      <w:r w:rsidRPr="009F08CB">
        <w:rPr>
          <w:rFonts w:ascii="Times New Roman" w:eastAsia="Times New Roman" w:hAnsi="Times New Roman" w:cs="Times New Roman"/>
          <w:color w:val="1F3864"/>
          <w:sz w:val="24"/>
          <w:szCs w:val="24"/>
          <w:lang w:val="en-US"/>
        </w:rPr>
        <w:t>Formats standardized</w:t>
      </w:r>
      <w:r>
        <w:rPr>
          <w:rFonts w:ascii="Times New Roman" w:eastAsia="Times New Roman" w:hAnsi="Times New Roman" w:cs="Times New Roman"/>
          <w:color w:val="1F3864"/>
          <w:sz w:val="24"/>
          <w:szCs w:val="24"/>
          <w:lang w:val="en-US"/>
        </w:rPr>
        <w:t>:</w:t>
      </w:r>
      <w:r w:rsidRPr="001D7B61">
        <w:rPr>
          <w:rFonts w:ascii="Aptos Narrow" w:eastAsia="Times New Roman" w:hAnsi="Aptos Narrow" w:cs="Times New Roman"/>
          <w:color w:val="000000"/>
          <w:lang w:val="en-US"/>
        </w:rPr>
        <w:br/>
      </w:r>
      <w:r>
        <w:rPr>
          <w:rFonts w:ascii="Times New Roman" w:eastAsia="Times New Roman" w:hAnsi="Times New Roman" w:cs="Times New Roman"/>
          <w:color w:val="1F3864"/>
          <w:sz w:val="24"/>
          <w:szCs w:val="24"/>
          <w:lang w:val="en-US"/>
        </w:rPr>
        <w:tab/>
      </w:r>
      <w:r w:rsidRPr="009F08CB">
        <w:rPr>
          <w:rFonts w:ascii="Times New Roman" w:eastAsia="Times New Roman" w:hAnsi="Times New Roman" w:cs="Times New Roman"/>
          <w:color w:val="1F3864"/>
          <w:sz w:val="24"/>
          <w:szCs w:val="24"/>
          <w:lang w:val="en-US"/>
        </w:rPr>
        <w:t xml:space="preserve">Name fields title-cased; Gender codes unified; </w:t>
      </w:r>
    </w:p>
    <w:p w14:paraId="62C5848A" w14:textId="09656430" w:rsidR="001D7B61" w:rsidRDefault="009F08CB" w:rsidP="009F08CB">
      <w:pPr>
        <w:pStyle w:val="ListParagraph"/>
        <w:spacing w:after="0" w:line="360" w:lineRule="auto"/>
        <w:ind w:left="1500"/>
        <w:rPr>
          <w:rFonts w:ascii="Times New Roman" w:eastAsia="Times New Roman" w:hAnsi="Times New Roman" w:cs="Times New Roman"/>
          <w:color w:val="1F3864"/>
          <w:sz w:val="24"/>
          <w:szCs w:val="24"/>
          <w:lang w:val="en-US"/>
        </w:rPr>
      </w:pPr>
      <w:r>
        <w:rPr>
          <w:rFonts w:ascii="Times New Roman" w:eastAsia="Times New Roman" w:hAnsi="Times New Roman" w:cs="Times New Roman"/>
          <w:color w:val="1F3864"/>
          <w:sz w:val="24"/>
          <w:szCs w:val="24"/>
          <w:lang w:val="en-US"/>
        </w:rPr>
        <w:tab/>
      </w:r>
      <w:r w:rsidRPr="009F08CB">
        <w:rPr>
          <w:rFonts w:ascii="Times New Roman" w:eastAsia="Times New Roman" w:hAnsi="Times New Roman" w:cs="Times New Roman"/>
          <w:color w:val="1F3864"/>
          <w:sz w:val="24"/>
          <w:szCs w:val="24"/>
          <w:lang w:val="en-US"/>
        </w:rPr>
        <w:t>date-derived fields</w:t>
      </w:r>
      <w:r>
        <w:rPr>
          <w:rFonts w:ascii="Times New Roman" w:eastAsia="Times New Roman" w:hAnsi="Times New Roman" w:cs="Times New Roman"/>
          <w:color w:val="1F3864"/>
          <w:sz w:val="24"/>
          <w:szCs w:val="24"/>
          <w:lang w:val="en-US"/>
        </w:rPr>
        <w:t xml:space="preserve"> </w:t>
      </w:r>
      <w:r w:rsidRPr="009F08CB">
        <w:rPr>
          <w:rFonts w:ascii="Times New Roman" w:eastAsia="Times New Roman" w:hAnsi="Times New Roman" w:cs="Times New Roman"/>
          <w:color w:val="1F3864"/>
          <w:sz w:val="24"/>
          <w:szCs w:val="24"/>
          <w:lang w:val="en-US"/>
        </w:rPr>
        <w:t xml:space="preserve">(Claim_Month) forced to a consistent yyyy-MM </w:t>
      </w:r>
      <w:r>
        <w:rPr>
          <w:rFonts w:ascii="Times New Roman" w:eastAsia="Times New Roman" w:hAnsi="Times New Roman" w:cs="Times New Roman"/>
          <w:color w:val="1F3864"/>
          <w:sz w:val="24"/>
          <w:szCs w:val="24"/>
          <w:lang w:val="en-US"/>
        </w:rPr>
        <w:tab/>
      </w:r>
      <w:r w:rsidRPr="009F08CB">
        <w:rPr>
          <w:rFonts w:ascii="Times New Roman" w:eastAsia="Times New Roman" w:hAnsi="Times New Roman" w:cs="Times New Roman"/>
          <w:color w:val="1F3864"/>
          <w:sz w:val="24"/>
          <w:szCs w:val="24"/>
          <w:lang w:val="en-US"/>
        </w:rPr>
        <w:t>string format.</w:t>
      </w:r>
    </w:p>
    <w:p w14:paraId="17417B16" w14:textId="63843219" w:rsidR="00AC55AC" w:rsidRDefault="00AC55AC" w:rsidP="001D7B61">
      <w:pPr>
        <w:pStyle w:val="ListParagraph"/>
        <w:numPr>
          <w:ilvl w:val="0"/>
          <w:numId w:val="8"/>
        </w:numPr>
        <w:spacing w:after="0" w:line="360" w:lineRule="auto"/>
        <w:jc w:val="both"/>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Calculated fields created</w:t>
      </w:r>
      <w:r>
        <w:rPr>
          <w:rFonts w:ascii="Times New Roman" w:eastAsia="Times New Roman" w:hAnsi="Times New Roman" w:cs="Times New Roman"/>
          <w:color w:val="1F3864"/>
          <w:sz w:val="24"/>
          <w:szCs w:val="24"/>
          <w:lang w:val="en-US"/>
        </w:rPr>
        <w:t xml:space="preserve"> </w:t>
      </w:r>
      <w:r w:rsidRPr="00AC55AC">
        <w:rPr>
          <w:rFonts w:ascii="Times New Roman" w:eastAsia="Times New Roman" w:hAnsi="Times New Roman" w:cs="Times New Roman"/>
          <w:color w:val="1F3864"/>
          <w:sz w:val="24"/>
          <w:szCs w:val="24"/>
          <w:lang w:val="en-US"/>
        </w:rPr>
        <w:t>two layers:</w:t>
      </w:r>
    </w:p>
    <w:p w14:paraId="62AAF997" w14:textId="77777777" w:rsidR="00AC55AC" w:rsidRDefault="00AC55AC" w:rsidP="00AC55AC">
      <w:pPr>
        <w:pStyle w:val="ListParagraph"/>
        <w:numPr>
          <w:ilvl w:val="0"/>
          <w:numId w:val="9"/>
        </w:numPr>
        <w:spacing w:after="0" w:line="360" w:lineRule="auto"/>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in Python</w:t>
      </w:r>
      <w:r>
        <w:rPr>
          <w:rFonts w:ascii="Times New Roman" w:eastAsia="Times New Roman" w:hAnsi="Times New Roman" w:cs="Times New Roman"/>
          <w:color w:val="1F3864"/>
          <w:sz w:val="24"/>
          <w:szCs w:val="24"/>
          <w:lang w:val="en-US"/>
        </w:rPr>
        <w:t>:</w:t>
      </w:r>
    </w:p>
    <w:p w14:paraId="4FB4AD3D" w14:textId="36C2F41C" w:rsidR="00AC55AC" w:rsidRDefault="00AC55AC" w:rsidP="00AC55AC">
      <w:pPr>
        <w:pStyle w:val="ListParagraph"/>
        <w:spacing w:after="0" w:line="360" w:lineRule="auto"/>
        <w:ind w:left="2520"/>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Allowed_Amount (Billed − Contractual_Adjustment),</w:t>
      </w:r>
    </w:p>
    <w:p w14:paraId="2289B636" w14:textId="508F8F03" w:rsidR="00AC55AC" w:rsidRDefault="00AC55AC" w:rsidP="00AC55AC">
      <w:pPr>
        <w:pStyle w:val="ListParagraph"/>
        <w:spacing w:after="0" w:line="360" w:lineRule="auto"/>
        <w:ind w:left="2520"/>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Outstanding_Amount (Allowed − Paid),</w:t>
      </w:r>
    </w:p>
    <w:p w14:paraId="442B8CB7" w14:textId="55C2228B" w:rsidR="00AC55AC" w:rsidRDefault="00AC55AC" w:rsidP="00AC55AC">
      <w:pPr>
        <w:pStyle w:val="ListParagraph"/>
        <w:spacing w:after="0" w:line="360" w:lineRule="auto"/>
        <w:ind w:left="2520"/>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Denial_Category built from a manual Denial_Reason mapping dictionary;</w:t>
      </w:r>
    </w:p>
    <w:p w14:paraId="415A4007" w14:textId="1C30F61E" w:rsidR="00AC55AC" w:rsidRDefault="00AC55AC" w:rsidP="00AC55AC">
      <w:pPr>
        <w:pStyle w:val="ListParagraph"/>
        <w:numPr>
          <w:ilvl w:val="0"/>
          <w:numId w:val="9"/>
        </w:numPr>
        <w:spacing w:after="0" w:line="360" w:lineRule="auto"/>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lastRenderedPageBreak/>
        <w:t>in Power BI/DAX</w:t>
      </w:r>
      <w:r>
        <w:rPr>
          <w:rFonts w:ascii="Times New Roman" w:eastAsia="Times New Roman" w:hAnsi="Times New Roman" w:cs="Times New Roman"/>
          <w:color w:val="1F3864"/>
          <w:sz w:val="24"/>
          <w:szCs w:val="24"/>
          <w:lang w:val="en-US"/>
        </w:rPr>
        <w:t>:</w:t>
      </w:r>
    </w:p>
    <w:p w14:paraId="7E9946ED" w14:textId="50CA1DB2" w:rsidR="00AC55AC" w:rsidRDefault="00AC55AC" w:rsidP="00AC55AC">
      <w:pPr>
        <w:pStyle w:val="ListParagraph"/>
        <w:spacing w:after="0" w:line="360" w:lineRule="auto"/>
        <w:ind w:left="2520"/>
        <w:rPr>
          <w:rFonts w:ascii="Times New Roman" w:eastAsia="Times New Roman" w:hAnsi="Times New Roman" w:cs="Times New Roman"/>
          <w:color w:val="1F3864"/>
          <w:sz w:val="24"/>
          <w:szCs w:val="24"/>
          <w:lang w:val="en-US"/>
        </w:rPr>
      </w:pPr>
      <w:r w:rsidRPr="00AC55AC">
        <w:rPr>
          <w:rFonts w:ascii="Times New Roman" w:eastAsia="Times New Roman" w:hAnsi="Times New Roman" w:cs="Times New Roman"/>
          <w:color w:val="1F3864"/>
          <w:sz w:val="24"/>
          <w:szCs w:val="24"/>
          <w:lang w:val="en-US"/>
        </w:rPr>
        <w:t xml:space="preserve">the 10 measures above (Collection Rate, Denial Rate %, Adjustment Rate, etc.), which are the report-layer calculated fields that </w:t>
      </w:r>
      <w:proofErr w:type="gramStart"/>
      <w:r w:rsidRPr="00AC55AC">
        <w:rPr>
          <w:rFonts w:ascii="Times New Roman" w:eastAsia="Times New Roman" w:hAnsi="Times New Roman" w:cs="Times New Roman"/>
          <w:color w:val="1F3864"/>
          <w:sz w:val="24"/>
          <w:szCs w:val="24"/>
          <w:lang w:val="en-US"/>
        </w:rPr>
        <w:t>actually drive</w:t>
      </w:r>
      <w:proofErr w:type="gramEnd"/>
      <w:r w:rsidRPr="00AC55AC">
        <w:rPr>
          <w:rFonts w:ascii="Times New Roman" w:eastAsia="Times New Roman" w:hAnsi="Times New Roman" w:cs="Times New Roman"/>
          <w:color w:val="1F3864"/>
          <w:sz w:val="24"/>
          <w:szCs w:val="24"/>
          <w:lang w:val="en-US"/>
        </w:rPr>
        <w:t xml:space="preserve"> the KPI cards on your dashboard.</w:t>
      </w:r>
    </w:p>
    <w:p w14:paraId="152EE45B" w14:textId="77777777" w:rsidR="007B5128" w:rsidRDefault="00000000" w:rsidP="007B5128">
      <w:pPr>
        <w:numPr>
          <w:ilvl w:val="0"/>
          <w:numId w:val="7"/>
        </w:numPr>
        <w:spacing w:after="0" w:line="360" w:lineRule="auto"/>
        <w:jc w:val="both"/>
        <w:rPr>
          <w:rFonts w:ascii="Times New Roman" w:eastAsia="Times New Roman" w:hAnsi="Times New Roman" w:cs="Times New Roman"/>
          <w:color w:val="1F3864"/>
          <w:sz w:val="24"/>
          <w:szCs w:val="24"/>
          <w:lang w:val="en-US"/>
        </w:rPr>
      </w:pPr>
      <w:r w:rsidRPr="007B5128">
        <w:rPr>
          <w:rFonts w:ascii="Times New Roman" w:eastAsia="Times New Roman" w:hAnsi="Times New Roman" w:cs="Times New Roman"/>
          <w:b/>
          <w:bCs/>
          <w:color w:val="1F3864"/>
          <w:sz w:val="24"/>
          <w:szCs w:val="24"/>
          <w:lang w:val="en-US"/>
        </w:rPr>
        <w:t>Filtering &amp; Sorting:</w:t>
      </w:r>
      <w:r w:rsidRPr="007B5128">
        <w:rPr>
          <w:rFonts w:ascii="Times New Roman" w:eastAsia="Times New Roman" w:hAnsi="Times New Roman" w:cs="Times New Roman"/>
          <w:color w:val="1F3864"/>
          <w:sz w:val="24"/>
          <w:szCs w:val="24"/>
          <w:lang w:val="en-US"/>
        </w:rPr>
        <w:t xml:space="preserve"> </w:t>
      </w:r>
    </w:p>
    <w:p w14:paraId="5C34C59E" w14:textId="14674D9F" w:rsidR="007B5128" w:rsidRDefault="007B5128" w:rsidP="007B5128">
      <w:pPr>
        <w:pStyle w:val="ListParagraph"/>
        <w:numPr>
          <w:ilvl w:val="0"/>
          <w:numId w:val="8"/>
        </w:numPr>
        <w:spacing w:after="0" w:line="360" w:lineRule="auto"/>
        <w:jc w:val="both"/>
        <w:rPr>
          <w:rFonts w:ascii="Times New Roman" w:eastAsia="Times New Roman" w:hAnsi="Times New Roman" w:cs="Times New Roman"/>
          <w:color w:val="1F3864"/>
          <w:sz w:val="24"/>
          <w:szCs w:val="24"/>
          <w:lang w:val="en-US"/>
        </w:rPr>
      </w:pPr>
      <w:r w:rsidRPr="007B5128">
        <w:rPr>
          <w:rFonts w:ascii="Times New Roman" w:eastAsia="Times New Roman" w:hAnsi="Times New Roman" w:cs="Times New Roman"/>
          <w:color w:val="1F3864"/>
          <w:sz w:val="24"/>
          <w:szCs w:val="24"/>
          <w:lang w:val="en-US"/>
        </w:rPr>
        <w:t xml:space="preserve">AR_Aging_Bucket ordered on a custom logical sequence (0-30 → 365+), not alphabetically </w:t>
      </w:r>
      <w:r w:rsidR="002F68EB">
        <w:rPr>
          <w:rFonts w:ascii="Times New Roman" w:eastAsia="Times New Roman" w:hAnsi="Times New Roman" w:cs="Times New Roman"/>
          <w:color w:val="1F3864"/>
          <w:sz w:val="24"/>
          <w:szCs w:val="24"/>
          <w:lang w:val="en-US"/>
        </w:rPr>
        <w:t xml:space="preserve">- </w:t>
      </w:r>
      <w:r w:rsidRPr="007B5128">
        <w:rPr>
          <w:rFonts w:ascii="Times New Roman" w:eastAsia="Times New Roman" w:hAnsi="Times New Roman" w:cs="Times New Roman"/>
          <w:color w:val="1F3864"/>
          <w:sz w:val="24"/>
          <w:szCs w:val="24"/>
          <w:lang w:val="en-US"/>
        </w:rPr>
        <w:t>same logic reused in Power BI as a sort-by-</w:t>
      </w:r>
      <w:proofErr w:type="gramStart"/>
      <w:r w:rsidRPr="007B5128">
        <w:rPr>
          <w:rFonts w:ascii="Times New Roman" w:eastAsia="Times New Roman" w:hAnsi="Times New Roman" w:cs="Times New Roman"/>
          <w:color w:val="1F3864"/>
          <w:sz w:val="24"/>
          <w:szCs w:val="24"/>
          <w:lang w:val="en-US"/>
        </w:rPr>
        <w:t>column</w:t>
      </w:r>
      <w:proofErr w:type="gramEnd"/>
      <w:r w:rsidRPr="007B5128">
        <w:rPr>
          <w:rFonts w:ascii="Times New Roman" w:eastAsia="Times New Roman" w:hAnsi="Times New Roman" w:cs="Times New Roman"/>
          <w:color w:val="1F3864"/>
          <w:sz w:val="24"/>
          <w:szCs w:val="24"/>
          <w:lang w:val="en-US"/>
        </w:rPr>
        <w:t xml:space="preserve"> so the aging axis reads correctly on visuals.</w:t>
      </w:r>
    </w:p>
    <w:p w14:paraId="1F5F3593" w14:textId="77777777" w:rsidR="002F68EB" w:rsidRPr="002F68EB" w:rsidRDefault="002F68EB" w:rsidP="002F68EB">
      <w:pPr>
        <w:pStyle w:val="ListParagraph"/>
        <w:numPr>
          <w:ilvl w:val="0"/>
          <w:numId w:val="8"/>
        </w:numPr>
        <w:spacing w:after="0" w:line="360" w:lineRule="auto"/>
        <w:jc w:val="both"/>
        <w:rPr>
          <w:rFonts w:ascii="Times New Roman" w:eastAsia="Times New Roman" w:hAnsi="Times New Roman" w:cs="Times New Roman"/>
          <w:color w:val="1F3864"/>
          <w:sz w:val="24"/>
          <w:szCs w:val="24"/>
          <w:lang w:val="en-US"/>
        </w:rPr>
      </w:pPr>
      <w:r w:rsidRPr="002F68EB">
        <w:rPr>
          <w:rFonts w:ascii="Times New Roman" w:eastAsia="Times New Roman" w:hAnsi="Times New Roman" w:cs="Times New Roman"/>
          <w:color w:val="1F3864"/>
          <w:sz w:val="24"/>
          <w:szCs w:val="24"/>
          <w:lang w:val="en-US"/>
        </w:rPr>
        <w:t xml:space="preserve">Claims filtered/grouped by Payer_Type and Claim_Status to isolate Denied/Partially Paid records for follow-up. </w:t>
      </w:r>
    </w:p>
    <w:p w14:paraId="6F8E36E1" w14:textId="6DD7DC06" w:rsidR="007B5128" w:rsidRPr="002F68EB" w:rsidRDefault="002F68EB" w:rsidP="007B5128">
      <w:pPr>
        <w:pStyle w:val="ListParagraph"/>
        <w:numPr>
          <w:ilvl w:val="0"/>
          <w:numId w:val="8"/>
        </w:numPr>
        <w:spacing w:after="0" w:line="360" w:lineRule="auto"/>
        <w:jc w:val="both"/>
        <w:rPr>
          <w:rFonts w:ascii="Times New Roman" w:eastAsia="Times New Roman" w:hAnsi="Times New Roman" w:cs="Times New Roman"/>
          <w:color w:val="1F3864"/>
          <w:sz w:val="24"/>
          <w:szCs w:val="24"/>
          <w:lang w:val="en-US"/>
        </w:rPr>
      </w:pPr>
      <w:r w:rsidRPr="002F68EB">
        <w:rPr>
          <w:rFonts w:ascii="Times New Roman" w:eastAsia="Times New Roman" w:hAnsi="Times New Roman" w:cs="Times New Roman"/>
          <w:color w:val="1F3864"/>
          <w:sz w:val="24"/>
          <w:szCs w:val="24"/>
          <w:lang w:val="en-US"/>
        </w:rPr>
        <w:t>Dashboard-side filtering is handled live via the Region slicer and Month/Quarter/Year date slicer on Page 1, letting a viewer re-sort/re-filter the same cleaned data interactively instead of relying on static Excel sorts.</w:t>
      </w:r>
      <w:r w:rsidR="007B5128" w:rsidRPr="002F68EB">
        <w:rPr>
          <w:rFonts w:ascii="Times New Roman" w:eastAsia="Times New Roman" w:hAnsi="Times New Roman" w:cs="Times New Roman"/>
          <w:color w:val="1F3864"/>
          <w:sz w:val="24"/>
          <w:szCs w:val="24"/>
          <w:lang w:val="en-US"/>
        </w:rPr>
        <w:t xml:space="preserve"> </w:t>
      </w:r>
    </w:p>
    <w:p w14:paraId="3235AE83" w14:textId="4A9F123C" w:rsidR="00075CB1" w:rsidRDefault="00000000">
      <w:pPr>
        <w:numPr>
          <w:ilvl w:val="0"/>
          <w:numId w:val="7"/>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b/>
          <w:bCs/>
          <w:color w:val="1F3864"/>
          <w:sz w:val="24"/>
          <w:szCs w:val="24"/>
          <w:lang w:val="en-US"/>
        </w:rPr>
        <w:t>Pivot Tables:</w:t>
      </w:r>
      <w:r w:rsidRPr="0065561E">
        <w:rPr>
          <w:rFonts w:ascii="Times New Roman" w:eastAsia="Times New Roman" w:hAnsi="Times New Roman" w:cs="Times New Roman"/>
          <w:color w:val="1F3864"/>
          <w:sz w:val="24"/>
          <w:szCs w:val="24"/>
          <w:lang w:val="en-US"/>
        </w:rPr>
        <w:t xml:space="preserve"> Generated Pivot Tables for data </w:t>
      </w:r>
      <w:r w:rsidR="004172FE" w:rsidRPr="0065561E">
        <w:rPr>
          <w:rFonts w:ascii="Times New Roman" w:eastAsia="Times New Roman" w:hAnsi="Times New Roman" w:cs="Times New Roman"/>
          <w:color w:val="1F3864"/>
          <w:sz w:val="24"/>
          <w:szCs w:val="24"/>
          <w:lang w:val="en-US"/>
        </w:rPr>
        <w:t>summarization</w:t>
      </w:r>
      <w:r w:rsidRPr="0065561E">
        <w:rPr>
          <w:rFonts w:ascii="Times New Roman" w:eastAsia="Times New Roman" w:hAnsi="Times New Roman" w:cs="Times New Roman"/>
          <w:color w:val="1F3864"/>
          <w:sz w:val="24"/>
          <w:szCs w:val="24"/>
          <w:lang w:val="en-US"/>
        </w:rPr>
        <w:t xml:space="preserve"> and initial insights.</w:t>
      </w:r>
    </w:p>
    <w:p w14:paraId="4AC056CD" w14:textId="0A170CF7" w:rsidR="004172FE" w:rsidRDefault="004172FE" w:rsidP="004172FE">
      <w:pPr>
        <w:pStyle w:val="ListParagraph"/>
        <w:numPr>
          <w:ilvl w:val="1"/>
          <w:numId w:val="7"/>
        </w:numPr>
        <w:spacing w:after="0" w:line="360" w:lineRule="auto"/>
        <w:jc w:val="both"/>
        <w:rPr>
          <w:rFonts w:ascii="Times New Roman" w:eastAsia="Times New Roman" w:hAnsi="Times New Roman" w:cs="Times New Roman"/>
          <w:color w:val="1F3864"/>
          <w:sz w:val="24"/>
          <w:szCs w:val="24"/>
          <w:lang w:val="en-US"/>
        </w:rPr>
      </w:pPr>
      <w:r w:rsidRPr="004172FE">
        <w:rPr>
          <w:rFonts w:ascii="Times New Roman" w:eastAsia="Times New Roman" w:hAnsi="Times New Roman" w:cs="Times New Roman"/>
          <w:color w:val="1F3864"/>
          <w:sz w:val="24"/>
          <w:szCs w:val="24"/>
          <w:lang w:val="en-US"/>
        </w:rPr>
        <w:t>Python pivot: Payer_Type × AR_Aging_Bucket (sum of Outstanding_Amount) and Payer_Type × Claim_Status — your "initial insight" layer</w:t>
      </w:r>
    </w:p>
    <w:p w14:paraId="1AB932FA" w14:textId="2778E477" w:rsidR="004172FE" w:rsidRPr="004172FE" w:rsidRDefault="004172FE" w:rsidP="004172FE">
      <w:pPr>
        <w:pStyle w:val="ListParagraph"/>
        <w:numPr>
          <w:ilvl w:val="1"/>
          <w:numId w:val="7"/>
        </w:numPr>
        <w:spacing w:after="0" w:line="360" w:lineRule="auto"/>
        <w:jc w:val="both"/>
        <w:rPr>
          <w:rFonts w:ascii="Times New Roman" w:eastAsia="Times New Roman" w:hAnsi="Times New Roman" w:cs="Times New Roman"/>
          <w:color w:val="1F3864"/>
          <w:sz w:val="24"/>
          <w:szCs w:val="24"/>
          <w:lang w:val="en-US"/>
        </w:rPr>
      </w:pPr>
      <w:r w:rsidRPr="004172FE">
        <w:rPr>
          <w:rFonts w:ascii="Times New Roman" w:eastAsia="Times New Roman" w:hAnsi="Times New Roman" w:cs="Times New Roman"/>
          <w:color w:val="1F3864"/>
          <w:sz w:val="24"/>
          <w:szCs w:val="24"/>
          <w:lang w:val="en-US"/>
        </w:rPr>
        <w:t>These pivots map directly onto dashboard visuals: the column chart (Billed/Paid/Outstanding by Payer_Name) and pie/bar charts on the AR Aging &amp; Denial page are essentially live, interactive versions of those same pivot summaries.</w:t>
      </w:r>
    </w:p>
    <w:p w14:paraId="5074AC42" w14:textId="77777777" w:rsidR="00075CB1" w:rsidRDefault="00000000">
      <w:pPr>
        <w:numPr>
          <w:ilvl w:val="0"/>
          <w:numId w:val="7"/>
        </w:numPr>
        <w:spacing w:after="0" w:line="360" w:lineRule="auto"/>
        <w:jc w:val="both"/>
        <w:rPr>
          <w:rFonts w:ascii="Times New Roman" w:eastAsia="Times New Roman" w:hAnsi="Times New Roman" w:cs="Times New Roman"/>
          <w:color w:val="1F3864"/>
          <w:sz w:val="24"/>
          <w:szCs w:val="24"/>
          <w:lang w:val="en-US"/>
        </w:rPr>
      </w:pPr>
      <w:r w:rsidRPr="0065561E">
        <w:rPr>
          <w:rFonts w:ascii="Times New Roman" w:eastAsia="Times New Roman" w:hAnsi="Times New Roman" w:cs="Times New Roman"/>
          <w:color w:val="1F3864"/>
          <w:sz w:val="24"/>
          <w:szCs w:val="24"/>
          <w:lang w:val="en-US"/>
        </w:rPr>
        <w:t>Convert the data into Fact and Dimension</w:t>
      </w:r>
      <w:r w:rsidRPr="004172FE">
        <w:rPr>
          <w:rFonts w:ascii="Times New Roman" w:eastAsia="Times New Roman" w:hAnsi="Times New Roman" w:cs="Times New Roman"/>
          <w:color w:val="1F3864"/>
          <w:sz w:val="24"/>
          <w:szCs w:val="24"/>
          <w:lang w:val="en-US"/>
        </w:rPr>
        <w:t xml:space="preserve"> </w:t>
      </w:r>
      <w:r w:rsidRPr="0065561E">
        <w:rPr>
          <w:rFonts w:ascii="Times New Roman" w:eastAsia="Times New Roman" w:hAnsi="Times New Roman" w:cs="Times New Roman"/>
          <w:color w:val="1F3864"/>
          <w:sz w:val="24"/>
          <w:szCs w:val="24"/>
          <w:lang w:val="en-US"/>
        </w:rPr>
        <w:t>Table</w:t>
      </w:r>
      <w:r w:rsidRPr="004172FE">
        <w:rPr>
          <w:rFonts w:ascii="Times New Roman" w:eastAsia="Times New Roman" w:hAnsi="Times New Roman" w:cs="Times New Roman"/>
          <w:color w:val="1F3864"/>
          <w:sz w:val="24"/>
          <w:szCs w:val="24"/>
          <w:lang w:val="en-US"/>
        </w:rPr>
        <w:t xml:space="preserve"> (If Possible) </w:t>
      </w:r>
    </w:p>
    <w:p w14:paraId="5AB693C0" w14:textId="177AD196" w:rsidR="00144A13" w:rsidRDefault="00144A13" w:rsidP="00144A13">
      <w:pPr>
        <w:pStyle w:val="ListParagraph"/>
        <w:numPr>
          <w:ilvl w:val="0"/>
          <w:numId w:val="14"/>
        </w:numPr>
        <w:spacing w:after="0" w:line="240" w:lineRule="auto"/>
        <w:jc w:val="both"/>
        <w:rPr>
          <w:rFonts w:ascii="Times New Roman" w:eastAsia="Times New Roman" w:hAnsi="Times New Roman" w:cs="Times New Roman"/>
          <w:color w:val="1F3864"/>
          <w:sz w:val="24"/>
          <w:szCs w:val="24"/>
          <w:lang w:val="en-US"/>
        </w:rPr>
      </w:pPr>
      <w:r w:rsidRPr="00144A13">
        <w:rPr>
          <w:rFonts w:ascii="Times New Roman" w:eastAsia="Times New Roman" w:hAnsi="Times New Roman" w:cs="Times New Roman"/>
          <w:color w:val="1F3864"/>
          <w:sz w:val="24"/>
          <w:szCs w:val="24"/>
          <w:lang w:val="en-US"/>
        </w:rPr>
        <w:t xml:space="preserve">The cleaned dataset (`Cleaned_Dataset_-_Updated.csv`, 55,390 rows) was normalized into a star schema — 1 fact table and </w:t>
      </w:r>
      <w:r w:rsidRPr="00144A13">
        <w:rPr>
          <w:rFonts w:ascii="Times New Roman" w:eastAsia="Times New Roman" w:hAnsi="Times New Roman" w:cs="Times New Roman"/>
          <w:color w:val="1F3864"/>
          <w:sz w:val="24"/>
          <w:szCs w:val="24"/>
          <w:lang w:val="en-US"/>
        </w:rPr>
        <w:t>8-dimension</w:t>
      </w:r>
      <w:r w:rsidRPr="00144A13">
        <w:rPr>
          <w:rFonts w:ascii="Times New Roman" w:eastAsia="Times New Roman" w:hAnsi="Times New Roman" w:cs="Times New Roman"/>
          <w:color w:val="1F3864"/>
          <w:sz w:val="24"/>
          <w:szCs w:val="24"/>
          <w:lang w:val="en-US"/>
        </w:rPr>
        <w:t xml:space="preserve"> tables — to support efficient relational modeling in Power BI.</w:t>
      </w:r>
    </w:p>
    <w:tbl>
      <w:tblPr>
        <w:tblpPr w:leftFromText="180" w:rightFromText="180" w:vertAnchor="text" w:horzAnchor="margin" w:tblpXSpec="right" w:tblpY="312"/>
        <w:tblW w:w="8266" w:type="dxa"/>
        <w:tblLook w:val="04A0" w:firstRow="1" w:lastRow="0" w:firstColumn="1" w:lastColumn="0" w:noHBand="0" w:noVBand="1"/>
      </w:tblPr>
      <w:tblGrid>
        <w:gridCol w:w="1733"/>
        <w:gridCol w:w="6533"/>
      </w:tblGrid>
      <w:tr w:rsidR="001F0819" w:rsidRPr="00144A13" w14:paraId="3E5AAE24" w14:textId="77777777" w:rsidTr="001F0819">
        <w:trPr>
          <w:trHeight w:val="268"/>
        </w:trPr>
        <w:tc>
          <w:tcPr>
            <w:tcW w:w="1733" w:type="dxa"/>
            <w:tcBorders>
              <w:top w:val="single" w:sz="4" w:space="0" w:color="auto"/>
              <w:left w:val="single" w:sz="4" w:space="0" w:color="auto"/>
              <w:bottom w:val="single" w:sz="4" w:space="0" w:color="auto"/>
              <w:right w:val="single" w:sz="4" w:space="0" w:color="auto"/>
            </w:tcBorders>
            <w:vAlign w:val="center"/>
            <w:hideMark/>
          </w:tcPr>
          <w:p w14:paraId="62DC2681" w14:textId="5ECC9052" w:rsidR="001F0819" w:rsidRPr="001F0819" w:rsidRDefault="001F0819" w:rsidP="001F0819">
            <w:pPr>
              <w:spacing w:after="0" w:line="360" w:lineRule="auto"/>
              <w:jc w:val="center"/>
              <w:rPr>
                <w:rFonts w:ascii="Times New Roman" w:eastAsia="Times New Roman" w:hAnsi="Times New Roman" w:cs="Times New Roman"/>
                <w:b/>
                <w:bCs/>
                <w:color w:val="1F3864"/>
                <w:lang w:val="en-US"/>
              </w:rPr>
            </w:pPr>
            <w:r w:rsidRPr="001F0819">
              <w:rPr>
                <w:rFonts w:ascii="Times New Roman" w:eastAsia="Times New Roman" w:hAnsi="Times New Roman" w:cs="Times New Roman"/>
                <w:b/>
                <w:bCs/>
                <w:color w:val="1F3864"/>
                <w:lang w:val="en-US"/>
              </w:rPr>
              <w:t xml:space="preserve">Table </w:t>
            </w:r>
          </w:p>
        </w:tc>
        <w:tc>
          <w:tcPr>
            <w:tcW w:w="6533" w:type="dxa"/>
            <w:tcBorders>
              <w:top w:val="single" w:sz="4" w:space="0" w:color="auto"/>
              <w:left w:val="nil"/>
              <w:bottom w:val="single" w:sz="4" w:space="0" w:color="auto"/>
              <w:right w:val="single" w:sz="4" w:space="0" w:color="auto"/>
            </w:tcBorders>
            <w:vAlign w:val="center"/>
            <w:hideMark/>
          </w:tcPr>
          <w:p w14:paraId="32BE01E0" w14:textId="77777777" w:rsidR="001F0819" w:rsidRPr="001F0819" w:rsidRDefault="001F0819" w:rsidP="001F0819">
            <w:pPr>
              <w:spacing w:after="0" w:line="360" w:lineRule="auto"/>
              <w:jc w:val="center"/>
              <w:rPr>
                <w:rFonts w:ascii="Times New Roman" w:eastAsia="Times New Roman" w:hAnsi="Times New Roman" w:cs="Times New Roman"/>
                <w:b/>
                <w:bCs/>
                <w:color w:val="1F3864"/>
                <w:lang w:val="en-US"/>
              </w:rPr>
            </w:pPr>
            <w:r w:rsidRPr="001F0819">
              <w:rPr>
                <w:rFonts w:ascii="Times New Roman" w:eastAsia="Times New Roman" w:hAnsi="Times New Roman" w:cs="Times New Roman"/>
                <w:b/>
                <w:bCs/>
                <w:color w:val="1F3864"/>
                <w:lang w:val="en-US"/>
              </w:rPr>
              <w:t xml:space="preserve"> Description </w:t>
            </w:r>
          </w:p>
        </w:tc>
      </w:tr>
      <w:tr w:rsidR="001F0819" w:rsidRPr="00144A13" w14:paraId="17F6161D" w14:textId="77777777" w:rsidTr="001F0819">
        <w:trPr>
          <w:trHeight w:val="806"/>
        </w:trPr>
        <w:tc>
          <w:tcPr>
            <w:tcW w:w="1733" w:type="dxa"/>
            <w:tcBorders>
              <w:top w:val="nil"/>
              <w:left w:val="single" w:sz="4" w:space="0" w:color="auto"/>
              <w:bottom w:val="single" w:sz="4" w:space="0" w:color="auto"/>
              <w:right w:val="single" w:sz="4" w:space="0" w:color="auto"/>
            </w:tcBorders>
            <w:vAlign w:val="center"/>
            <w:hideMark/>
          </w:tcPr>
          <w:p w14:paraId="37D764A9"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Fact_Claims </w:t>
            </w:r>
          </w:p>
        </w:tc>
        <w:tc>
          <w:tcPr>
            <w:tcW w:w="6533" w:type="dxa"/>
            <w:tcBorders>
              <w:top w:val="nil"/>
              <w:left w:val="nil"/>
              <w:bottom w:val="single" w:sz="4" w:space="0" w:color="auto"/>
              <w:right w:val="single" w:sz="4" w:space="0" w:color="auto"/>
            </w:tcBorders>
            <w:vAlign w:val="center"/>
            <w:hideMark/>
          </w:tcPr>
          <w:p w14:paraId="5D3D691B"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Core transactional table — one row per claim, holding all FK references and financial measures (Billed, Paid, Outstanding, Denial amounts, Days_Outstanding) </w:t>
            </w:r>
          </w:p>
        </w:tc>
      </w:tr>
      <w:tr w:rsidR="001F0819" w:rsidRPr="00144A13" w14:paraId="0DBB0FDE"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56BB2030"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Dim_Patient </w:t>
            </w:r>
          </w:p>
        </w:tc>
        <w:tc>
          <w:tcPr>
            <w:tcW w:w="6533" w:type="dxa"/>
            <w:tcBorders>
              <w:top w:val="nil"/>
              <w:left w:val="nil"/>
              <w:bottom w:val="single" w:sz="4" w:space="0" w:color="auto"/>
              <w:right w:val="single" w:sz="4" w:space="0" w:color="auto"/>
            </w:tcBorders>
            <w:vAlign w:val="center"/>
            <w:hideMark/>
          </w:tcPr>
          <w:p w14:paraId="63CEC07B"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Patient demographics (Name, Age, Gender, Medical Condition) </w:t>
            </w:r>
          </w:p>
        </w:tc>
      </w:tr>
      <w:tr w:rsidR="001F0819" w:rsidRPr="00144A13" w14:paraId="4B25CA17"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5C5C81AD"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Dim_Provider </w:t>
            </w:r>
          </w:p>
        </w:tc>
        <w:tc>
          <w:tcPr>
            <w:tcW w:w="6533" w:type="dxa"/>
            <w:tcBorders>
              <w:top w:val="nil"/>
              <w:left w:val="nil"/>
              <w:bottom w:val="single" w:sz="4" w:space="0" w:color="auto"/>
              <w:right w:val="single" w:sz="4" w:space="0" w:color="auto"/>
            </w:tcBorders>
            <w:vAlign w:val="center"/>
            <w:hideMark/>
          </w:tcPr>
          <w:p w14:paraId="63E7B55E"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Provider ID and name </w:t>
            </w:r>
          </w:p>
        </w:tc>
      </w:tr>
      <w:tr w:rsidR="001F0819" w:rsidRPr="00144A13" w14:paraId="4D934C78"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03C6A043"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Dim_Facility </w:t>
            </w:r>
          </w:p>
        </w:tc>
        <w:tc>
          <w:tcPr>
            <w:tcW w:w="6533" w:type="dxa"/>
            <w:tcBorders>
              <w:top w:val="nil"/>
              <w:left w:val="nil"/>
              <w:bottom w:val="single" w:sz="4" w:space="0" w:color="auto"/>
              <w:right w:val="single" w:sz="4" w:space="0" w:color="auto"/>
            </w:tcBorders>
            <w:vAlign w:val="center"/>
            <w:hideMark/>
          </w:tcPr>
          <w:p w14:paraId="75FEDDE3"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Facility name, State, Region </w:t>
            </w:r>
          </w:p>
        </w:tc>
      </w:tr>
      <w:tr w:rsidR="001F0819" w:rsidRPr="00144A13" w14:paraId="302DBE96"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26E96CF0"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Dim_Payer </w:t>
            </w:r>
          </w:p>
        </w:tc>
        <w:tc>
          <w:tcPr>
            <w:tcW w:w="6533" w:type="dxa"/>
            <w:tcBorders>
              <w:top w:val="nil"/>
              <w:left w:val="nil"/>
              <w:bottom w:val="single" w:sz="4" w:space="0" w:color="auto"/>
              <w:right w:val="single" w:sz="4" w:space="0" w:color="auto"/>
            </w:tcBorders>
            <w:vAlign w:val="center"/>
            <w:hideMark/>
          </w:tcPr>
          <w:p w14:paraId="640508C1"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Payer name and type (Commercial/Government) </w:t>
            </w:r>
          </w:p>
        </w:tc>
      </w:tr>
      <w:tr w:rsidR="001F0819" w:rsidRPr="00144A13" w14:paraId="2341CE62"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65F55E9A"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Dim_Procedure </w:t>
            </w:r>
          </w:p>
        </w:tc>
        <w:tc>
          <w:tcPr>
            <w:tcW w:w="6533" w:type="dxa"/>
            <w:tcBorders>
              <w:top w:val="nil"/>
              <w:left w:val="nil"/>
              <w:bottom w:val="single" w:sz="4" w:space="0" w:color="auto"/>
              <w:right w:val="single" w:sz="4" w:space="0" w:color="auto"/>
            </w:tcBorders>
            <w:vAlign w:val="center"/>
            <w:hideMark/>
          </w:tcPr>
          <w:p w14:paraId="113B192F"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CPT/HCPCS code and procedure description </w:t>
            </w:r>
          </w:p>
        </w:tc>
      </w:tr>
      <w:tr w:rsidR="001F0819" w:rsidRPr="00144A13" w14:paraId="0961E75E"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2E9742D2"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Dim_Denial </w:t>
            </w:r>
          </w:p>
        </w:tc>
        <w:tc>
          <w:tcPr>
            <w:tcW w:w="6533" w:type="dxa"/>
            <w:tcBorders>
              <w:top w:val="nil"/>
              <w:left w:val="nil"/>
              <w:bottom w:val="single" w:sz="4" w:space="0" w:color="auto"/>
              <w:right w:val="single" w:sz="4" w:space="0" w:color="auto"/>
            </w:tcBorders>
            <w:vAlign w:val="center"/>
            <w:hideMark/>
          </w:tcPr>
          <w:p w14:paraId="7BEB351F"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Denial code, reason, category </w:t>
            </w:r>
          </w:p>
        </w:tc>
      </w:tr>
      <w:tr w:rsidR="001F0819" w:rsidRPr="00144A13" w14:paraId="1F12E040" w14:textId="77777777" w:rsidTr="001F0819">
        <w:trPr>
          <w:trHeight w:val="268"/>
        </w:trPr>
        <w:tc>
          <w:tcPr>
            <w:tcW w:w="1733" w:type="dxa"/>
            <w:tcBorders>
              <w:top w:val="nil"/>
              <w:left w:val="single" w:sz="4" w:space="0" w:color="auto"/>
              <w:bottom w:val="single" w:sz="4" w:space="0" w:color="auto"/>
              <w:right w:val="single" w:sz="4" w:space="0" w:color="auto"/>
            </w:tcBorders>
            <w:vAlign w:val="center"/>
            <w:hideMark/>
          </w:tcPr>
          <w:p w14:paraId="0BF5B36E"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Dim_Staff </w:t>
            </w:r>
          </w:p>
        </w:tc>
        <w:tc>
          <w:tcPr>
            <w:tcW w:w="6533" w:type="dxa"/>
            <w:tcBorders>
              <w:top w:val="nil"/>
              <w:left w:val="nil"/>
              <w:bottom w:val="single" w:sz="4" w:space="0" w:color="auto"/>
              <w:right w:val="single" w:sz="4" w:space="0" w:color="auto"/>
            </w:tcBorders>
            <w:vAlign w:val="center"/>
            <w:hideMark/>
          </w:tcPr>
          <w:p w14:paraId="6BF131DD"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AR reps / posting reps (normalized from two naming formats) </w:t>
            </w:r>
          </w:p>
        </w:tc>
      </w:tr>
      <w:tr w:rsidR="001F0819" w:rsidRPr="00144A13" w14:paraId="2D1BE885" w14:textId="77777777" w:rsidTr="001F0819">
        <w:trPr>
          <w:trHeight w:val="537"/>
        </w:trPr>
        <w:tc>
          <w:tcPr>
            <w:tcW w:w="1733" w:type="dxa"/>
            <w:tcBorders>
              <w:top w:val="nil"/>
              <w:left w:val="single" w:sz="4" w:space="0" w:color="auto"/>
              <w:bottom w:val="single" w:sz="4" w:space="0" w:color="auto"/>
              <w:right w:val="single" w:sz="4" w:space="0" w:color="auto"/>
            </w:tcBorders>
            <w:vAlign w:val="center"/>
            <w:hideMark/>
          </w:tcPr>
          <w:p w14:paraId="3231BF8F"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Dim_Date </w:t>
            </w:r>
          </w:p>
        </w:tc>
        <w:tc>
          <w:tcPr>
            <w:tcW w:w="6533" w:type="dxa"/>
            <w:tcBorders>
              <w:top w:val="nil"/>
              <w:left w:val="nil"/>
              <w:bottom w:val="single" w:sz="4" w:space="0" w:color="auto"/>
              <w:right w:val="single" w:sz="4" w:space="0" w:color="auto"/>
            </w:tcBorders>
            <w:vAlign w:val="center"/>
            <w:hideMark/>
          </w:tcPr>
          <w:p w14:paraId="398E8F4A" w14:textId="77777777" w:rsidR="001F0819" w:rsidRPr="001F0819" w:rsidRDefault="001F0819" w:rsidP="001F0819">
            <w:pPr>
              <w:spacing w:after="0" w:line="360" w:lineRule="auto"/>
              <w:rPr>
                <w:rFonts w:ascii="Times New Roman" w:eastAsia="Times New Roman" w:hAnsi="Times New Roman" w:cs="Times New Roman"/>
                <w:color w:val="1F3864"/>
                <w:lang w:val="en-US"/>
              </w:rPr>
            </w:pPr>
            <w:r w:rsidRPr="001F0819">
              <w:rPr>
                <w:rFonts w:ascii="Times New Roman" w:eastAsia="Times New Roman" w:hAnsi="Times New Roman" w:cs="Times New Roman"/>
                <w:color w:val="1F3864"/>
                <w:lang w:val="en-US"/>
              </w:rPr>
              <w:t xml:space="preserve"> Role-playing date dimensions used across Admission, Discharge, Submission, Posting, and Follow-up dates </w:t>
            </w:r>
          </w:p>
        </w:tc>
      </w:tr>
    </w:tbl>
    <w:p w14:paraId="3BDC950A" w14:textId="53E0808D" w:rsidR="00144A13" w:rsidRDefault="00144A13">
      <w:pPr>
        <w:spacing w:after="0" w:line="360" w:lineRule="auto"/>
        <w:jc w:val="both"/>
        <w:rPr>
          <w:lang w:val="en-US"/>
        </w:rPr>
      </w:pPr>
    </w:p>
    <w:p w14:paraId="1287B1A0" w14:textId="77777777" w:rsidR="00144A13" w:rsidRDefault="00144A13">
      <w:pPr>
        <w:spacing w:after="0" w:line="360" w:lineRule="auto"/>
        <w:jc w:val="both"/>
        <w:rPr>
          <w:lang w:val="en-US"/>
        </w:rPr>
      </w:pPr>
      <w:r>
        <w:rPr>
          <w:lang w:val="en-US"/>
        </w:rPr>
        <w:t xml:space="preserve">                  </w:t>
      </w:r>
    </w:p>
    <w:p w14:paraId="445A4BCC" w14:textId="11E8295E" w:rsidR="00144A13" w:rsidRDefault="00144A13">
      <w:pPr>
        <w:spacing w:after="0" w:line="360" w:lineRule="auto"/>
        <w:jc w:val="both"/>
        <w:rPr>
          <w:lang w:val="en-US"/>
        </w:rPr>
      </w:pPr>
    </w:p>
    <w:p w14:paraId="2701438F" w14:textId="3765FDF6" w:rsidR="00075CB1" w:rsidRPr="0065561E" w:rsidRDefault="00075CB1">
      <w:pPr>
        <w:spacing w:after="0" w:line="360" w:lineRule="auto"/>
        <w:jc w:val="both"/>
        <w:rPr>
          <w:rFonts w:ascii="Times New Roman" w:eastAsia="Times New Roman" w:hAnsi="Times New Roman" w:cs="Times New Roman"/>
          <w:sz w:val="24"/>
          <w:szCs w:val="24"/>
          <w:lang w:val="en-US"/>
        </w:rPr>
      </w:pPr>
    </w:p>
    <w:p w14:paraId="2E1613DC"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6B3A5BAC"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6193B5DC"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7EAB1AC6"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796AA9B4"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0EE9C403"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68C0EA5F"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410F2593"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0356FAF3"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20206853" w14:textId="77777777" w:rsidR="00BD18CB" w:rsidRDefault="00BD18CB">
      <w:pPr>
        <w:spacing w:after="0" w:line="360" w:lineRule="auto"/>
        <w:jc w:val="both"/>
        <w:rPr>
          <w:rFonts w:ascii="Times New Roman" w:eastAsia="Times New Roman" w:hAnsi="Times New Roman" w:cs="Times New Roman"/>
          <w:b/>
          <w:bCs/>
          <w:color w:val="3333CC"/>
          <w:sz w:val="24"/>
          <w:szCs w:val="24"/>
          <w:lang w:val="en-US"/>
        </w:rPr>
      </w:pPr>
    </w:p>
    <w:p w14:paraId="768987C8" w14:textId="200497A5" w:rsidR="00075CB1"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 xml:space="preserve">7. </w:t>
      </w:r>
      <w:r w:rsidR="007378F3" w:rsidRPr="007378F3">
        <w:rPr>
          <w:rFonts w:ascii="Times New Roman" w:eastAsia="Times New Roman" w:hAnsi="Times New Roman" w:cs="Times New Roman"/>
          <w:b/>
          <w:bCs/>
          <w:color w:val="3333CC"/>
          <w:sz w:val="24"/>
          <w:szCs w:val="24"/>
        </w:rPr>
        <w:t>Data Visualization &amp; Chart Interpretation (Power BI Dashboard)</w:t>
      </w:r>
      <w:r w:rsidR="007378F3">
        <w:rPr>
          <w:rFonts w:ascii="Times New Roman" w:eastAsia="Times New Roman" w:hAnsi="Times New Roman" w:cs="Times New Roman"/>
          <w:b/>
          <w:bCs/>
          <w:color w:val="3333CC"/>
          <w:sz w:val="24"/>
          <w:szCs w:val="24"/>
          <w:lang w:val="en-US"/>
        </w:rPr>
        <w:t>:</w:t>
      </w:r>
    </w:p>
    <w:p w14:paraId="3DC715C9" w14:textId="77777777" w:rsidR="00BD18CB" w:rsidRPr="0065561E" w:rsidRDefault="00BD18CB">
      <w:pPr>
        <w:spacing w:after="0" w:line="360" w:lineRule="auto"/>
        <w:jc w:val="both"/>
        <w:rPr>
          <w:rFonts w:ascii="Times New Roman" w:eastAsia="Times New Roman" w:hAnsi="Times New Roman" w:cs="Times New Roman"/>
          <w:b/>
          <w:bCs/>
          <w:color w:val="3333CC"/>
          <w:sz w:val="24"/>
          <w:szCs w:val="24"/>
          <w:lang w:val="en-US"/>
        </w:rPr>
      </w:pPr>
    </w:p>
    <w:p w14:paraId="0EE7D72C" w14:textId="6AFEA1D5" w:rsidR="00075CB1" w:rsidRPr="00BD18CB" w:rsidRDefault="00FB7269">
      <w:pPr>
        <w:numPr>
          <w:ilvl w:val="0"/>
          <w:numId w:val="1"/>
        </w:numPr>
        <w:spacing w:after="0" w:line="360" w:lineRule="auto"/>
        <w:jc w:val="both"/>
        <w:rPr>
          <w:rFonts w:ascii="Times New Roman" w:eastAsia="Times New Roman" w:hAnsi="Times New Roman" w:cs="Times New Roman"/>
          <w:color w:val="1F3864"/>
          <w:sz w:val="24"/>
          <w:szCs w:val="24"/>
          <w:u w:val="single"/>
          <w:lang w:val="en-US"/>
        </w:rPr>
      </w:pPr>
      <w:r w:rsidRPr="00FB7269">
        <w:rPr>
          <w:rFonts w:ascii="Times New Roman" w:eastAsia="Times New Roman" w:hAnsi="Times New Roman" w:cs="Times New Roman"/>
          <w:color w:val="1F3864"/>
          <w:sz w:val="24"/>
          <w:szCs w:val="24"/>
          <w:u w:val="single"/>
        </w:rPr>
        <w:t>Univariate Analysis – Claim Status Distribution (Donut Chart)</w:t>
      </w:r>
      <w:r w:rsidRPr="00FB7269">
        <w:rPr>
          <w:rFonts w:ascii="Times New Roman" w:eastAsia="Times New Roman" w:hAnsi="Times New Roman" w:cs="Times New Roman"/>
          <w:color w:val="1F3864"/>
          <w:sz w:val="24"/>
          <w:szCs w:val="24"/>
          <w:u w:val="single"/>
        </w:rPr>
        <w:t>:</w:t>
      </w:r>
    </w:p>
    <w:p w14:paraId="7E6DC0FE" w14:textId="77777777" w:rsidR="00BD18CB" w:rsidRPr="00FB7269" w:rsidRDefault="00BD18CB" w:rsidP="00BD18CB">
      <w:pPr>
        <w:spacing w:after="0" w:line="360" w:lineRule="auto"/>
        <w:ind w:left="720"/>
        <w:jc w:val="both"/>
        <w:rPr>
          <w:rFonts w:ascii="Times New Roman" w:eastAsia="Times New Roman" w:hAnsi="Times New Roman" w:cs="Times New Roman"/>
          <w:color w:val="1F3864"/>
          <w:sz w:val="24"/>
          <w:szCs w:val="24"/>
          <w:u w:val="single"/>
          <w:lang w:val="en-US"/>
        </w:rPr>
      </w:pPr>
    </w:p>
    <w:p w14:paraId="416821BD" w14:textId="5EF1AE77" w:rsidR="00FB7269" w:rsidRDefault="00FB7269" w:rsidP="00FB7269">
      <w:pPr>
        <w:spacing w:after="0" w:line="360" w:lineRule="auto"/>
        <w:ind w:left="720"/>
        <w:jc w:val="both"/>
        <w:rPr>
          <w:rFonts w:ascii="Times New Roman" w:eastAsia="Times New Roman" w:hAnsi="Times New Roman" w:cs="Times New Roman"/>
          <w:color w:val="1F3864"/>
          <w:sz w:val="24"/>
          <w:szCs w:val="24"/>
        </w:rPr>
      </w:pPr>
      <w:r w:rsidRPr="00FB7269">
        <w:rPr>
          <w:rFonts w:ascii="Times New Roman" w:eastAsia="Times New Roman" w:hAnsi="Times New Roman" w:cs="Times New Roman"/>
          <w:color w:val="1F3864"/>
          <w:sz w:val="24"/>
          <w:szCs w:val="24"/>
        </w:rPr>
        <w:drawing>
          <wp:inline distT="0" distB="0" distL="0" distR="0" wp14:anchorId="78BEFF24" wp14:editId="524F0834">
            <wp:extent cx="2834886" cy="1836579"/>
            <wp:effectExtent l="0" t="0" r="3810" b="0"/>
            <wp:docPr id="139526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64690" name=""/>
                    <pic:cNvPicPr/>
                  </pic:nvPicPr>
                  <pic:blipFill>
                    <a:blip r:embed="rId7"/>
                    <a:stretch>
                      <a:fillRect/>
                    </a:stretch>
                  </pic:blipFill>
                  <pic:spPr>
                    <a:xfrm>
                      <a:off x="0" y="0"/>
                      <a:ext cx="2834886" cy="1836579"/>
                    </a:xfrm>
                    <a:prstGeom prst="rect">
                      <a:avLst/>
                    </a:prstGeom>
                  </pic:spPr>
                </pic:pic>
              </a:graphicData>
            </a:graphic>
          </wp:inline>
        </w:drawing>
      </w:r>
    </w:p>
    <w:p w14:paraId="1973C70A" w14:textId="77777777" w:rsidR="00BD18CB" w:rsidRDefault="00BD18CB" w:rsidP="00FB7269">
      <w:pPr>
        <w:spacing w:after="0" w:line="360" w:lineRule="auto"/>
        <w:ind w:left="720"/>
        <w:rPr>
          <w:rFonts w:ascii="Times New Roman" w:eastAsia="Times New Roman" w:hAnsi="Times New Roman" w:cs="Times New Roman"/>
          <w:b/>
          <w:bCs/>
          <w:color w:val="1F3864"/>
          <w:sz w:val="24"/>
          <w:szCs w:val="24"/>
        </w:rPr>
      </w:pPr>
    </w:p>
    <w:p w14:paraId="76768B41" w14:textId="5391BFB1" w:rsidR="00FB7269" w:rsidRDefault="00FB7269" w:rsidP="00FB7269">
      <w:pPr>
        <w:spacing w:after="0" w:line="360" w:lineRule="auto"/>
        <w:ind w:left="720"/>
        <w:rPr>
          <w:rFonts w:ascii="Times New Roman" w:eastAsia="Times New Roman" w:hAnsi="Times New Roman" w:cs="Times New Roman"/>
          <w:color w:val="1F3864"/>
          <w:sz w:val="24"/>
          <w:szCs w:val="24"/>
        </w:rPr>
      </w:pPr>
      <w:r w:rsidRPr="00FB7269">
        <w:rPr>
          <w:rFonts w:ascii="Times New Roman" w:eastAsia="Times New Roman" w:hAnsi="Times New Roman" w:cs="Times New Roman"/>
          <w:b/>
          <w:bCs/>
          <w:color w:val="1F3864"/>
          <w:sz w:val="24"/>
          <w:szCs w:val="24"/>
        </w:rPr>
        <w:t>Interpretation of above chart</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Analysis:</w:t>
      </w:r>
      <w:r w:rsidRPr="00FB7269">
        <w:rPr>
          <w:rFonts w:ascii="Times New Roman" w:eastAsia="Times New Roman" w:hAnsi="Times New Roman" w:cs="Times New Roman"/>
          <w:color w:val="1F3864"/>
          <w:sz w:val="24"/>
          <w:szCs w:val="24"/>
        </w:rPr>
        <w:t xml:space="preserve"> Univariate Analysis</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Visualization:</w:t>
      </w:r>
      <w:r w:rsidRPr="00FB7269">
        <w:rPr>
          <w:rFonts w:ascii="Times New Roman" w:eastAsia="Times New Roman" w:hAnsi="Times New Roman" w:cs="Times New Roman"/>
          <w:color w:val="1F3864"/>
          <w:sz w:val="24"/>
          <w:szCs w:val="24"/>
        </w:rPr>
        <w:t xml:space="preserve"> Donut Chart – Claim Status Distribution</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Chart Explanation:</w:t>
      </w:r>
      <w:r w:rsidRPr="00FB7269">
        <w:rPr>
          <w:rFonts w:ascii="Times New Roman" w:eastAsia="Times New Roman" w:hAnsi="Times New Roman" w:cs="Times New Roman"/>
          <w:color w:val="1F3864"/>
          <w:sz w:val="24"/>
          <w:szCs w:val="24"/>
        </w:rPr>
        <w:br/>
        <w:t>The donut chart shows the proportional split of all 55,390 claims across their final status: Paid, Partially Paid, Denied, and Pending.</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Purpose:</w:t>
      </w:r>
      <w:r w:rsidRPr="00FB7269">
        <w:rPr>
          <w:rFonts w:ascii="Times New Roman" w:eastAsia="Times New Roman" w:hAnsi="Times New Roman" w:cs="Times New Roman"/>
          <w:color w:val="1F3864"/>
          <w:sz w:val="24"/>
          <w:szCs w:val="24"/>
        </w:rPr>
        <w:br/>
        <w:t>To get a quick, single-glance read on overall claim resolution health without digging into dollar values.</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Features Used:</w:t>
      </w:r>
      <w:r w:rsidRPr="00FB7269">
        <w:rPr>
          <w:rFonts w:ascii="Times New Roman" w:eastAsia="Times New Roman" w:hAnsi="Times New Roman" w:cs="Times New Roman"/>
          <w:color w:val="1F3864"/>
          <w:sz w:val="24"/>
          <w:szCs w:val="24"/>
        </w:rPr>
        <w:br/>
        <w:t>Claim_Status, Claim_ID (count)</w:t>
      </w:r>
      <w:r w:rsidRPr="00FB7269">
        <w:rPr>
          <w:rFonts w:ascii="Times New Roman" w:eastAsia="Times New Roman" w:hAnsi="Times New Roman" w:cs="Times New Roman"/>
          <w:color w:val="1F3864"/>
          <w:sz w:val="24"/>
          <w:szCs w:val="24"/>
        </w:rPr>
        <w:br/>
      </w:r>
      <w:r w:rsidRPr="00FB7269">
        <w:rPr>
          <w:rFonts w:ascii="Times New Roman" w:eastAsia="Times New Roman" w:hAnsi="Times New Roman" w:cs="Times New Roman"/>
          <w:b/>
          <w:bCs/>
          <w:color w:val="1F3864"/>
          <w:sz w:val="24"/>
          <w:szCs w:val="24"/>
        </w:rPr>
        <w:t>Business Insight:</w:t>
      </w:r>
      <w:r w:rsidRPr="00FB7269">
        <w:rPr>
          <w:rFonts w:ascii="Times New Roman" w:eastAsia="Times New Roman" w:hAnsi="Times New Roman" w:cs="Times New Roman"/>
          <w:color w:val="1F3864"/>
          <w:sz w:val="24"/>
          <w:szCs w:val="24"/>
        </w:rPr>
        <w:br/>
        <w:t>Only 52.4% of claims (29,053) are fully Paid. The remaining 47.6% is split across Partially Paid (19.2%), Denied (16.3%), and Pending (12.1%) — meaning nearly half of all claims require some form of follow-up, appeal, or rework before revenue is fully realized.</w:t>
      </w:r>
    </w:p>
    <w:p w14:paraId="00442191" w14:textId="77777777" w:rsidR="00FB7269" w:rsidRDefault="00FB7269" w:rsidP="00FB7269">
      <w:pPr>
        <w:spacing w:after="0" w:line="360" w:lineRule="auto"/>
        <w:ind w:left="720"/>
        <w:rPr>
          <w:rFonts w:ascii="Times New Roman" w:eastAsia="Times New Roman" w:hAnsi="Times New Roman" w:cs="Times New Roman"/>
          <w:color w:val="1F3864"/>
          <w:sz w:val="24"/>
          <w:szCs w:val="24"/>
        </w:rPr>
      </w:pPr>
    </w:p>
    <w:p w14:paraId="09CE5F48"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603BCEF4"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3A12FDC5"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236699CD"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20B4D56A"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4CCC74C5"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4901F818"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3605A74F" w14:textId="4B8EEA6A" w:rsidR="00FB7269" w:rsidRPr="00BD18CB" w:rsidRDefault="00FB7269" w:rsidP="00FB7269">
      <w:pPr>
        <w:numPr>
          <w:ilvl w:val="0"/>
          <w:numId w:val="1"/>
        </w:numPr>
        <w:spacing w:after="0" w:line="360" w:lineRule="auto"/>
        <w:rPr>
          <w:rFonts w:ascii="Times New Roman" w:eastAsia="Times New Roman" w:hAnsi="Times New Roman" w:cs="Times New Roman"/>
          <w:color w:val="1F3864"/>
          <w:sz w:val="24"/>
          <w:szCs w:val="24"/>
          <w:u w:val="single"/>
          <w:lang w:val="en-US"/>
        </w:rPr>
      </w:pPr>
      <w:r w:rsidRPr="00FB7269">
        <w:rPr>
          <w:rFonts w:ascii="Times New Roman" w:eastAsia="Times New Roman" w:hAnsi="Times New Roman" w:cs="Times New Roman"/>
          <w:color w:val="1F3864"/>
          <w:sz w:val="24"/>
          <w:szCs w:val="24"/>
          <w:u w:val="single"/>
        </w:rPr>
        <w:t>Trend Analysis – Billed/Paid/Outstanding by Claim Year (Combo Chart):</w:t>
      </w:r>
    </w:p>
    <w:p w14:paraId="7AF3DA73" w14:textId="77777777" w:rsidR="00BD18CB" w:rsidRPr="00FB7269" w:rsidRDefault="00BD18CB" w:rsidP="00BD18CB">
      <w:pPr>
        <w:spacing w:after="0" w:line="360" w:lineRule="auto"/>
        <w:ind w:left="720"/>
        <w:rPr>
          <w:rFonts w:ascii="Times New Roman" w:eastAsia="Times New Roman" w:hAnsi="Times New Roman" w:cs="Times New Roman"/>
          <w:color w:val="1F3864"/>
          <w:sz w:val="24"/>
          <w:szCs w:val="24"/>
          <w:u w:val="single"/>
          <w:lang w:val="en-US"/>
        </w:rPr>
      </w:pPr>
    </w:p>
    <w:p w14:paraId="5B688E7A" w14:textId="5B5B2DE6" w:rsidR="00FB7269" w:rsidRPr="00FB7269" w:rsidRDefault="00BD18CB" w:rsidP="00FB7269">
      <w:pPr>
        <w:spacing w:after="0" w:line="360" w:lineRule="auto"/>
        <w:ind w:left="720"/>
        <w:jc w:val="both"/>
        <w:rPr>
          <w:rFonts w:ascii="Times New Roman" w:eastAsia="Times New Roman" w:hAnsi="Times New Roman" w:cs="Times New Roman"/>
          <w:color w:val="1F3864"/>
          <w:sz w:val="24"/>
          <w:szCs w:val="24"/>
          <w:u w:val="single"/>
          <w:lang w:val="en-US"/>
        </w:rPr>
      </w:pPr>
      <w:r w:rsidRPr="00BD18CB">
        <w:rPr>
          <w:rFonts w:ascii="Times New Roman" w:eastAsia="Times New Roman" w:hAnsi="Times New Roman" w:cs="Times New Roman"/>
          <w:color w:val="1F3864"/>
          <w:sz w:val="24"/>
          <w:szCs w:val="24"/>
          <w:u w:val="single"/>
          <w:lang w:val="en-US"/>
        </w:rPr>
        <w:drawing>
          <wp:inline distT="0" distB="0" distL="0" distR="0" wp14:anchorId="53FCAD3D" wp14:editId="1F8EF173">
            <wp:extent cx="4397121" cy="2187130"/>
            <wp:effectExtent l="0" t="0" r="3810" b="3810"/>
            <wp:docPr id="120104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44602" name=""/>
                    <pic:cNvPicPr/>
                  </pic:nvPicPr>
                  <pic:blipFill>
                    <a:blip r:embed="rId8"/>
                    <a:stretch>
                      <a:fillRect/>
                    </a:stretch>
                  </pic:blipFill>
                  <pic:spPr>
                    <a:xfrm>
                      <a:off x="0" y="0"/>
                      <a:ext cx="4397121" cy="2187130"/>
                    </a:xfrm>
                    <a:prstGeom prst="rect">
                      <a:avLst/>
                    </a:prstGeom>
                  </pic:spPr>
                </pic:pic>
              </a:graphicData>
            </a:graphic>
          </wp:inline>
        </w:drawing>
      </w:r>
    </w:p>
    <w:p w14:paraId="642BCFB8" w14:textId="77777777" w:rsidR="00BD18CB" w:rsidRDefault="00BD18CB" w:rsidP="00FB7269">
      <w:pPr>
        <w:spacing w:after="0" w:line="360" w:lineRule="auto"/>
        <w:ind w:left="720"/>
        <w:rPr>
          <w:rFonts w:ascii="Times New Roman" w:eastAsia="Times New Roman" w:hAnsi="Times New Roman" w:cs="Times New Roman"/>
          <w:b/>
          <w:bCs/>
          <w:color w:val="1F3864"/>
          <w:sz w:val="24"/>
          <w:szCs w:val="24"/>
        </w:rPr>
      </w:pPr>
    </w:p>
    <w:p w14:paraId="2E77690B" w14:textId="07D72825" w:rsidR="00FB7269" w:rsidRDefault="00BD18CB" w:rsidP="00FB7269">
      <w:pPr>
        <w:spacing w:after="0" w:line="360" w:lineRule="auto"/>
        <w:ind w:left="720"/>
        <w:rPr>
          <w:rFonts w:ascii="Times New Roman" w:eastAsia="Times New Roman" w:hAnsi="Times New Roman" w:cs="Times New Roman"/>
          <w:color w:val="1F3864"/>
          <w:sz w:val="24"/>
          <w:szCs w:val="24"/>
        </w:rPr>
      </w:pPr>
      <w:r w:rsidRPr="00BD18CB">
        <w:rPr>
          <w:rFonts w:ascii="Times New Roman" w:eastAsia="Times New Roman" w:hAnsi="Times New Roman" w:cs="Times New Roman"/>
          <w:b/>
          <w:bCs/>
          <w:color w:val="1F3864"/>
          <w:sz w:val="24"/>
          <w:szCs w:val="24"/>
        </w:rPr>
        <w:t>Interpretation of above chart</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Analysis:</w:t>
      </w:r>
      <w:r w:rsidRPr="00BD18CB">
        <w:rPr>
          <w:rFonts w:ascii="Times New Roman" w:eastAsia="Times New Roman" w:hAnsi="Times New Roman" w:cs="Times New Roman"/>
          <w:color w:val="1F3864"/>
          <w:sz w:val="24"/>
          <w:szCs w:val="24"/>
        </w:rPr>
        <w:t xml:space="preserve"> Trend Analysis (Time-Series)</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Visualization:</w:t>
      </w:r>
      <w:r w:rsidRPr="00BD18CB">
        <w:rPr>
          <w:rFonts w:ascii="Times New Roman" w:eastAsia="Times New Roman" w:hAnsi="Times New Roman" w:cs="Times New Roman"/>
          <w:color w:val="1F3864"/>
          <w:sz w:val="24"/>
          <w:szCs w:val="24"/>
        </w:rPr>
        <w:t xml:space="preserve"> Combo Chart (Line + Clustered Column) – Billed/Paid/Outstanding by Claim_Year</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Chart Explanation:</w:t>
      </w:r>
      <w:r w:rsidRPr="00BD18CB">
        <w:rPr>
          <w:rFonts w:ascii="Times New Roman" w:eastAsia="Times New Roman" w:hAnsi="Times New Roman" w:cs="Times New Roman"/>
          <w:color w:val="1F3864"/>
          <w:sz w:val="24"/>
          <w:szCs w:val="24"/>
        </w:rPr>
        <w:br/>
        <w:t>The combo chart tracks Billed, Paid, and Outstanding amounts year-over-year from 2019 to 2024, with columns for absolute values and a line for the collection rate trend.</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Purpose:</w:t>
      </w:r>
      <w:r w:rsidRPr="00BD18CB">
        <w:rPr>
          <w:rFonts w:ascii="Times New Roman" w:eastAsia="Times New Roman" w:hAnsi="Times New Roman" w:cs="Times New Roman"/>
          <w:color w:val="1F3864"/>
          <w:sz w:val="24"/>
          <w:szCs w:val="24"/>
        </w:rPr>
        <w:br/>
        <w:t>To assess whether collection performance is improving, declining, or stagnant as billing volume scales.</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Features Used:</w:t>
      </w:r>
      <w:r w:rsidRPr="00BD18CB">
        <w:rPr>
          <w:rFonts w:ascii="Times New Roman" w:eastAsia="Times New Roman" w:hAnsi="Times New Roman" w:cs="Times New Roman"/>
          <w:color w:val="1F3864"/>
          <w:sz w:val="24"/>
          <w:szCs w:val="24"/>
        </w:rPr>
        <w:br/>
        <w:t>Claim_Year, Billed_Amount, Paid_Amount, Outstanding_Amount</w:t>
      </w:r>
      <w:r w:rsidRPr="00BD18CB">
        <w:rPr>
          <w:rFonts w:ascii="Times New Roman" w:eastAsia="Times New Roman" w:hAnsi="Times New Roman" w:cs="Times New Roman"/>
          <w:color w:val="1F3864"/>
          <w:sz w:val="24"/>
          <w:szCs w:val="24"/>
        </w:rPr>
        <w:br/>
      </w:r>
      <w:r w:rsidRPr="00BD18CB">
        <w:rPr>
          <w:rFonts w:ascii="Times New Roman" w:eastAsia="Times New Roman" w:hAnsi="Times New Roman" w:cs="Times New Roman"/>
          <w:b/>
          <w:bCs/>
          <w:color w:val="1F3864"/>
          <w:sz w:val="24"/>
          <w:szCs w:val="24"/>
        </w:rPr>
        <w:t>Business Insight:</w:t>
      </w:r>
      <w:r w:rsidRPr="00BD18CB">
        <w:rPr>
          <w:rFonts w:ascii="Times New Roman" w:eastAsia="Times New Roman" w:hAnsi="Times New Roman" w:cs="Times New Roman"/>
          <w:color w:val="1F3864"/>
          <w:sz w:val="24"/>
          <w:szCs w:val="24"/>
        </w:rPr>
        <w:br/>
        <w:t>Despite billed volume growing from $175.9M (2019) to a peak of $286.4M (2020) and staying above $280M through 2023, the collection rate has stayed flat at 44.0–44.8% every single year. This is a critical finding: revenue cycle performance has not improved at all over 6 years even as claim volume grew — process inefficiencies are scaling with the business rather than being resolved.</w:t>
      </w:r>
    </w:p>
    <w:p w14:paraId="4A9998EF"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12D81CD7"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2A85DA47"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6BB5D480"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33AFA648"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116435F5"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02A57C71"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750E12E9" w14:textId="20864180" w:rsidR="00BD18CB" w:rsidRPr="00BD18CB" w:rsidRDefault="00B56A33" w:rsidP="00BD18CB">
      <w:pPr>
        <w:numPr>
          <w:ilvl w:val="0"/>
          <w:numId w:val="1"/>
        </w:numPr>
        <w:spacing w:after="0" w:line="360" w:lineRule="auto"/>
        <w:rPr>
          <w:rFonts w:ascii="Times New Roman" w:eastAsia="Times New Roman" w:hAnsi="Times New Roman" w:cs="Times New Roman"/>
          <w:color w:val="1F3864"/>
          <w:sz w:val="24"/>
          <w:szCs w:val="24"/>
          <w:u w:val="single"/>
          <w:lang w:val="en-US"/>
        </w:rPr>
      </w:pPr>
      <w:r w:rsidRPr="00B56A33">
        <w:rPr>
          <w:rFonts w:ascii="Times New Roman" w:eastAsia="Times New Roman" w:hAnsi="Times New Roman" w:cs="Times New Roman"/>
          <w:color w:val="1F3864"/>
          <w:sz w:val="24"/>
          <w:szCs w:val="24"/>
          <w:u w:val="single"/>
        </w:rPr>
        <w:t>Financial Risk by Medical Condition</w:t>
      </w:r>
      <w:r w:rsidRPr="00B56A33">
        <w:rPr>
          <w:rFonts w:ascii="Times New Roman" w:eastAsia="Times New Roman" w:hAnsi="Times New Roman" w:cs="Times New Roman"/>
          <w:color w:val="1F3864"/>
          <w:sz w:val="24"/>
          <w:szCs w:val="24"/>
          <w:u w:val="single"/>
        </w:rPr>
        <w:t xml:space="preserve"> </w:t>
      </w:r>
      <w:r w:rsidR="00BD18CB" w:rsidRPr="00FB7269">
        <w:rPr>
          <w:rFonts w:ascii="Times New Roman" w:eastAsia="Times New Roman" w:hAnsi="Times New Roman" w:cs="Times New Roman"/>
          <w:color w:val="1F3864"/>
          <w:sz w:val="24"/>
          <w:szCs w:val="24"/>
          <w:u w:val="single"/>
        </w:rPr>
        <w:t>(</w:t>
      </w:r>
      <w:r w:rsidRPr="00B56A33">
        <w:rPr>
          <w:rFonts w:ascii="Times New Roman" w:eastAsia="Times New Roman" w:hAnsi="Times New Roman" w:cs="Times New Roman"/>
          <w:color w:val="1F3864"/>
          <w:sz w:val="24"/>
          <w:szCs w:val="24"/>
          <w:u w:val="single"/>
        </w:rPr>
        <w:t>Bar Chart</w:t>
      </w:r>
      <w:r w:rsidR="00BD18CB" w:rsidRPr="00FB7269">
        <w:rPr>
          <w:rFonts w:ascii="Times New Roman" w:eastAsia="Times New Roman" w:hAnsi="Times New Roman" w:cs="Times New Roman"/>
          <w:color w:val="1F3864"/>
          <w:sz w:val="24"/>
          <w:szCs w:val="24"/>
          <w:u w:val="single"/>
        </w:rPr>
        <w:t>):</w:t>
      </w:r>
    </w:p>
    <w:p w14:paraId="1F5443C1" w14:textId="77777777" w:rsidR="00BD18CB" w:rsidRDefault="00BD18CB" w:rsidP="00FB7269">
      <w:pPr>
        <w:spacing w:after="0" w:line="360" w:lineRule="auto"/>
        <w:ind w:left="720"/>
        <w:rPr>
          <w:rFonts w:ascii="Times New Roman" w:eastAsia="Times New Roman" w:hAnsi="Times New Roman" w:cs="Times New Roman"/>
          <w:color w:val="1F3864"/>
          <w:sz w:val="24"/>
          <w:szCs w:val="24"/>
        </w:rPr>
      </w:pPr>
    </w:p>
    <w:p w14:paraId="4E26A2EE" w14:textId="7943F705" w:rsidR="00BD18CB" w:rsidRDefault="00B56A33" w:rsidP="00FB7269">
      <w:pPr>
        <w:spacing w:after="0" w:line="360" w:lineRule="auto"/>
        <w:ind w:left="720"/>
        <w:rPr>
          <w:rFonts w:ascii="Times New Roman" w:eastAsia="Times New Roman" w:hAnsi="Times New Roman" w:cs="Times New Roman"/>
          <w:color w:val="1F3864"/>
          <w:sz w:val="24"/>
          <w:szCs w:val="24"/>
        </w:rPr>
      </w:pPr>
      <w:r w:rsidRPr="00B56A33">
        <w:rPr>
          <w:rFonts w:ascii="Times New Roman" w:eastAsia="Times New Roman" w:hAnsi="Times New Roman" w:cs="Times New Roman"/>
          <w:color w:val="1F3864"/>
          <w:sz w:val="24"/>
          <w:szCs w:val="24"/>
        </w:rPr>
        <w:drawing>
          <wp:inline distT="0" distB="0" distL="0" distR="0" wp14:anchorId="3F68625E" wp14:editId="22928B30">
            <wp:extent cx="2636748" cy="1867062"/>
            <wp:effectExtent l="0" t="0" r="0" b="0"/>
            <wp:docPr id="42636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67715" name=""/>
                    <pic:cNvPicPr/>
                  </pic:nvPicPr>
                  <pic:blipFill>
                    <a:blip r:embed="rId9"/>
                    <a:stretch>
                      <a:fillRect/>
                    </a:stretch>
                  </pic:blipFill>
                  <pic:spPr>
                    <a:xfrm>
                      <a:off x="0" y="0"/>
                      <a:ext cx="2636748" cy="1867062"/>
                    </a:xfrm>
                    <a:prstGeom prst="rect">
                      <a:avLst/>
                    </a:prstGeom>
                  </pic:spPr>
                </pic:pic>
              </a:graphicData>
            </a:graphic>
          </wp:inline>
        </w:drawing>
      </w:r>
    </w:p>
    <w:p w14:paraId="6E829344" w14:textId="77777777" w:rsidR="00FB7269" w:rsidRDefault="00FB7269" w:rsidP="00FB7269">
      <w:pPr>
        <w:spacing w:after="0" w:line="360" w:lineRule="auto"/>
        <w:ind w:left="720"/>
        <w:jc w:val="both"/>
        <w:rPr>
          <w:rFonts w:ascii="Times New Roman" w:eastAsia="Times New Roman" w:hAnsi="Times New Roman" w:cs="Times New Roman"/>
          <w:color w:val="1F3864"/>
          <w:sz w:val="24"/>
          <w:szCs w:val="24"/>
          <w:lang w:val="en-US"/>
        </w:rPr>
      </w:pPr>
    </w:p>
    <w:p w14:paraId="39992A1D" w14:textId="161F8390" w:rsidR="00B56A33" w:rsidRDefault="00B56A33" w:rsidP="00B56A33">
      <w:pPr>
        <w:spacing w:after="0" w:line="360" w:lineRule="auto"/>
        <w:ind w:left="720"/>
        <w:rPr>
          <w:rFonts w:ascii="Times New Roman" w:eastAsia="Times New Roman" w:hAnsi="Times New Roman" w:cs="Times New Roman"/>
          <w:color w:val="1F3864"/>
          <w:sz w:val="24"/>
          <w:szCs w:val="24"/>
        </w:rPr>
      </w:pPr>
      <w:r w:rsidRPr="00B56A33">
        <w:rPr>
          <w:rFonts w:ascii="Times New Roman" w:eastAsia="Times New Roman" w:hAnsi="Times New Roman" w:cs="Times New Roman"/>
          <w:b/>
          <w:bCs/>
          <w:color w:val="1F3864"/>
          <w:sz w:val="24"/>
          <w:szCs w:val="24"/>
        </w:rPr>
        <w:t>Interpretation of above chart</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Analysis:</w:t>
      </w:r>
      <w:r w:rsidRPr="00B56A33">
        <w:rPr>
          <w:rFonts w:ascii="Times New Roman" w:eastAsia="Times New Roman" w:hAnsi="Times New Roman" w:cs="Times New Roman"/>
          <w:color w:val="1F3864"/>
          <w:sz w:val="24"/>
          <w:szCs w:val="24"/>
        </w:rPr>
        <w:t xml:space="preserve"> Bivariate Analysis</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Visualization:</w:t>
      </w:r>
      <w:r w:rsidRPr="00B56A33">
        <w:rPr>
          <w:rFonts w:ascii="Times New Roman" w:eastAsia="Times New Roman" w:hAnsi="Times New Roman" w:cs="Times New Roman"/>
          <w:color w:val="1F3864"/>
          <w:sz w:val="24"/>
          <w:szCs w:val="24"/>
        </w:rPr>
        <w:t xml:space="preserve"> Bar Chart – Outstanding &amp; Paid Amount by Medical Condition</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Chart Explanation:</w:t>
      </w:r>
      <w:r w:rsidRPr="00B56A33">
        <w:rPr>
          <w:rFonts w:ascii="Times New Roman" w:eastAsia="Times New Roman" w:hAnsi="Times New Roman" w:cs="Times New Roman"/>
          <w:color w:val="1F3864"/>
          <w:sz w:val="24"/>
          <w:szCs w:val="24"/>
        </w:rPr>
        <w:t xml:space="preserve"> Compares Outstanding_Amount and Paid_Amount across the 6 medical conditions in the dataset.</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Purpose:</w:t>
      </w:r>
      <w:r w:rsidRPr="00B56A33">
        <w:rPr>
          <w:rFonts w:ascii="Times New Roman" w:eastAsia="Times New Roman" w:hAnsi="Times New Roman" w:cs="Times New Roman"/>
          <w:color w:val="1F3864"/>
          <w:sz w:val="24"/>
          <w:szCs w:val="24"/>
        </w:rPr>
        <w:t xml:space="preserve"> To check whether financial risk is concentrated in specific medical conditions.</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Features Used:</w:t>
      </w:r>
      <w:r w:rsidRPr="00B56A33">
        <w:rPr>
          <w:rFonts w:ascii="Times New Roman" w:eastAsia="Times New Roman" w:hAnsi="Times New Roman" w:cs="Times New Roman"/>
          <w:color w:val="1F3864"/>
          <w:sz w:val="24"/>
          <w:szCs w:val="24"/>
        </w:rPr>
        <w:t xml:space="preserve"> Medical Condition, Outstanding_Amount, Paid_Amount</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Business Insight:</w:t>
      </w:r>
      <w:r w:rsidRPr="00B56A33">
        <w:rPr>
          <w:rFonts w:ascii="Times New Roman" w:eastAsia="Times New Roman" w:hAnsi="Times New Roman" w:cs="Times New Roman"/>
          <w:color w:val="1F3864"/>
          <w:sz w:val="24"/>
          <w:szCs w:val="24"/>
        </w:rPr>
        <w:t xml:space="preserve"> All 6 conditions sit within a tight band — Outstanding ranges only $48.1M–$49.9M and Paid ranges $102.1M–$106.5M. This near-identical spread shows revenue-cycle risk is </w:t>
      </w:r>
      <w:r w:rsidRPr="00B56A33">
        <w:rPr>
          <w:rFonts w:ascii="Times New Roman" w:eastAsia="Times New Roman" w:hAnsi="Times New Roman" w:cs="Times New Roman"/>
          <w:b/>
          <w:bCs/>
          <w:color w:val="1F3864"/>
          <w:sz w:val="24"/>
          <w:szCs w:val="24"/>
        </w:rPr>
        <w:t>not</w:t>
      </w:r>
      <w:r w:rsidRPr="00B56A33">
        <w:rPr>
          <w:rFonts w:ascii="Times New Roman" w:eastAsia="Times New Roman" w:hAnsi="Times New Roman" w:cs="Times New Roman"/>
          <w:color w:val="1F3864"/>
          <w:sz w:val="24"/>
          <w:szCs w:val="24"/>
        </w:rPr>
        <w:t xml:space="preserve"> driven by clinical condition type; the problem is systemic/process-based, not specific to any diagnosis.</w:t>
      </w:r>
    </w:p>
    <w:p w14:paraId="6B2261F8"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73776419"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53B744AF"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08E5A2EF"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12CEDACB"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0369B5BA"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4049F889"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06FEBC8F"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57F7DA22"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50CE9DEB"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3BEBAA08"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64EF378A"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556715A9"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799EFC99" w14:textId="77777777" w:rsidR="00B56A33" w:rsidRDefault="00B56A33" w:rsidP="00B56A33">
      <w:pPr>
        <w:spacing w:after="0" w:line="360" w:lineRule="auto"/>
        <w:ind w:left="720"/>
        <w:rPr>
          <w:rFonts w:ascii="Times New Roman" w:eastAsia="Times New Roman" w:hAnsi="Times New Roman" w:cs="Times New Roman"/>
          <w:color w:val="1F3864"/>
          <w:sz w:val="24"/>
          <w:szCs w:val="24"/>
          <w:lang w:val="en-US"/>
        </w:rPr>
      </w:pPr>
    </w:p>
    <w:p w14:paraId="241AB317" w14:textId="652CCD68" w:rsidR="00B56A33" w:rsidRPr="00B56A33" w:rsidRDefault="00B56A33" w:rsidP="00B56A33">
      <w:pPr>
        <w:numPr>
          <w:ilvl w:val="0"/>
          <w:numId w:val="1"/>
        </w:numPr>
        <w:spacing w:after="0" w:line="360" w:lineRule="auto"/>
        <w:rPr>
          <w:rFonts w:ascii="Times New Roman" w:eastAsia="Times New Roman" w:hAnsi="Times New Roman" w:cs="Times New Roman"/>
          <w:color w:val="1F3864"/>
          <w:sz w:val="24"/>
          <w:szCs w:val="24"/>
          <w:u w:val="single"/>
          <w:lang w:val="en-US"/>
        </w:rPr>
      </w:pPr>
      <w:r w:rsidRPr="00B56A33">
        <w:rPr>
          <w:rFonts w:ascii="Times New Roman" w:eastAsia="Times New Roman" w:hAnsi="Times New Roman" w:cs="Times New Roman"/>
          <w:color w:val="1F3864"/>
          <w:sz w:val="24"/>
          <w:szCs w:val="24"/>
          <w:u w:val="single"/>
        </w:rPr>
        <w:t xml:space="preserve">Denial Resolution Performance by Category </w:t>
      </w:r>
      <w:r w:rsidRPr="00FB7269">
        <w:rPr>
          <w:rFonts w:ascii="Times New Roman" w:eastAsia="Times New Roman" w:hAnsi="Times New Roman" w:cs="Times New Roman"/>
          <w:color w:val="1F3864"/>
          <w:sz w:val="24"/>
          <w:szCs w:val="24"/>
          <w:u w:val="single"/>
        </w:rPr>
        <w:t>(</w:t>
      </w:r>
      <w:r w:rsidRPr="00B56A33">
        <w:rPr>
          <w:rFonts w:ascii="Times New Roman" w:eastAsia="Times New Roman" w:hAnsi="Times New Roman" w:cs="Times New Roman"/>
          <w:color w:val="1F3864"/>
          <w:sz w:val="24"/>
          <w:szCs w:val="24"/>
          <w:u w:val="single"/>
        </w:rPr>
        <w:t>Area Chart</w:t>
      </w:r>
      <w:r w:rsidRPr="00FB7269">
        <w:rPr>
          <w:rFonts w:ascii="Times New Roman" w:eastAsia="Times New Roman" w:hAnsi="Times New Roman" w:cs="Times New Roman"/>
          <w:color w:val="1F3864"/>
          <w:sz w:val="24"/>
          <w:szCs w:val="24"/>
          <w:u w:val="single"/>
        </w:rPr>
        <w:t>):</w:t>
      </w:r>
    </w:p>
    <w:p w14:paraId="621AE7F1" w14:textId="77777777" w:rsidR="00B56A33" w:rsidRDefault="00B56A33" w:rsidP="00B56A33">
      <w:pPr>
        <w:spacing w:after="0" w:line="360" w:lineRule="auto"/>
        <w:ind w:left="720"/>
        <w:rPr>
          <w:rFonts w:ascii="Times New Roman" w:eastAsia="Times New Roman" w:hAnsi="Times New Roman" w:cs="Times New Roman"/>
          <w:color w:val="1F3864"/>
          <w:sz w:val="24"/>
          <w:szCs w:val="24"/>
          <w:u w:val="single"/>
        </w:rPr>
      </w:pPr>
    </w:p>
    <w:p w14:paraId="02642C84" w14:textId="355B9536" w:rsidR="00B56A33" w:rsidRPr="00BD18CB" w:rsidRDefault="00B56A33" w:rsidP="00B56A33">
      <w:pPr>
        <w:spacing w:after="0" w:line="360" w:lineRule="auto"/>
        <w:ind w:left="720"/>
        <w:rPr>
          <w:rFonts w:ascii="Times New Roman" w:eastAsia="Times New Roman" w:hAnsi="Times New Roman" w:cs="Times New Roman"/>
          <w:color w:val="1F3864"/>
          <w:sz w:val="24"/>
          <w:szCs w:val="24"/>
          <w:u w:val="single"/>
          <w:lang w:val="en-US"/>
        </w:rPr>
      </w:pPr>
      <w:r w:rsidRPr="00B56A33">
        <w:rPr>
          <w:rFonts w:ascii="Times New Roman" w:eastAsia="Times New Roman" w:hAnsi="Times New Roman" w:cs="Times New Roman"/>
          <w:color w:val="1F3864"/>
          <w:sz w:val="24"/>
          <w:szCs w:val="24"/>
          <w:u w:val="single"/>
          <w:lang w:val="en-US"/>
        </w:rPr>
        <w:drawing>
          <wp:inline distT="0" distB="0" distL="0" distR="0" wp14:anchorId="1577F5E9" wp14:editId="3621B573">
            <wp:extent cx="2941575" cy="1882303"/>
            <wp:effectExtent l="0" t="0" r="0" b="3810"/>
            <wp:docPr id="111245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51810" name=""/>
                    <pic:cNvPicPr/>
                  </pic:nvPicPr>
                  <pic:blipFill>
                    <a:blip r:embed="rId10"/>
                    <a:stretch>
                      <a:fillRect/>
                    </a:stretch>
                  </pic:blipFill>
                  <pic:spPr>
                    <a:xfrm>
                      <a:off x="0" y="0"/>
                      <a:ext cx="2941575" cy="1882303"/>
                    </a:xfrm>
                    <a:prstGeom prst="rect">
                      <a:avLst/>
                    </a:prstGeom>
                  </pic:spPr>
                </pic:pic>
              </a:graphicData>
            </a:graphic>
          </wp:inline>
        </w:drawing>
      </w:r>
    </w:p>
    <w:p w14:paraId="2A8B9011" w14:textId="77777777" w:rsidR="008D5DB7" w:rsidRDefault="008D5DB7" w:rsidP="00B56A33">
      <w:pPr>
        <w:spacing w:after="0" w:line="360" w:lineRule="auto"/>
        <w:ind w:left="720"/>
        <w:rPr>
          <w:rFonts w:ascii="Times New Roman" w:eastAsia="Times New Roman" w:hAnsi="Times New Roman" w:cs="Times New Roman"/>
          <w:b/>
          <w:bCs/>
          <w:color w:val="1F3864"/>
          <w:sz w:val="24"/>
          <w:szCs w:val="24"/>
        </w:rPr>
      </w:pPr>
    </w:p>
    <w:p w14:paraId="48B093D4" w14:textId="7EA567C9" w:rsidR="00B56A33" w:rsidRDefault="00B56A33" w:rsidP="00B56A33">
      <w:pPr>
        <w:spacing w:after="0" w:line="360" w:lineRule="auto"/>
        <w:ind w:left="720"/>
        <w:rPr>
          <w:rFonts w:ascii="Times New Roman" w:eastAsia="Times New Roman" w:hAnsi="Times New Roman" w:cs="Times New Roman"/>
          <w:color w:val="1F3864"/>
          <w:sz w:val="24"/>
          <w:szCs w:val="24"/>
        </w:rPr>
      </w:pPr>
      <w:r w:rsidRPr="00B56A33">
        <w:rPr>
          <w:rFonts w:ascii="Times New Roman" w:eastAsia="Times New Roman" w:hAnsi="Times New Roman" w:cs="Times New Roman"/>
          <w:b/>
          <w:bCs/>
          <w:color w:val="1F3864"/>
          <w:sz w:val="24"/>
          <w:szCs w:val="24"/>
        </w:rPr>
        <w:t>Interpretation of above chart</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Analysis:</w:t>
      </w:r>
      <w:r w:rsidRPr="00B56A33">
        <w:rPr>
          <w:rFonts w:ascii="Times New Roman" w:eastAsia="Times New Roman" w:hAnsi="Times New Roman" w:cs="Times New Roman"/>
          <w:color w:val="1F3864"/>
          <w:sz w:val="24"/>
          <w:szCs w:val="24"/>
        </w:rPr>
        <w:t xml:space="preserve"> Diagnostic Analysis</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Visualization:</w:t>
      </w:r>
      <w:r w:rsidRPr="00B56A33">
        <w:rPr>
          <w:rFonts w:ascii="Times New Roman" w:eastAsia="Times New Roman" w:hAnsi="Times New Roman" w:cs="Times New Roman"/>
          <w:color w:val="1F3864"/>
          <w:sz w:val="24"/>
          <w:szCs w:val="24"/>
        </w:rPr>
        <w:t xml:space="preserve"> Area Chart – Outstanding vs Resolution Amount by Denial Category</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Chart Explanation:</w:t>
      </w:r>
      <w:r w:rsidRPr="00B56A33">
        <w:rPr>
          <w:rFonts w:ascii="Times New Roman" w:eastAsia="Times New Roman" w:hAnsi="Times New Roman" w:cs="Times New Roman"/>
          <w:color w:val="1F3864"/>
          <w:sz w:val="24"/>
          <w:szCs w:val="24"/>
        </w:rPr>
        <w:t xml:space="preserve"> Plots Outstanding_Amount against Resolution_Amount for each of the 4 denial categories, showing how much of each category's denied value has actually been recovered.</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Purpose:</w:t>
      </w:r>
      <w:r w:rsidRPr="00B56A33">
        <w:rPr>
          <w:rFonts w:ascii="Times New Roman" w:eastAsia="Times New Roman" w:hAnsi="Times New Roman" w:cs="Times New Roman"/>
          <w:color w:val="1F3864"/>
          <w:sz w:val="24"/>
          <w:szCs w:val="24"/>
        </w:rPr>
        <w:t xml:space="preserve"> To identify which denial category is both the largest problem and the slowest to resolve.</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Features Used:</w:t>
      </w:r>
      <w:r w:rsidRPr="00B56A33">
        <w:rPr>
          <w:rFonts w:ascii="Times New Roman" w:eastAsia="Times New Roman" w:hAnsi="Times New Roman" w:cs="Times New Roman"/>
          <w:color w:val="1F3864"/>
          <w:sz w:val="24"/>
          <w:szCs w:val="24"/>
        </w:rPr>
        <w:t xml:space="preserve"> Denial_Category, Outstanding_Amount, Resolution_Amount</w:t>
      </w:r>
      <w:r w:rsidRPr="00B56A33">
        <w:rPr>
          <w:rFonts w:ascii="Times New Roman" w:eastAsia="Times New Roman" w:hAnsi="Times New Roman" w:cs="Times New Roman"/>
          <w:color w:val="1F3864"/>
          <w:sz w:val="24"/>
          <w:szCs w:val="24"/>
        </w:rPr>
        <w:br/>
      </w:r>
      <w:r w:rsidRPr="00B56A33">
        <w:rPr>
          <w:rFonts w:ascii="Times New Roman" w:eastAsia="Times New Roman" w:hAnsi="Times New Roman" w:cs="Times New Roman"/>
          <w:b/>
          <w:bCs/>
          <w:color w:val="1F3864"/>
          <w:sz w:val="24"/>
          <w:szCs w:val="24"/>
        </w:rPr>
        <w:t>Business Insight:</w:t>
      </w:r>
      <w:r w:rsidRPr="00B56A33">
        <w:rPr>
          <w:rFonts w:ascii="Times New Roman" w:eastAsia="Times New Roman" w:hAnsi="Times New Roman" w:cs="Times New Roman"/>
          <w:color w:val="1F3864"/>
          <w:sz w:val="24"/>
          <w:szCs w:val="24"/>
        </w:rPr>
        <w:t xml:space="preserve"> Technical denials are the biggest gap: $71.9M outstanding vs. only $18.3M resolved — a 25.5% resolution rate, the lowest of all categories (Eligibility resolves 24.7%, Contractual 23.5%, Authorization 28.4%). The largest denial category is also making the least recovery progress, making it the top priority for process fixes.</w:t>
      </w:r>
    </w:p>
    <w:p w14:paraId="6FC7D311"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755A6BD0"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196E4BF9"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44CB0538"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3817A6C4"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189B7B6E"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2A71C1EA"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61F7515A"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51AAFFD0"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24CCE185"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5491DBA8"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6111AF17" w14:textId="16C77438" w:rsidR="008D5DB7" w:rsidRPr="008D5DB7" w:rsidRDefault="008D5DB7" w:rsidP="008D5DB7">
      <w:pPr>
        <w:numPr>
          <w:ilvl w:val="0"/>
          <w:numId w:val="1"/>
        </w:numPr>
        <w:spacing w:after="0" w:line="360" w:lineRule="auto"/>
        <w:rPr>
          <w:rFonts w:ascii="Times New Roman" w:eastAsia="Times New Roman" w:hAnsi="Times New Roman" w:cs="Times New Roman"/>
          <w:color w:val="1F3864"/>
          <w:sz w:val="24"/>
          <w:szCs w:val="24"/>
          <w:u w:val="single"/>
          <w:lang w:val="en-US"/>
        </w:rPr>
      </w:pPr>
      <w:r w:rsidRPr="008D5DB7">
        <w:rPr>
          <w:rFonts w:ascii="Times New Roman" w:eastAsia="Times New Roman" w:hAnsi="Times New Roman" w:cs="Times New Roman"/>
          <w:color w:val="1F3864"/>
          <w:sz w:val="24"/>
          <w:szCs w:val="24"/>
          <w:u w:val="single"/>
        </w:rPr>
        <w:lastRenderedPageBreak/>
        <w:t>AR Aging and Resolution Performance</w:t>
      </w:r>
      <w:r w:rsidRPr="008D5DB7">
        <w:rPr>
          <w:rFonts w:ascii="Times New Roman" w:eastAsia="Times New Roman" w:hAnsi="Times New Roman" w:cs="Times New Roman"/>
          <w:color w:val="1F3864"/>
          <w:sz w:val="24"/>
          <w:szCs w:val="24"/>
          <w:u w:val="single"/>
        </w:rPr>
        <w:t xml:space="preserve"> </w:t>
      </w:r>
      <w:r w:rsidRPr="00FB7269">
        <w:rPr>
          <w:rFonts w:ascii="Times New Roman" w:eastAsia="Times New Roman" w:hAnsi="Times New Roman" w:cs="Times New Roman"/>
          <w:color w:val="1F3864"/>
          <w:sz w:val="24"/>
          <w:szCs w:val="24"/>
          <w:u w:val="single"/>
        </w:rPr>
        <w:t>(</w:t>
      </w:r>
      <w:r>
        <w:rPr>
          <w:rFonts w:ascii="Times New Roman" w:eastAsia="Times New Roman" w:hAnsi="Times New Roman" w:cs="Times New Roman"/>
          <w:color w:val="1F3864"/>
          <w:sz w:val="24"/>
          <w:szCs w:val="24"/>
          <w:u w:val="single"/>
        </w:rPr>
        <w:t>Pie</w:t>
      </w:r>
      <w:r w:rsidRPr="00B56A33">
        <w:rPr>
          <w:rFonts w:ascii="Times New Roman" w:eastAsia="Times New Roman" w:hAnsi="Times New Roman" w:cs="Times New Roman"/>
          <w:color w:val="1F3864"/>
          <w:sz w:val="24"/>
          <w:szCs w:val="24"/>
          <w:u w:val="single"/>
        </w:rPr>
        <w:t xml:space="preserve"> Chart</w:t>
      </w:r>
      <w:r w:rsidRPr="00FB7269">
        <w:rPr>
          <w:rFonts w:ascii="Times New Roman" w:eastAsia="Times New Roman" w:hAnsi="Times New Roman" w:cs="Times New Roman"/>
          <w:color w:val="1F3864"/>
          <w:sz w:val="24"/>
          <w:szCs w:val="24"/>
          <w:u w:val="single"/>
        </w:rPr>
        <w:t>):</w:t>
      </w:r>
    </w:p>
    <w:p w14:paraId="41D140B8" w14:textId="77777777" w:rsidR="008D5DB7" w:rsidRDefault="008D5DB7" w:rsidP="008D5DB7">
      <w:pPr>
        <w:spacing w:after="0" w:line="360" w:lineRule="auto"/>
        <w:ind w:left="720"/>
        <w:rPr>
          <w:rFonts w:ascii="Times New Roman" w:eastAsia="Times New Roman" w:hAnsi="Times New Roman" w:cs="Times New Roman"/>
          <w:color w:val="1F3864"/>
          <w:sz w:val="24"/>
          <w:szCs w:val="24"/>
          <w:u w:val="single"/>
        </w:rPr>
      </w:pPr>
    </w:p>
    <w:p w14:paraId="64ED6A46" w14:textId="36E0060D" w:rsidR="008D5DB7" w:rsidRPr="00B56A33" w:rsidRDefault="008D5DB7" w:rsidP="008D5DB7">
      <w:pPr>
        <w:spacing w:after="0" w:line="360" w:lineRule="auto"/>
        <w:ind w:left="720"/>
        <w:rPr>
          <w:rFonts w:ascii="Times New Roman" w:eastAsia="Times New Roman" w:hAnsi="Times New Roman" w:cs="Times New Roman"/>
          <w:color w:val="1F3864"/>
          <w:sz w:val="24"/>
          <w:szCs w:val="24"/>
          <w:u w:val="single"/>
          <w:lang w:val="en-US"/>
        </w:rPr>
      </w:pPr>
      <w:r w:rsidRPr="008D5DB7">
        <w:rPr>
          <w:rFonts w:ascii="Times New Roman" w:eastAsia="Times New Roman" w:hAnsi="Times New Roman" w:cs="Times New Roman"/>
          <w:color w:val="1F3864"/>
          <w:sz w:val="24"/>
          <w:szCs w:val="24"/>
          <w:u w:val="single"/>
          <w:lang w:val="en-US"/>
        </w:rPr>
        <w:drawing>
          <wp:inline distT="0" distB="0" distL="0" distR="0" wp14:anchorId="4B54FFE2" wp14:editId="16E94ECE">
            <wp:extent cx="3368332" cy="2149026"/>
            <wp:effectExtent l="0" t="0" r="3810" b="3810"/>
            <wp:docPr id="46595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9041" name=""/>
                    <pic:cNvPicPr/>
                  </pic:nvPicPr>
                  <pic:blipFill>
                    <a:blip r:embed="rId11"/>
                    <a:stretch>
                      <a:fillRect/>
                    </a:stretch>
                  </pic:blipFill>
                  <pic:spPr>
                    <a:xfrm>
                      <a:off x="0" y="0"/>
                      <a:ext cx="3368332" cy="2149026"/>
                    </a:xfrm>
                    <a:prstGeom prst="rect">
                      <a:avLst/>
                    </a:prstGeom>
                  </pic:spPr>
                </pic:pic>
              </a:graphicData>
            </a:graphic>
          </wp:inline>
        </w:drawing>
      </w:r>
    </w:p>
    <w:p w14:paraId="60267953"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6170DECF" w14:textId="2EB045CD"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r w:rsidRPr="008D5DB7">
        <w:rPr>
          <w:rFonts w:ascii="Times New Roman" w:eastAsia="Times New Roman" w:hAnsi="Times New Roman" w:cs="Times New Roman"/>
          <w:b/>
          <w:bCs/>
          <w:color w:val="1F3864"/>
          <w:sz w:val="24"/>
          <w:szCs w:val="24"/>
        </w:rPr>
        <w:t>Interpretation of above chart</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Analysis:</w:t>
      </w:r>
      <w:r w:rsidRPr="008D5DB7">
        <w:rPr>
          <w:rFonts w:ascii="Times New Roman" w:eastAsia="Times New Roman" w:hAnsi="Times New Roman" w:cs="Times New Roman"/>
          <w:color w:val="1F3864"/>
          <w:sz w:val="24"/>
          <w:szCs w:val="24"/>
        </w:rPr>
        <w:t xml:space="preserve"> Multivariate Analysis</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Visualization:</w:t>
      </w:r>
      <w:r w:rsidRPr="008D5DB7">
        <w:rPr>
          <w:rFonts w:ascii="Times New Roman" w:eastAsia="Times New Roman" w:hAnsi="Times New Roman" w:cs="Times New Roman"/>
          <w:color w:val="1F3864"/>
          <w:sz w:val="24"/>
          <w:szCs w:val="24"/>
        </w:rPr>
        <w:t xml:space="preserve"> Pie Chart – AR Aging Bucket by Outstanding &amp; Resolution Amount</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Chart Explanation:</w:t>
      </w:r>
      <w:r w:rsidRPr="008D5DB7">
        <w:rPr>
          <w:rFonts w:ascii="Times New Roman" w:eastAsia="Times New Roman" w:hAnsi="Times New Roman" w:cs="Times New Roman"/>
          <w:color w:val="1F3864"/>
          <w:sz w:val="24"/>
          <w:szCs w:val="24"/>
        </w:rPr>
        <w:t xml:space="preserve"> Breaks down Outstanding_Amount and Resolution_Amount across the 5 aging buckets (0–30, 31–60, 61–90, 91–120, 120+ days).</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Purpose:</w:t>
      </w:r>
      <w:r w:rsidRPr="008D5DB7">
        <w:rPr>
          <w:rFonts w:ascii="Times New Roman" w:eastAsia="Times New Roman" w:hAnsi="Times New Roman" w:cs="Times New Roman"/>
          <w:color w:val="1F3864"/>
          <w:sz w:val="24"/>
          <w:szCs w:val="24"/>
        </w:rPr>
        <w:t xml:space="preserve"> To see whether older claims are harder to resolve than newer ones.</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Features Used:</w:t>
      </w:r>
      <w:r w:rsidRPr="008D5DB7">
        <w:rPr>
          <w:rFonts w:ascii="Times New Roman" w:eastAsia="Times New Roman" w:hAnsi="Times New Roman" w:cs="Times New Roman"/>
          <w:color w:val="1F3864"/>
          <w:sz w:val="24"/>
          <w:szCs w:val="24"/>
        </w:rPr>
        <w:t xml:space="preserve"> AR_Aging_Bucket, Outstanding_Amount, Resolution_Amount</w:t>
      </w:r>
      <w:r w:rsidRPr="008D5DB7">
        <w:rPr>
          <w:rFonts w:ascii="Times New Roman" w:eastAsia="Times New Roman" w:hAnsi="Times New Roman" w:cs="Times New Roman"/>
          <w:color w:val="1F3864"/>
          <w:sz w:val="24"/>
          <w:szCs w:val="24"/>
        </w:rPr>
        <w:br/>
      </w:r>
      <w:r w:rsidRPr="008D5DB7">
        <w:rPr>
          <w:rFonts w:ascii="Times New Roman" w:eastAsia="Times New Roman" w:hAnsi="Times New Roman" w:cs="Times New Roman"/>
          <w:b/>
          <w:bCs/>
          <w:color w:val="1F3864"/>
          <w:sz w:val="24"/>
          <w:szCs w:val="24"/>
        </w:rPr>
        <w:t>Business Insight:</w:t>
      </w:r>
      <w:r w:rsidRPr="008D5DB7">
        <w:rPr>
          <w:rFonts w:ascii="Times New Roman" w:eastAsia="Times New Roman" w:hAnsi="Times New Roman" w:cs="Times New Roman"/>
          <w:color w:val="1F3864"/>
          <w:sz w:val="24"/>
          <w:szCs w:val="24"/>
        </w:rPr>
        <w:t xml:space="preserve"> Resolution rate is surprisingly flat across age — 0–30 days resolves 56.8%, 31–60 days 56.3%, and even 120+ days still resolves 57.4%. Age alone isn't slowing recovery; the bottleneck is </w:t>
      </w:r>
      <w:proofErr w:type="gramStart"/>
      <w:r w:rsidRPr="008D5DB7">
        <w:rPr>
          <w:rFonts w:ascii="Times New Roman" w:eastAsia="Times New Roman" w:hAnsi="Times New Roman" w:cs="Times New Roman"/>
          <w:color w:val="1F3864"/>
          <w:sz w:val="24"/>
          <w:szCs w:val="24"/>
        </w:rPr>
        <w:t>claim</w:t>
      </w:r>
      <w:proofErr w:type="gramEnd"/>
      <w:r w:rsidRPr="008D5DB7">
        <w:rPr>
          <w:rFonts w:ascii="Times New Roman" w:eastAsia="Times New Roman" w:hAnsi="Times New Roman" w:cs="Times New Roman"/>
          <w:color w:val="1F3864"/>
          <w:sz w:val="24"/>
          <w:szCs w:val="24"/>
        </w:rPr>
        <w:t xml:space="preserve"> volume stuck in the 120+ bucket ($79.8M, 14,846 claims), not declining recovery capability over time.</w:t>
      </w:r>
    </w:p>
    <w:p w14:paraId="3EC09F20" w14:textId="77777777" w:rsidR="008D5DB7" w:rsidRDefault="008D5DB7" w:rsidP="00B56A33">
      <w:pPr>
        <w:spacing w:after="0" w:line="360" w:lineRule="auto"/>
        <w:ind w:left="720"/>
        <w:rPr>
          <w:rFonts w:ascii="Times New Roman" w:eastAsia="Times New Roman" w:hAnsi="Times New Roman" w:cs="Times New Roman"/>
          <w:color w:val="1F3864"/>
          <w:sz w:val="24"/>
          <w:szCs w:val="24"/>
          <w:lang w:val="en-US"/>
        </w:rPr>
      </w:pPr>
    </w:p>
    <w:p w14:paraId="4DF12954"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3BB7FC3A"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5EA9D537"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35C18BFA"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404FEA2C"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68AB7583"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59F4B98F"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63E2CC08"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1BB63FA4"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516D595C"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77CDFC49"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277E1FC0"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63C04F50" w14:textId="77777777" w:rsidR="00200764" w:rsidRDefault="00200764">
      <w:pPr>
        <w:spacing w:after="0" w:line="360" w:lineRule="auto"/>
        <w:jc w:val="both"/>
        <w:rPr>
          <w:rFonts w:ascii="Times New Roman" w:eastAsia="Times New Roman" w:hAnsi="Times New Roman" w:cs="Times New Roman"/>
          <w:b/>
          <w:bCs/>
          <w:color w:val="3333CC"/>
          <w:sz w:val="24"/>
          <w:szCs w:val="24"/>
          <w:lang w:val="en-US"/>
        </w:rPr>
      </w:pPr>
    </w:p>
    <w:p w14:paraId="135661F1" w14:textId="37CB476B" w:rsidR="00075CB1" w:rsidRDefault="00000000">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lastRenderedPageBreak/>
        <w:t>8. Analysis and Visualizations (Power BI)</w:t>
      </w:r>
    </w:p>
    <w:p w14:paraId="3E99A3E2" w14:textId="77777777" w:rsidR="00200764" w:rsidRDefault="00000000" w:rsidP="00200764">
      <w:pPr>
        <w:spacing w:after="0" w:line="360" w:lineRule="auto"/>
        <w:jc w:val="both"/>
        <w:rPr>
          <w:rFonts w:ascii="Times New Roman" w:eastAsia="Times New Roman" w:hAnsi="Times New Roman" w:cs="Times New Roman"/>
          <w:b/>
          <w:bCs/>
          <w:color w:val="1F3864"/>
          <w:sz w:val="24"/>
          <w:szCs w:val="24"/>
          <w:lang w:val="en-US"/>
        </w:rPr>
      </w:pPr>
      <w:r w:rsidRPr="0065561E">
        <w:rPr>
          <w:rFonts w:ascii="Times New Roman" w:eastAsia="Times New Roman" w:hAnsi="Times New Roman" w:cs="Times New Roman"/>
          <w:b/>
          <w:bCs/>
          <w:color w:val="1F3864"/>
          <w:sz w:val="24"/>
          <w:szCs w:val="24"/>
          <w:lang w:val="en-US"/>
        </w:rPr>
        <w:t>Dashboard Features:</w:t>
      </w:r>
    </w:p>
    <w:p w14:paraId="361CEF72" w14:textId="77777777" w:rsidR="00200764" w:rsidRDefault="00200764" w:rsidP="00200764">
      <w:pPr>
        <w:spacing w:after="0" w:line="360" w:lineRule="auto"/>
        <w:jc w:val="both"/>
        <w:rPr>
          <w:rFonts w:ascii="Times New Roman" w:eastAsia="Times New Roman" w:hAnsi="Times New Roman" w:cs="Times New Roman"/>
          <w:b/>
          <w:bCs/>
          <w:color w:val="1F3864"/>
          <w:sz w:val="24"/>
          <w:szCs w:val="24"/>
          <w:lang w:val="en-US"/>
        </w:rPr>
      </w:pPr>
      <w:r>
        <w:rPr>
          <w:rFonts w:ascii="Times New Roman" w:eastAsia="Times New Roman" w:hAnsi="Times New Roman" w:cs="Times New Roman"/>
          <w:b/>
          <w:bCs/>
          <w:color w:val="1F3864"/>
          <w:sz w:val="24"/>
          <w:szCs w:val="24"/>
          <w:lang w:val="en-US"/>
        </w:rPr>
        <w:t xml:space="preserve"> </w:t>
      </w:r>
      <w:r w:rsidRPr="00200764">
        <w:rPr>
          <w:rFonts w:ascii="Times New Roman" w:eastAsia="Times New Roman" w:hAnsi="Times New Roman" w:cs="Times New Roman"/>
          <w:b/>
          <w:bCs/>
          <w:color w:val="1F3864"/>
          <w:sz w:val="24"/>
          <w:szCs w:val="24"/>
          <w:lang w:val="en-US"/>
        </w:rPr>
        <w:t>Pages:</w:t>
      </w:r>
    </w:p>
    <w:p w14:paraId="0CBD41CE" w14:textId="56287575" w:rsidR="00200764" w:rsidRPr="00200764" w:rsidRDefault="00200764" w:rsidP="00200764">
      <w:pPr>
        <w:spacing w:after="0" w:line="360" w:lineRule="auto"/>
        <w:jc w:val="both"/>
        <w:rPr>
          <w:rFonts w:ascii="Times New Roman" w:eastAsia="Times New Roman" w:hAnsi="Times New Roman" w:cs="Times New Roman"/>
          <w:b/>
          <w:bCs/>
          <w:color w:val="1F3864"/>
          <w:sz w:val="24"/>
          <w:szCs w:val="24"/>
          <w:lang w:val="en-US"/>
        </w:rPr>
      </w:pPr>
      <w:r>
        <w:rPr>
          <w:rFonts w:ascii="Times New Roman" w:eastAsia="Times New Roman" w:hAnsi="Times New Roman" w:cs="Times New Roman"/>
          <w:b/>
          <w:bCs/>
          <w:color w:val="1F3864"/>
          <w:sz w:val="24"/>
          <w:szCs w:val="24"/>
          <w:lang w:val="en-US"/>
        </w:rPr>
        <w:t xml:space="preserve">  </w:t>
      </w:r>
      <w:r w:rsidR="00902463">
        <w:rPr>
          <w:rFonts w:ascii="Times New Roman" w:eastAsia="Times New Roman" w:hAnsi="Times New Roman" w:cs="Times New Roman"/>
          <w:b/>
          <w:bCs/>
          <w:color w:val="1F3864"/>
          <w:sz w:val="24"/>
          <w:szCs w:val="24"/>
          <w:lang w:val="en-US"/>
        </w:rPr>
        <w:t xml:space="preserve">    </w:t>
      </w:r>
      <w:r w:rsidRPr="00200764">
        <w:rPr>
          <w:rFonts w:ascii="Times New Roman" w:eastAsia="Times New Roman" w:hAnsi="Times New Roman" w:cs="Times New Roman"/>
          <w:b/>
          <w:bCs/>
          <w:color w:val="1F3864"/>
          <w:sz w:val="24"/>
          <w:szCs w:val="24"/>
          <w:lang w:val="en-US"/>
        </w:rPr>
        <w:t>1. Executive Summary textbox (top of page)</w:t>
      </w:r>
    </w:p>
    <w:p w14:paraId="500F0BC6" w14:textId="09F26AF6" w:rsidR="00200764" w:rsidRDefault="00200764" w:rsidP="00902463">
      <w:pPr>
        <w:spacing w:after="0" w:line="360" w:lineRule="auto"/>
        <w:ind w:left="720"/>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color w:val="1F3864"/>
          <w:sz w:val="24"/>
          <w:szCs w:val="24"/>
          <w:lang w:val="en-US"/>
        </w:rPr>
        <w:t>This dashboard tracks the full revenue cycle — from claims billed through collections, adjustments, and denials — giving RCM teams a single view of cash performance, payer behavior, and where revenue is currently leaking in the process."</w:t>
      </w:r>
    </w:p>
    <w:p w14:paraId="1707665F" w14:textId="77777777" w:rsidR="00F7757E" w:rsidRDefault="00F7757E" w:rsidP="00902463">
      <w:pPr>
        <w:spacing w:after="0" w:line="360" w:lineRule="auto"/>
        <w:ind w:left="360"/>
        <w:jc w:val="both"/>
        <w:rPr>
          <w:rFonts w:ascii="Times New Roman" w:eastAsia="Times New Roman" w:hAnsi="Times New Roman" w:cs="Times New Roman"/>
          <w:b/>
          <w:bCs/>
          <w:color w:val="1F3864"/>
          <w:sz w:val="24"/>
          <w:szCs w:val="24"/>
          <w:lang w:val="en-US"/>
        </w:rPr>
      </w:pPr>
    </w:p>
    <w:p w14:paraId="2987293D" w14:textId="2E2D32EC" w:rsidR="00200764" w:rsidRPr="00200764" w:rsidRDefault="00200764" w:rsidP="00902463">
      <w:pPr>
        <w:spacing w:after="0" w:line="360" w:lineRule="auto"/>
        <w:ind w:left="360"/>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2. KPI card captions (one-line, sits under each card)</w:t>
      </w:r>
    </w:p>
    <w:p w14:paraId="4145C507"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Total Billed</w:t>
      </w:r>
      <w:r w:rsidRPr="00200764">
        <w:rPr>
          <w:rFonts w:ascii="Times New Roman" w:eastAsia="Times New Roman" w:hAnsi="Times New Roman" w:cs="Times New Roman"/>
          <w:color w:val="1F3864"/>
          <w:sz w:val="24"/>
          <w:szCs w:val="24"/>
          <w:lang w:val="en-US"/>
        </w:rPr>
        <w:t xml:space="preserve"> → "Gross charges submitted across all payers and facilities for the selected period."</w:t>
      </w:r>
    </w:p>
    <w:p w14:paraId="2CA47C67"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Total Collection</w:t>
      </w:r>
      <w:r w:rsidRPr="00200764">
        <w:rPr>
          <w:rFonts w:ascii="Times New Roman" w:eastAsia="Times New Roman" w:hAnsi="Times New Roman" w:cs="Times New Roman"/>
          <w:color w:val="1F3864"/>
          <w:sz w:val="24"/>
          <w:szCs w:val="24"/>
          <w:lang w:val="en-US"/>
        </w:rPr>
        <w:t xml:space="preserve"> → "Cash actually realized against billed charges — the truest measure of RCM performance."</w:t>
      </w:r>
    </w:p>
    <w:p w14:paraId="3D45539C"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Collection Rate</w:t>
      </w:r>
      <w:r w:rsidRPr="00200764">
        <w:rPr>
          <w:rFonts w:ascii="Times New Roman" w:eastAsia="Times New Roman" w:hAnsi="Times New Roman" w:cs="Times New Roman"/>
          <w:color w:val="1F3864"/>
          <w:sz w:val="24"/>
          <w:szCs w:val="24"/>
          <w:lang w:val="en-US"/>
        </w:rPr>
        <w:t xml:space="preserve"> → "Share of billed revenue successfully collected; the primary efficiency benchmark for the cycle."</w:t>
      </w:r>
    </w:p>
    <w:p w14:paraId="27A5597F"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Total Claims / Allowed Claims</w:t>
      </w:r>
      <w:r w:rsidRPr="00200764">
        <w:rPr>
          <w:rFonts w:ascii="Times New Roman" w:eastAsia="Times New Roman" w:hAnsi="Times New Roman" w:cs="Times New Roman"/>
          <w:color w:val="1F3864"/>
          <w:sz w:val="24"/>
          <w:szCs w:val="24"/>
          <w:lang w:val="en-US"/>
        </w:rPr>
        <w:t xml:space="preserve"> → "Volume processed vs. volume approved by payers — a quick read on clean-claim quality."</w:t>
      </w:r>
    </w:p>
    <w:p w14:paraId="0D671E1A"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Denied Claims / Denial Rate</w:t>
      </w:r>
      <w:r w:rsidRPr="00200764">
        <w:rPr>
          <w:rFonts w:ascii="Times New Roman" w:eastAsia="Times New Roman" w:hAnsi="Times New Roman" w:cs="Times New Roman"/>
          <w:color w:val="1F3864"/>
          <w:sz w:val="24"/>
          <w:szCs w:val="24"/>
          <w:lang w:val="en-US"/>
        </w:rPr>
        <w:t xml:space="preserve"> → "Claims rejected by payers; rising denial rate signals coding, eligibility, or documentation gaps upstream."</w:t>
      </w:r>
    </w:p>
    <w:p w14:paraId="47FA916E"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Total Outstanding / PMT Outstanding Rate</w:t>
      </w:r>
      <w:r w:rsidRPr="00200764">
        <w:rPr>
          <w:rFonts w:ascii="Times New Roman" w:eastAsia="Times New Roman" w:hAnsi="Times New Roman" w:cs="Times New Roman"/>
          <w:color w:val="1F3864"/>
          <w:sz w:val="24"/>
          <w:szCs w:val="24"/>
          <w:lang w:val="en-US"/>
        </w:rPr>
        <w:t xml:space="preserve"> → "Revenue still tied up in AR — the balance still owed once approvals and payments are netted out."</w:t>
      </w:r>
    </w:p>
    <w:p w14:paraId="18ED36AF" w14:textId="15C75071" w:rsidR="00902463" w:rsidRDefault="00200764" w:rsidP="00902463">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Total Adjustment / Adjustment Rate</w:t>
      </w:r>
      <w:r w:rsidRPr="00200764">
        <w:rPr>
          <w:rFonts w:ascii="Times New Roman" w:eastAsia="Times New Roman" w:hAnsi="Times New Roman" w:cs="Times New Roman"/>
          <w:color w:val="1F3864"/>
          <w:sz w:val="24"/>
          <w:szCs w:val="24"/>
          <w:lang w:val="en-US"/>
        </w:rPr>
        <w:t xml:space="preserve"> → "Contractual write-offs and negotiated discounts removed from billed charges before collection."</w:t>
      </w:r>
    </w:p>
    <w:p w14:paraId="49A4408B" w14:textId="77777777" w:rsidR="00902463" w:rsidRPr="00902463" w:rsidRDefault="00902463" w:rsidP="00902463">
      <w:pPr>
        <w:tabs>
          <w:tab w:val="num" w:pos="720"/>
        </w:tabs>
        <w:spacing w:after="0" w:line="360" w:lineRule="auto"/>
        <w:ind w:left="720"/>
        <w:jc w:val="both"/>
        <w:rPr>
          <w:rFonts w:ascii="Times New Roman" w:eastAsia="Times New Roman" w:hAnsi="Times New Roman" w:cs="Times New Roman"/>
          <w:color w:val="1F3864"/>
          <w:sz w:val="24"/>
          <w:szCs w:val="24"/>
          <w:lang w:val="en-US"/>
        </w:rPr>
      </w:pPr>
    </w:p>
    <w:p w14:paraId="7D3A9B29" w14:textId="117DE8BA" w:rsidR="00200764" w:rsidRPr="00902463" w:rsidRDefault="00200764" w:rsidP="00902463">
      <w:pPr>
        <w:spacing w:after="0" w:line="360" w:lineRule="auto"/>
        <w:ind w:left="360"/>
        <w:jc w:val="both"/>
        <w:rPr>
          <w:rFonts w:ascii="Times New Roman" w:eastAsia="Times New Roman" w:hAnsi="Times New Roman" w:cs="Times New Roman"/>
          <w:b/>
          <w:bCs/>
          <w:color w:val="1F3864"/>
          <w:sz w:val="24"/>
          <w:szCs w:val="24"/>
          <w:lang w:val="en-US"/>
        </w:rPr>
      </w:pPr>
      <w:r w:rsidRPr="00902463">
        <w:rPr>
          <w:rFonts w:ascii="Times New Roman" w:eastAsia="Times New Roman" w:hAnsi="Times New Roman" w:cs="Times New Roman"/>
          <w:b/>
          <w:bCs/>
          <w:color w:val="1F3864"/>
          <w:sz w:val="24"/>
          <w:szCs w:val="24"/>
          <w:lang w:val="en-US"/>
        </w:rPr>
        <w:t>3. Chart-specific insight comments</w:t>
      </w:r>
    </w:p>
    <w:p w14:paraId="4C5F784B"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Claim Status (donut)</w:t>
      </w:r>
      <w:r w:rsidRPr="00200764">
        <w:rPr>
          <w:rFonts w:ascii="Times New Roman" w:eastAsia="Times New Roman" w:hAnsi="Times New Roman" w:cs="Times New Roman"/>
          <w:color w:val="1F3864"/>
          <w:sz w:val="24"/>
          <w:szCs w:val="24"/>
          <w:lang w:val="en-US"/>
        </w:rPr>
        <w:t xml:space="preserve"> → "Distribution of claims by lifecycle stage — use this to spot bottlenecks between submission and final settlement."</w:t>
      </w:r>
    </w:p>
    <w:p w14:paraId="0596AD97"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State Wise Collection Status (bar)</w:t>
      </w:r>
      <w:r w:rsidRPr="00200764">
        <w:rPr>
          <w:rFonts w:ascii="Times New Roman" w:eastAsia="Times New Roman" w:hAnsi="Times New Roman" w:cs="Times New Roman"/>
          <w:color w:val="1F3864"/>
          <w:sz w:val="24"/>
          <w:szCs w:val="24"/>
          <w:lang w:val="en-US"/>
        </w:rPr>
        <w:t xml:space="preserve"> → "Highlights which states/regions are converting billed revenue into cash fastest — useful for reallocating collections staff."</w:t>
      </w:r>
    </w:p>
    <w:p w14:paraId="008E3341"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Medical Condition Wise Collection (bar)</w:t>
      </w:r>
      <w:r w:rsidRPr="00200764">
        <w:rPr>
          <w:rFonts w:ascii="Times New Roman" w:eastAsia="Times New Roman" w:hAnsi="Times New Roman" w:cs="Times New Roman"/>
          <w:color w:val="1F3864"/>
          <w:sz w:val="24"/>
          <w:szCs w:val="24"/>
          <w:lang w:val="en-US"/>
        </w:rPr>
        <w:t xml:space="preserve"> → "Shows which service lines or diagnosis categories drive the most realized revenue, helping prioritize coding accuracy reviews."</w:t>
      </w:r>
    </w:p>
    <w:p w14:paraId="6A50FD55"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Denial Category Wise Status (area)</w:t>
      </w:r>
      <w:r w:rsidRPr="00200764">
        <w:rPr>
          <w:rFonts w:ascii="Times New Roman" w:eastAsia="Times New Roman" w:hAnsi="Times New Roman" w:cs="Times New Roman"/>
          <w:color w:val="1F3864"/>
          <w:sz w:val="24"/>
          <w:szCs w:val="24"/>
          <w:lang w:val="en-US"/>
        </w:rPr>
        <w:t xml:space="preserve"> → "Trended view of denial reasons over time — a widening band flags a recurring root cause worth a payer-specific fix."</w:t>
      </w:r>
    </w:p>
    <w:p w14:paraId="401392FA" w14:textId="77777777" w:rsidR="00200764" w:rsidRPr="00200764" w:rsidRDefault="00200764" w:rsidP="00200764">
      <w:pPr>
        <w:numPr>
          <w:ilvl w:val="0"/>
          <w:numId w:val="2"/>
        </w:numPr>
        <w:tabs>
          <w:tab w:val="num" w:pos="720"/>
        </w:tabs>
        <w:spacing w:after="0" w:line="360" w:lineRule="auto"/>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Year Wise Revenue Status (combo)</w:t>
      </w:r>
      <w:r w:rsidRPr="00200764">
        <w:rPr>
          <w:rFonts w:ascii="Times New Roman" w:eastAsia="Times New Roman" w:hAnsi="Times New Roman" w:cs="Times New Roman"/>
          <w:color w:val="1F3864"/>
          <w:sz w:val="24"/>
          <w:szCs w:val="24"/>
          <w:lang w:val="en-US"/>
        </w:rPr>
        <w:t xml:space="preserve"> → "Combines billed vs. collected trend lines with a bar for volume — read this as your year-over-year RCM health check."</w:t>
      </w:r>
    </w:p>
    <w:p w14:paraId="6E4D338B" w14:textId="77777777" w:rsidR="00200764" w:rsidRDefault="00200764">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1F3864"/>
          <w:sz w:val="24"/>
          <w:szCs w:val="24"/>
          <w:lang w:val="en-US"/>
        </w:rPr>
      </w:pPr>
    </w:p>
    <w:p w14:paraId="6F6E4D19" w14:textId="68D30810" w:rsidR="00075CB1" w:rsidRDefault="00000000">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lang w:val="en-US"/>
        </w:rPr>
      </w:pPr>
      <w:r w:rsidRPr="0065561E">
        <w:rPr>
          <w:rFonts w:ascii="Times New Roman" w:eastAsia="Times New Roman" w:hAnsi="Times New Roman" w:cs="Times New Roman"/>
          <w:b/>
          <w:bCs/>
          <w:color w:val="EE0000"/>
          <w:sz w:val="24"/>
          <w:szCs w:val="24"/>
          <w:lang w:val="en-US"/>
        </w:rPr>
        <w:lastRenderedPageBreak/>
        <w:t>SCREENSHOT OF DASHBOARD /REPORT</w:t>
      </w:r>
    </w:p>
    <w:p w14:paraId="22DA2C04" w14:textId="734099E0" w:rsidR="00200764" w:rsidRDefault="00200764" w:rsidP="00200764">
      <w:pPr>
        <w:pBdr>
          <w:top w:val="nil"/>
          <w:left w:val="nil"/>
          <w:bottom w:val="nil"/>
          <w:right w:val="nil"/>
          <w:between w:val="nil"/>
        </w:pBdr>
        <w:spacing w:after="0" w:line="360" w:lineRule="auto"/>
        <w:ind w:left="720"/>
        <w:rPr>
          <w:rFonts w:ascii="Times New Roman" w:eastAsia="Times New Roman" w:hAnsi="Times New Roman" w:cs="Times New Roman"/>
          <w:b/>
          <w:bCs/>
          <w:color w:val="4472C4" w:themeColor="accent1"/>
          <w:sz w:val="24"/>
          <w:szCs w:val="24"/>
          <w:lang w:val="en-US"/>
        </w:rPr>
      </w:pPr>
      <w:r w:rsidRPr="00200764">
        <w:rPr>
          <w:rFonts w:ascii="Times New Roman" w:eastAsia="Times New Roman" w:hAnsi="Times New Roman" w:cs="Times New Roman"/>
          <w:b/>
          <w:bCs/>
          <w:color w:val="4472C4" w:themeColor="accent1"/>
          <w:sz w:val="24"/>
          <w:szCs w:val="24"/>
          <w:lang w:val="en-US"/>
        </w:rPr>
        <w:t>Page</w:t>
      </w:r>
      <w:r>
        <w:rPr>
          <w:rFonts w:ascii="Times New Roman" w:eastAsia="Times New Roman" w:hAnsi="Times New Roman" w:cs="Times New Roman"/>
          <w:b/>
          <w:bCs/>
          <w:color w:val="4472C4" w:themeColor="accent1"/>
          <w:sz w:val="24"/>
          <w:szCs w:val="24"/>
          <w:lang w:val="en-US"/>
        </w:rPr>
        <w:t>-1:</w:t>
      </w:r>
    </w:p>
    <w:p w14:paraId="3E734A2D" w14:textId="72E5AD1C" w:rsidR="00200764" w:rsidRPr="00200764" w:rsidRDefault="00200764" w:rsidP="00902463">
      <w:pPr>
        <w:spacing w:after="0" w:line="360" w:lineRule="auto"/>
        <w:ind w:left="720"/>
        <w:jc w:val="both"/>
        <w:rPr>
          <w:rFonts w:ascii="Times New Roman" w:eastAsia="Times New Roman" w:hAnsi="Times New Roman" w:cs="Times New Roman"/>
          <w:b/>
          <w:bCs/>
          <w:color w:val="4472C4" w:themeColor="accent1"/>
          <w:sz w:val="24"/>
          <w:szCs w:val="24"/>
          <w:lang w:val="en-US"/>
        </w:rPr>
      </w:pPr>
      <w:r w:rsidRPr="00200764">
        <w:rPr>
          <w:rFonts w:ascii="Times New Roman" w:eastAsia="Times New Roman" w:hAnsi="Times New Roman" w:cs="Times New Roman"/>
          <w:b/>
          <w:bCs/>
          <w:color w:val="1F3864"/>
          <w:sz w:val="24"/>
          <w:szCs w:val="24"/>
          <w:lang w:val="en-US"/>
        </w:rPr>
        <w:t>Revenue &amp; Claims Overview</w:t>
      </w:r>
      <w:r w:rsidRPr="00200764">
        <w:rPr>
          <w:rFonts w:ascii="Times New Roman" w:eastAsia="Times New Roman" w:hAnsi="Times New Roman" w:cs="Times New Roman"/>
          <w:color w:val="1F3864"/>
          <w:sz w:val="24"/>
          <w:szCs w:val="24"/>
          <w:lang w:val="en-US"/>
        </w:rPr>
        <w:t xml:space="preserve"> — this is your de facto summary page (Total Collection, Total Claims, Denied Claims, Payment Outstanding Rate, Collection Rate, Denial Rate cards + Claim Status donut, State Wise Collection, Medical Condition Wise Collection, Denial Category Wise Status, Year Wise Revenue Status)</w:t>
      </w:r>
    </w:p>
    <w:p w14:paraId="30401427" w14:textId="4CD300DE" w:rsidR="00200764" w:rsidRDefault="00200764">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lang w:val="en-US"/>
        </w:rPr>
      </w:pPr>
      <w:r w:rsidRPr="00200764">
        <w:rPr>
          <w:rFonts w:ascii="Times New Roman" w:eastAsia="Times New Roman" w:hAnsi="Times New Roman" w:cs="Times New Roman"/>
          <w:b/>
          <w:bCs/>
          <w:color w:val="1F3864"/>
          <w:sz w:val="24"/>
          <w:szCs w:val="24"/>
          <w:lang w:val="en-US"/>
        </w:rPr>
        <w:drawing>
          <wp:inline distT="0" distB="0" distL="0" distR="0" wp14:anchorId="55D51545" wp14:editId="671C9905">
            <wp:extent cx="5731510" cy="3219450"/>
            <wp:effectExtent l="0" t="0" r="2540" b="0"/>
            <wp:docPr id="20646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5176" name=""/>
                    <pic:cNvPicPr/>
                  </pic:nvPicPr>
                  <pic:blipFill>
                    <a:blip r:embed="rId12"/>
                    <a:stretch>
                      <a:fillRect/>
                    </a:stretch>
                  </pic:blipFill>
                  <pic:spPr>
                    <a:xfrm>
                      <a:off x="0" y="0"/>
                      <a:ext cx="5731510" cy="3219450"/>
                    </a:xfrm>
                    <a:prstGeom prst="rect">
                      <a:avLst/>
                    </a:prstGeom>
                  </pic:spPr>
                </pic:pic>
              </a:graphicData>
            </a:graphic>
          </wp:inline>
        </w:drawing>
      </w:r>
    </w:p>
    <w:p w14:paraId="39F05122" w14:textId="77777777" w:rsidR="00200764" w:rsidRDefault="00200764">
      <w:pPr>
        <w:pBdr>
          <w:top w:val="nil"/>
          <w:left w:val="nil"/>
          <w:bottom w:val="nil"/>
          <w:right w:val="nil"/>
          <w:between w:val="nil"/>
        </w:pBdr>
        <w:spacing w:after="0" w:line="360" w:lineRule="auto"/>
        <w:ind w:left="720"/>
        <w:jc w:val="center"/>
        <w:rPr>
          <w:rFonts w:ascii="Times New Roman" w:eastAsia="Times New Roman" w:hAnsi="Times New Roman" w:cs="Times New Roman"/>
          <w:b/>
          <w:bCs/>
          <w:color w:val="EE0000"/>
          <w:sz w:val="24"/>
          <w:szCs w:val="24"/>
          <w:lang w:val="en-US"/>
        </w:rPr>
      </w:pPr>
    </w:p>
    <w:p w14:paraId="4814E2FF" w14:textId="31400805" w:rsidR="00200764" w:rsidRDefault="00200764" w:rsidP="00200764">
      <w:pPr>
        <w:pBdr>
          <w:top w:val="nil"/>
          <w:left w:val="nil"/>
          <w:bottom w:val="nil"/>
          <w:right w:val="nil"/>
          <w:between w:val="nil"/>
        </w:pBdr>
        <w:spacing w:after="0" w:line="360" w:lineRule="auto"/>
        <w:ind w:left="720"/>
        <w:rPr>
          <w:rFonts w:ascii="Times New Roman" w:eastAsia="Times New Roman" w:hAnsi="Times New Roman" w:cs="Times New Roman"/>
          <w:b/>
          <w:bCs/>
          <w:color w:val="4472C4" w:themeColor="accent1"/>
          <w:sz w:val="24"/>
          <w:szCs w:val="24"/>
          <w:lang w:val="en-US"/>
        </w:rPr>
      </w:pPr>
      <w:r w:rsidRPr="00200764">
        <w:rPr>
          <w:rFonts w:ascii="Times New Roman" w:eastAsia="Times New Roman" w:hAnsi="Times New Roman" w:cs="Times New Roman"/>
          <w:b/>
          <w:bCs/>
          <w:color w:val="4472C4" w:themeColor="accent1"/>
          <w:sz w:val="24"/>
          <w:szCs w:val="24"/>
          <w:lang w:val="en-US"/>
        </w:rPr>
        <w:t>Page</w:t>
      </w:r>
      <w:r>
        <w:rPr>
          <w:rFonts w:ascii="Times New Roman" w:eastAsia="Times New Roman" w:hAnsi="Times New Roman" w:cs="Times New Roman"/>
          <w:b/>
          <w:bCs/>
          <w:color w:val="4472C4" w:themeColor="accent1"/>
          <w:sz w:val="24"/>
          <w:szCs w:val="24"/>
          <w:lang w:val="en-US"/>
        </w:rPr>
        <w:t>-</w:t>
      </w:r>
      <w:r>
        <w:rPr>
          <w:rFonts w:ascii="Times New Roman" w:eastAsia="Times New Roman" w:hAnsi="Times New Roman" w:cs="Times New Roman"/>
          <w:b/>
          <w:bCs/>
          <w:color w:val="4472C4" w:themeColor="accent1"/>
          <w:sz w:val="24"/>
          <w:szCs w:val="24"/>
          <w:lang w:val="en-US"/>
        </w:rPr>
        <w:t>2</w:t>
      </w:r>
      <w:r>
        <w:rPr>
          <w:rFonts w:ascii="Times New Roman" w:eastAsia="Times New Roman" w:hAnsi="Times New Roman" w:cs="Times New Roman"/>
          <w:b/>
          <w:bCs/>
          <w:color w:val="4472C4" w:themeColor="accent1"/>
          <w:sz w:val="24"/>
          <w:szCs w:val="24"/>
          <w:lang w:val="en-US"/>
        </w:rPr>
        <w:t>:</w:t>
      </w:r>
    </w:p>
    <w:p w14:paraId="6B19792D" w14:textId="77777777" w:rsidR="00200764" w:rsidRPr="00200764" w:rsidRDefault="00200764" w:rsidP="00200764">
      <w:pPr>
        <w:spacing w:after="0" w:line="360" w:lineRule="auto"/>
        <w:ind w:left="720"/>
        <w:jc w:val="both"/>
        <w:rPr>
          <w:rFonts w:ascii="Times New Roman" w:eastAsia="Times New Roman" w:hAnsi="Times New Roman" w:cs="Times New Roman"/>
          <w:color w:val="1F3864"/>
          <w:sz w:val="24"/>
          <w:szCs w:val="24"/>
          <w:lang w:val="en-US"/>
        </w:rPr>
      </w:pPr>
      <w:r w:rsidRPr="00200764">
        <w:rPr>
          <w:rFonts w:ascii="Times New Roman" w:eastAsia="Times New Roman" w:hAnsi="Times New Roman" w:cs="Times New Roman"/>
          <w:b/>
          <w:bCs/>
          <w:color w:val="1F3864"/>
          <w:sz w:val="24"/>
          <w:szCs w:val="24"/>
          <w:lang w:val="en-US"/>
        </w:rPr>
        <w:t>AR Aging &amp; Denial Management</w:t>
      </w:r>
      <w:r w:rsidRPr="00200764">
        <w:rPr>
          <w:rFonts w:ascii="Times New Roman" w:eastAsia="Times New Roman" w:hAnsi="Times New Roman" w:cs="Times New Roman"/>
          <w:color w:val="1F3864"/>
          <w:sz w:val="24"/>
          <w:szCs w:val="24"/>
          <w:lang w:val="en-US"/>
        </w:rPr>
        <w:t xml:space="preserve"> — the drill-down/detail page (AR Aging Buckets, Payer Name Wise, Denial Reason wise Outstanding, Facility Wise, Year Wise Resolution)</w:t>
      </w:r>
    </w:p>
    <w:p w14:paraId="3F5F5A38" w14:textId="50CA2BFD" w:rsidR="00200764" w:rsidRDefault="00200764" w:rsidP="00200764">
      <w:pPr>
        <w:pBdr>
          <w:top w:val="nil"/>
          <w:left w:val="nil"/>
          <w:bottom w:val="nil"/>
          <w:right w:val="nil"/>
          <w:between w:val="nil"/>
        </w:pBdr>
        <w:spacing w:after="0" w:line="360" w:lineRule="auto"/>
        <w:ind w:left="720"/>
        <w:rPr>
          <w:rFonts w:ascii="Times New Roman" w:eastAsia="Times New Roman" w:hAnsi="Times New Roman" w:cs="Times New Roman"/>
          <w:b/>
          <w:bCs/>
          <w:color w:val="EE0000"/>
          <w:sz w:val="24"/>
          <w:szCs w:val="24"/>
          <w:lang w:val="en-US"/>
        </w:rPr>
      </w:pPr>
      <w:r w:rsidRPr="00200764">
        <w:rPr>
          <w:rFonts w:ascii="Times New Roman" w:eastAsia="Times New Roman" w:hAnsi="Times New Roman" w:cs="Times New Roman"/>
          <w:b/>
          <w:bCs/>
          <w:color w:val="1F3864"/>
          <w:sz w:val="24"/>
          <w:szCs w:val="24"/>
          <w:lang w:val="en-US"/>
        </w:rPr>
        <w:drawing>
          <wp:inline distT="0" distB="0" distL="0" distR="0" wp14:anchorId="7706721B" wp14:editId="1A7A44C8">
            <wp:extent cx="5731510" cy="3234055"/>
            <wp:effectExtent l="0" t="0" r="2540" b="4445"/>
            <wp:docPr id="7661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90378" name=""/>
                    <pic:cNvPicPr/>
                  </pic:nvPicPr>
                  <pic:blipFill>
                    <a:blip r:embed="rId13"/>
                    <a:stretch>
                      <a:fillRect/>
                    </a:stretch>
                  </pic:blipFill>
                  <pic:spPr>
                    <a:xfrm>
                      <a:off x="0" y="0"/>
                      <a:ext cx="5731510" cy="3234055"/>
                    </a:xfrm>
                    <a:prstGeom prst="rect">
                      <a:avLst/>
                    </a:prstGeom>
                  </pic:spPr>
                </pic:pic>
              </a:graphicData>
            </a:graphic>
          </wp:inline>
        </w:drawing>
      </w:r>
    </w:p>
    <w:p w14:paraId="740740B3" w14:textId="77777777" w:rsidR="00200764" w:rsidRPr="0065561E" w:rsidRDefault="00200764" w:rsidP="00200764">
      <w:pPr>
        <w:pBdr>
          <w:top w:val="nil"/>
          <w:left w:val="nil"/>
          <w:bottom w:val="nil"/>
          <w:right w:val="nil"/>
          <w:between w:val="nil"/>
        </w:pBdr>
        <w:spacing w:after="0" w:line="360" w:lineRule="auto"/>
        <w:ind w:left="720"/>
        <w:rPr>
          <w:rFonts w:ascii="Times New Roman" w:eastAsia="Times New Roman" w:hAnsi="Times New Roman" w:cs="Times New Roman"/>
          <w:b/>
          <w:bCs/>
          <w:color w:val="EE0000"/>
          <w:sz w:val="24"/>
          <w:szCs w:val="24"/>
          <w:lang w:val="en-US"/>
        </w:rPr>
      </w:pPr>
    </w:p>
    <w:p w14:paraId="7590AD91" w14:textId="77777777" w:rsidR="00075CB1" w:rsidRPr="0065561E" w:rsidRDefault="00000000">
      <w:pPr>
        <w:spacing w:after="0" w:line="360" w:lineRule="auto"/>
        <w:jc w:val="both"/>
        <w:rPr>
          <w:rFonts w:ascii="Times New Roman" w:eastAsia="Times New Roman" w:hAnsi="Times New Roman" w:cs="Times New Roman"/>
          <w:sz w:val="24"/>
          <w:szCs w:val="24"/>
          <w:lang w:val="en-US"/>
        </w:rPr>
      </w:pPr>
      <w:r>
        <w:rPr>
          <w:lang w:val="en-US"/>
        </w:rPr>
        <w:pict w14:anchorId="778036C2">
          <v:rect id="_x0000_i1032" style="width:0;height:1.5pt" o:hralign="center" o:hrstd="t" o:hr="t" fillcolor="#a0a0a0" stroked="f"/>
        </w:pict>
      </w:r>
    </w:p>
    <w:p w14:paraId="771602BA" w14:textId="7003EB67" w:rsidR="00851AD9" w:rsidRDefault="00851AD9" w:rsidP="00851AD9">
      <w:pPr>
        <w:spacing w:after="0" w:line="360" w:lineRule="auto"/>
        <w:jc w:val="both"/>
        <w:rPr>
          <w:rFonts w:ascii="Times New Roman" w:eastAsia="Times New Roman" w:hAnsi="Times New Roman" w:cs="Times New Roman"/>
          <w:b/>
          <w:bCs/>
          <w:color w:val="3333CC"/>
          <w:sz w:val="24"/>
          <w:szCs w:val="24"/>
          <w:lang w:val="en-US"/>
        </w:rPr>
      </w:pPr>
      <w:r w:rsidRPr="0065561E">
        <w:rPr>
          <w:rFonts w:ascii="Times New Roman" w:eastAsia="Times New Roman" w:hAnsi="Times New Roman" w:cs="Times New Roman"/>
          <w:b/>
          <w:bCs/>
          <w:color w:val="3333CC"/>
          <w:sz w:val="24"/>
          <w:szCs w:val="24"/>
          <w:lang w:val="en-US"/>
        </w:rPr>
        <w:t>9. Insights &amp; Conclusions</w:t>
      </w:r>
    </w:p>
    <w:p w14:paraId="2479CEEC" w14:textId="77777777" w:rsidR="00C00124" w:rsidRPr="0065561E" w:rsidRDefault="00C00124" w:rsidP="00851AD9">
      <w:pPr>
        <w:spacing w:after="0" w:line="360" w:lineRule="auto"/>
        <w:jc w:val="both"/>
        <w:rPr>
          <w:rFonts w:ascii="Times New Roman" w:eastAsia="Times New Roman" w:hAnsi="Times New Roman" w:cs="Times New Roman"/>
          <w:b/>
          <w:bCs/>
          <w:color w:val="3333CC"/>
          <w:sz w:val="24"/>
          <w:szCs w:val="24"/>
          <w:lang w:val="en-US"/>
        </w:rPr>
      </w:pPr>
    </w:p>
    <w:p w14:paraId="640860DB" w14:textId="388DE43D" w:rsidR="00851AD9" w:rsidRPr="00851AD9" w:rsidRDefault="00851AD9" w:rsidP="00851AD9">
      <w:pPr>
        <w:spacing w:after="0" w:line="360" w:lineRule="auto"/>
        <w:jc w:val="both"/>
        <w:rPr>
          <w:rFonts w:ascii="Times New Roman" w:eastAsia="Times New Roman" w:hAnsi="Times New Roman" w:cs="Times New Roman"/>
          <w:color w:val="1F3864"/>
          <w:sz w:val="24"/>
          <w:szCs w:val="24"/>
          <w:lang w:val="en-US"/>
        </w:rPr>
      </w:pPr>
      <w:r w:rsidRPr="00851AD9">
        <w:rPr>
          <w:rFonts w:ascii="Times New Roman" w:eastAsia="Times New Roman" w:hAnsi="Times New Roman" w:cs="Times New Roman"/>
          <w:b/>
          <w:bCs/>
          <w:color w:val="1F3864"/>
          <w:sz w:val="24"/>
          <w:szCs w:val="24"/>
          <w:lang w:val="en-US"/>
        </w:rPr>
        <w:t>Descriptive — what the data shows</w:t>
      </w:r>
    </w:p>
    <w:p w14:paraId="30788ED8" w14:textId="77777777" w:rsidR="00851AD9" w:rsidRPr="00851AD9" w:rsidRDefault="00851AD9" w:rsidP="00851AD9">
      <w:pPr>
        <w:numPr>
          <w:ilvl w:val="0"/>
          <w:numId w:val="18"/>
        </w:numPr>
        <w:spacing w:after="0" w:line="360" w:lineRule="auto"/>
        <w:jc w:val="both"/>
        <w:rPr>
          <w:rFonts w:ascii="Times New Roman" w:eastAsia="Times New Roman" w:hAnsi="Times New Roman" w:cs="Times New Roman"/>
          <w:color w:val="1F3864"/>
          <w:sz w:val="24"/>
          <w:szCs w:val="24"/>
          <w:lang w:val="en-US"/>
        </w:rPr>
      </w:pPr>
      <w:r w:rsidRPr="00851AD9">
        <w:rPr>
          <w:rFonts w:ascii="Times New Roman" w:eastAsia="Times New Roman" w:hAnsi="Times New Roman" w:cs="Times New Roman"/>
          <w:b/>
          <w:bCs/>
          <w:color w:val="1F3864"/>
          <w:sz w:val="24"/>
          <w:szCs w:val="24"/>
          <w:lang w:val="en-US"/>
        </w:rPr>
        <w:t xml:space="preserve">Overall RCM performance: </w:t>
      </w:r>
      <w:r w:rsidRPr="00851AD9">
        <w:rPr>
          <w:rFonts w:ascii="Times New Roman" w:eastAsia="Times New Roman" w:hAnsi="Times New Roman" w:cs="Times New Roman"/>
          <w:color w:val="1F3864"/>
          <w:sz w:val="24"/>
          <w:szCs w:val="24"/>
          <w:lang w:val="en-US"/>
        </w:rPr>
        <w:t>Across 55,390 claims, the organization billed $1.42B, allowed $921.1M, and collected $627.4M — a 44.3% collection rate, with $293.8M still outstanding.</w:t>
      </w:r>
    </w:p>
    <w:p w14:paraId="1C0CD3C8" w14:textId="77777777" w:rsidR="00851AD9" w:rsidRPr="00851AD9" w:rsidRDefault="00851AD9" w:rsidP="00851AD9">
      <w:pPr>
        <w:numPr>
          <w:ilvl w:val="0"/>
          <w:numId w:val="18"/>
        </w:numPr>
        <w:spacing w:after="0" w:line="360" w:lineRule="auto"/>
        <w:jc w:val="both"/>
        <w:rPr>
          <w:rFonts w:ascii="Times New Roman" w:eastAsia="Times New Roman" w:hAnsi="Times New Roman" w:cs="Times New Roman"/>
          <w:b/>
          <w:bCs/>
          <w:color w:val="1F3864"/>
          <w:sz w:val="24"/>
          <w:szCs w:val="24"/>
          <w:lang w:val="en-US"/>
        </w:rPr>
      </w:pPr>
      <w:r w:rsidRPr="00851AD9">
        <w:rPr>
          <w:rFonts w:ascii="Times New Roman" w:eastAsia="Times New Roman" w:hAnsi="Times New Roman" w:cs="Times New Roman"/>
          <w:b/>
          <w:bCs/>
          <w:color w:val="1F3864"/>
          <w:sz w:val="24"/>
          <w:szCs w:val="24"/>
          <w:lang w:val="en-US"/>
        </w:rPr>
        <w:t xml:space="preserve">Claim outcome mix: </w:t>
      </w:r>
      <w:r w:rsidRPr="00851AD9">
        <w:rPr>
          <w:rFonts w:ascii="Times New Roman" w:eastAsia="Times New Roman" w:hAnsi="Times New Roman" w:cs="Times New Roman"/>
          <w:color w:val="1F3864"/>
          <w:sz w:val="24"/>
          <w:szCs w:val="24"/>
          <w:lang w:val="en-US"/>
        </w:rPr>
        <w:t>52.4% of claims are fully paid, 19.2% partially paid, 16.3% denied, and 12.1% still pending — meaning nearly 1 in 3 claims never reaches full payment on the first pass.</w:t>
      </w:r>
    </w:p>
    <w:p w14:paraId="332554EE" w14:textId="77777777" w:rsidR="00851AD9" w:rsidRPr="00851AD9" w:rsidRDefault="00851AD9" w:rsidP="00851AD9">
      <w:pPr>
        <w:numPr>
          <w:ilvl w:val="0"/>
          <w:numId w:val="18"/>
        </w:numPr>
        <w:spacing w:after="0" w:line="360" w:lineRule="auto"/>
        <w:jc w:val="both"/>
        <w:rPr>
          <w:rFonts w:ascii="Times New Roman" w:eastAsia="Times New Roman" w:hAnsi="Times New Roman" w:cs="Times New Roman"/>
          <w:color w:val="1F3864"/>
          <w:sz w:val="24"/>
          <w:szCs w:val="24"/>
          <w:lang w:val="en-US"/>
        </w:rPr>
      </w:pPr>
      <w:r w:rsidRPr="00851AD9">
        <w:rPr>
          <w:rFonts w:ascii="Times New Roman" w:eastAsia="Times New Roman" w:hAnsi="Times New Roman" w:cs="Times New Roman"/>
          <w:b/>
          <w:bCs/>
          <w:color w:val="1F3864"/>
          <w:sz w:val="24"/>
          <w:szCs w:val="24"/>
          <w:lang w:val="en-US"/>
        </w:rPr>
        <w:t xml:space="preserve">AR aging is bimodal, not gradual: </w:t>
      </w:r>
      <w:r w:rsidRPr="00851AD9">
        <w:rPr>
          <w:rFonts w:ascii="Times New Roman" w:eastAsia="Times New Roman" w:hAnsi="Times New Roman" w:cs="Times New Roman"/>
          <w:color w:val="1F3864"/>
          <w:sz w:val="24"/>
          <w:szCs w:val="24"/>
          <w:lang w:val="en-US"/>
        </w:rPr>
        <w:t>46.3% of outstanding dollars sit in the 0–</w:t>
      </w:r>
      <w:proofErr w:type="gramStart"/>
      <w:r w:rsidRPr="00851AD9">
        <w:rPr>
          <w:rFonts w:ascii="Times New Roman" w:eastAsia="Times New Roman" w:hAnsi="Times New Roman" w:cs="Times New Roman"/>
          <w:color w:val="1F3864"/>
          <w:sz w:val="24"/>
          <w:szCs w:val="24"/>
          <w:lang w:val="en-US"/>
        </w:rPr>
        <w:t>30 day</w:t>
      </w:r>
      <w:proofErr w:type="gramEnd"/>
      <w:r w:rsidRPr="00851AD9">
        <w:rPr>
          <w:rFonts w:ascii="Times New Roman" w:eastAsia="Times New Roman" w:hAnsi="Times New Roman" w:cs="Times New Roman"/>
          <w:color w:val="1F3864"/>
          <w:sz w:val="24"/>
          <w:szCs w:val="24"/>
          <w:lang w:val="en-US"/>
        </w:rPr>
        <w:t xml:space="preserve"> bucket (normal/fresh) and 27.2% sit past 120 days (chronic), while the 61–</w:t>
      </w:r>
      <w:proofErr w:type="gramStart"/>
      <w:r w:rsidRPr="00851AD9">
        <w:rPr>
          <w:rFonts w:ascii="Times New Roman" w:eastAsia="Times New Roman" w:hAnsi="Times New Roman" w:cs="Times New Roman"/>
          <w:color w:val="1F3864"/>
          <w:sz w:val="24"/>
          <w:szCs w:val="24"/>
          <w:lang w:val="en-US"/>
        </w:rPr>
        <w:t>120 day</w:t>
      </w:r>
      <w:proofErr w:type="gramEnd"/>
      <w:r w:rsidRPr="00851AD9">
        <w:rPr>
          <w:rFonts w:ascii="Times New Roman" w:eastAsia="Times New Roman" w:hAnsi="Times New Roman" w:cs="Times New Roman"/>
          <w:color w:val="1F3864"/>
          <w:sz w:val="24"/>
          <w:szCs w:val="24"/>
          <w:lang w:val="en-US"/>
        </w:rPr>
        <w:t xml:space="preserve"> middle bands hold under 1% combined — claims either resolve quickly or get permanently stuck, with almost no "slow drift."</w:t>
      </w:r>
    </w:p>
    <w:p w14:paraId="6129F3A6" w14:textId="77777777" w:rsidR="00C00124" w:rsidRDefault="00C00124" w:rsidP="00851AD9">
      <w:pPr>
        <w:spacing w:after="0" w:line="360" w:lineRule="auto"/>
        <w:jc w:val="both"/>
        <w:rPr>
          <w:rFonts w:ascii="Times New Roman" w:eastAsia="Times New Roman" w:hAnsi="Times New Roman" w:cs="Times New Roman"/>
          <w:b/>
          <w:bCs/>
          <w:color w:val="1F3864"/>
          <w:sz w:val="24"/>
          <w:szCs w:val="24"/>
          <w:lang w:val="en-US"/>
        </w:rPr>
      </w:pPr>
    </w:p>
    <w:p w14:paraId="7C393769" w14:textId="77777777" w:rsidR="00C00124" w:rsidRDefault="00851AD9" w:rsidP="00C00124">
      <w:pPr>
        <w:spacing w:after="0" w:line="360" w:lineRule="auto"/>
        <w:jc w:val="both"/>
        <w:rPr>
          <w:rFonts w:ascii="Times New Roman" w:eastAsia="Times New Roman" w:hAnsi="Times New Roman" w:cs="Times New Roman"/>
          <w:b/>
          <w:bCs/>
          <w:color w:val="1F3864"/>
          <w:sz w:val="24"/>
          <w:szCs w:val="24"/>
          <w:lang w:val="en-US"/>
        </w:rPr>
      </w:pPr>
      <w:r w:rsidRPr="00C00124">
        <w:rPr>
          <w:rFonts w:ascii="Times New Roman" w:eastAsia="Times New Roman" w:hAnsi="Times New Roman" w:cs="Times New Roman"/>
          <w:b/>
          <w:bCs/>
          <w:color w:val="1F3864"/>
          <w:sz w:val="24"/>
          <w:szCs w:val="24"/>
          <w:lang w:val="en-US"/>
        </w:rPr>
        <w:t>Diagnostic — why it's happening</w:t>
      </w:r>
    </w:p>
    <w:p w14:paraId="11D5E8B0" w14:textId="1FD36321" w:rsidR="00C00124" w:rsidRPr="00C00124" w:rsidRDefault="00851AD9" w:rsidP="00C00124">
      <w:pPr>
        <w:pStyle w:val="ListParagraph"/>
        <w:numPr>
          <w:ilvl w:val="0"/>
          <w:numId w:val="18"/>
        </w:numPr>
        <w:spacing w:after="0" w:line="360" w:lineRule="auto"/>
        <w:jc w:val="both"/>
        <w:rPr>
          <w:rFonts w:ascii="Times New Roman" w:eastAsia="Times New Roman" w:hAnsi="Times New Roman" w:cs="Times New Roman"/>
          <w:b/>
          <w:bCs/>
          <w:color w:val="1F3864"/>
          <w:sz w:val="24"/>
          <w:szCs w:val="24"/>
          <w:lang w:val="en-US"/>
        </w:rPr>
      </w:pPr>
      <w:r w:rsidRPr="00C00124">
        <w:rPr>
          <w:rFonts w:ascii="Times New Roman" w:eastAsia="Times New Roman" w:hAnsi="Times New Roman" w:cs="Times New Roman"/>
          <w:b/>
          <w:bCs/>
          <w:color w:val="1F3864"/>
          <w:sz w:val="24"/>
          <w:szCs w:val="24"/>
          <w:lang w:val="en-US"/>
        </w:rPr>
        <w:t xml:space="preserve">Denials are a documentation problem, not a payer problem: </w:t>
      </w:r>
      <w:r w:rsidRPr="00C00124">
        <w:rPr>
          <w:rFonts w:ascii="Times New Roman" w:eastAsia="Times New Roman" w:hAnsi="Times New Roman" w:cs="Times New Roman"/>
          <w:color w:val="1F3864"/>
          <w:sz w:val="24"/>
          <w:szCs w:val="24"/>
          <w:lang w:val="en-US"/>
        </w:rPr>
        <w:t xml:space="preserve">Technical errors account for 4,323 denied claims and $71.9M (48% of all denied </w:t>
      </w:r>
      <w:proofErr w:type="gramStart"/>
      <w:r w:rsidRPr="00C00124">
        <w:rPr>
          <w:rFonts w:ascii="Times New Roman" w:eastAsia="Times New Roman" w:hAnsi="Times New Roman" w:cs="Times New Roman"/>
          <w:color w:val="1F3864"/>
          <w:sz w:val="24"/>
          <w:szCs w:val="24"/>
          <w:lang w:val="en-US"/>
        </w:rPr>
        <w:t>value) —</w:t>
      </w:r>
      <w:proofErr w:type="gramEnd"/>
      <w:r w:rsidRPr="00C00124">
        <w:rPr>
          <w:rFonts w:ascii="Times New Roman" w:eastAsia="Times New Roman" w:hAnsi="Times New Roman" w:cs="Times New Roman"/>
          <w:color w:val="1F3864"/>
          <w:sz w:val="24"/>
          <w:szCs w:val="24"/>
          <w:lang w:val="en-US"/>
        </w:rPr>
        <w:t xml:space="preserve"> nearly half of all denial dollars trace to claim-formatting/data issues rather than medical necessity or contract disputes.</w:t>
      </w:r>
    </w:p>
    <w:p w14:paraId="09DF7CE1" w14:textId="77777777" w:rsidR="008F65A0" w:rsidRDefault="00851AD9" w:rsidP="00C00124">
      <w:pPr>
        <w:pStyle w:val="ListParagraph"/>
        <w:numPr>
          <w:ilvl w:val="0"/>
          <w:numId w:val="18"/>
        </w:numPr>
        <w:spacing w:after="0" w:line="360" w:lineRule="auto"/>
        <w:jc w:val="both"/>
        <w:rPr>
          <w:rFonts w:ascii="Times New Roman" w:eastAsia="Times New Roman" w:hAnsi="Times New Roman" w:cs="Times New Roman"/>
          <w:color w:val="1F3864"/>
          <w:sz w:val="24"/>
          <w:szCs w:val="24"/>
          <w:lang w:val="en-US"/>
        </w:rPr>
      </w:pPr>
      <w:r w:rsidRPr="00C00124">
        <w:rPr>
          <w:rFonts w:ascii="Times New Roman" w:eastAsia="Times New Roman" w:hAnsi="Times New Roman" w:cs="Times New Roman"/>
          <w:b/>
          <w:bCs/>
          <w:color w:val="1F3864"/>
          <w:sz w:val="24"/>
          <w:szCs w:val="24"/>
          <w:lang w:val="en-US"/>
        </w:rPr>
        <w:t xml:space="preserve">Denial rate is statistically flat across payer, age, and admission type: </w:t>
      </w:r>
      <w:r w:rsidRPr="00C00124">
        <w:rPr>
          <w:rFonts w:ascii="Times New Roman" w:eastAsia="Times New Roman" w:hAnsi="Times New Roman" w:cs="Times New Roman"/>
          <w:color w:val="1F3864"/>
          <w:sz w:val="24"/>
          <w:szCs w:val="24"/>
          <w:lang w:val="en-US"/>
        </w:rPr>
        <w:t>Commercial vs. Government payers (16.31% vs 16.26%), all five major payers (16.0–16.5%), all age bands (13.6–16.5%), and all admission types (16.2–16.4%) show near-identical denial rates — this rules out payer bias or patient-demographic risk as a driver and points squarely at transaction-level (coding/submission) causes.</w:t>
      </w:r>
    </w:p>
    <w:p w14:paraId="3A380DEC" w14:textId="24AB79DA" w:rsidR="00851AD9" w:rsidRPr="008F65A0" w:rsidRDefault="00851AD9" w:rsidP="008F65A0">
      <w:pPr>
        <w:pStyle w:val="ListParagraph"/>
        <w:numPr>
          <w:ilvl w:val="0"/>
          <w:numId w:val="18"/>
        </w:numPr>
        <w:spacing w:after="0" w:line="360" w:lineRule="auto"/>
        <w:jc w:val="both"/>
        <w:rPr>
          <w:rFonts w:ascii="Times New Roman" w:eastAsia="Times New Roman" w:hAnsi="Times New Roman" w:cs="Times New Roman"/>
          <w:color w:val="1F3864"/>
          <w:sz w:val="24"/>
          <w:szCs w:val="24"/>
          <w:lang w:val="en-US"/>
        </w:rPr>
      </w:pPr>
      <w:r w:rsidRPr="008F65A0">
        <w:rPr>
          <w:rFonts w:ascii="Times New Roman" w:eastAsia="Times New Roman" w:hAnsi="Times New Roman" w:cs="Times New Roman"/>
          <w:b/>
          <w:bCs/>
          <w:color w:val="1F3864"/>
          <w:sz w:val="24"/>
          <w:szCs w:val="24"/>
          <w:lang w:val="en-US"/>
        </w:rPr>
        <w:t xml:space="preserve">Claim age is decoupled from claim value and outcome: </w:t>
      </w:r>
      <w:r w:rsidRPr="008F65A0">
        <w:rPr>
          <w:rFonts w:ascii="Times New Roman" w:eastAsia="Times New Roman" w:hAnsi="Times New Roman" w:cs="Times New Roman"/>
          <w:color w:val="1F3864"/>
          <w:sz w:val="24"/>
          <w:szCs w:val="24"/>
          <w:lang w:val="en-US"/>
        </w:rPr>
        <w:t>The correlation between Days_Outstanding and every dollar field (Billed, Paid, Outstanding, Denied) is effectively 0.00, and average days outstanding barely moves across claim status (279–289 days for Paid vs. Denied vs. Pending) — AR aging is being driven by workflow/follow-up cadence, not by claim complexity or dispute size.</w:t>
      </w:r>
    </w:p>
    <w:p w14:paraId="2A6B4C7F" w14:textId="77777777" w:rsidR="00C00124" w:rsidRPr="00C00124" w:rsidRDefault="00C00124" w:rsidP="00C00124">
      <w:pPr>
        <w:pStyle w:val="ListParagraph"/>
        <w:spacing w:after="0" w:line="360" w:lineRule="auto"/>
        <w:jc w:val="both"/>
        <w:rPr>
          <w:rFonts w:ascii="Times New Roman" w:eastAsia="Times New Roman" w:hAnsi="Times New Roman" w:cs="Times New Roman"/>
          <w:b/>
          <w:bCs/>
          <w:color w:val="1F3864"/>
          <w:sz w:val="24"/>
          <w:szCs w:val="24"/>
          <w:lang w:val="en-US"/>
        </w:rPr>
      </w:pPr>
    </w:p>
    <w:p w14:paraId="6E4BCDEA" w14:textId="77777777" w:rsidR="008F65A0" w:rsidRPr="008F65A0" w:rsidRDefault="00851AD9" w:rsidP="00851AD9">
      <w:pPr>
        <w:spacing w:after="0" w:line="360" w:lineRule="auto"/>
        <w:jc w:val="both"/>
        <w:rPr>
          <w:rFonts w:ascii="Times New Roman" w:eastAsia="Times New Roman" w:hAnsi="Times New Roman" w:cs="Times New Roman"/>
          <w:b/>
          <w:bCs/>
          <w:color w:val="1F3864"/>
          <w:sz w:val="24"/>
          <w:szCs w:val="24"/>
          <w:lang w:val="en-US"/>
        </w:rPr>
      </w:pPr>
      <w:r w:rsidRPr="008F65A0">
        <w:rPr>
          <w:rFonts w:ascii="Times New Roman" w:eastAsia="Times New Roman" w:hAnsi="Times New Roman" w:cs="Times New Roman"/>
          <w:b/>
          <w:bCs/>
          <w:color w:val="1F3864"/>
          <w:sz w:val="24"/>
          <w:szCs w:val="24"/>
          <w:lang w:val="en-US"/>
        </w:rPr>
        <w:t>Predictive — what's likely ahead</w:t>
      </w:r>
    </w:p>
    <w:p w14:paraId="72D194F7" w14:textId="6D4CAD42" w:rsidR="008F65A0" w:rsidRPr="008F65A0" w:rsidRDefault="00851AD9" w:rsidP="008F65A0">
      <w:pPr>
        <w:pStyle w:val="ListParagraph"/>
        <w:numPr>
          <w:ilvl w:val="0"/>
          <w:numId w:val="18"/>
        </w:numPr>
        <w:spacing w:after="0" w:line="360" w:lineRule="auto"/>
        <w:jc w:val="both"/>
        <w:rPr>
          <w:rFonts w:ascii="Times New Roman" w:eastAsia="Times New Roman" w:hAnsi="Times New Roman" w:cs="Times New Roman"/>
          <w:color w:val="1F3864"/>
          <w:sz w:val="24"/>
          <w:szCs w:val="24"/>
          <w:lang w:val="en-US"/>
        </w:rPr>
      </w:pPr>
      <w:r w:rsidRPr="008F65A0">
        <w:rPr>
          <w:rFonts w:ascii="Times New Roman" w:eastAsia="Times New Roman" w:hAnsi="Times New Roman" w:cs="Times New Roman"/>
          <w:b/>
          <w:bCs/>
          <w:color w:val="1F3864"/>
          <w:sz w:val="24"/>
          <w:szCs w:val="24"/>
          <w:lang w:val="en-US"/>
        </w:rPr>
        <w:t>Collection rate is structurally stable, not improving on its own:</w:t>
      </w:r>
      <w:r w:rsidRPr="008F65A0">
        <w:rPr>
          <w:rFonts w:ascii="Times New Roman" w:eastAsia="Times New Roman" w:hAnsi="Times New Roman" w:cs="Times New Roman"/>
          <w:color w:val="1F3864"/>
          <w:sz w:val="24"/>
          <w:szCs w:val="24"/>
          <w:lang w:val="en-US"/>
        </w:rPr>
        <w:t xml:space="preserve"> Billed and paid volumes plateaued at ~$280M billed / ~$125M paid per year from 2020–2023 (a consistent ~44–45% collection rate each year); 2024's partial-year pace ($111.4M </w:t>
      </w:r>
      <w:r w:rsidRPr="008F65A0">
        <w:rPr>
          <w:rFonts w:ascii="Times New Roman" w:eastAsia="Times New Roman" w:hAnsi="Times New Roman" w:cs="Times New Roman"/>
          <w:color w:val="1F3864"/>
          <w:sz w:val="24"/>
          <w:szCs w:val="24"/>
          <w:lang w:val="en-US"/>
        </w:rPr>
        <w:lastRenderedPageBreak/>
        <w:t>billed) tracks the same trend, so without a process change, next year's collection rate is likely to land in the same 44–45% band rather than improve organically.</w:t>
      </w:r>
    </w:p>
    <w:p w14:paraId="2F13D07B" w14:textId="77777777" w:rsidR="006822B8" w:rsidRDefault="00851AD9" w:rsidP="006822B8">
      <w:pPr>
        <w:pStyle w:val="ListParagraph"/>
        <w:numPr>
          <w:ilvl w:val="0"/>
          <w:numId w:val="18"/>
        </w:numPr>
        <w:spacing w:after="0" w:line="360" w:lineRule="auto"/>
        <w:jc w:val="both"/>
        <w:rPr>
          <w:rFonts w:ascii="Times New Roman" w:eastAsia="Times New Roman" w:hAnsi="Times New Roman" w:cs="Times New Roman"/>
          <w:color w:val="1F3864"/>
          <w:sz w:val="24"/>
          <w:szCs w:val="24"/>
          <w:lang w:val="en-US"/>
        </w:rPr>
      </w:pPr>
      <w:r w:rsidRPr="008F65A0">
        <w:rPr>
          <w:rFonts w:ascii="Times New Roman" w:eastAsia="Times New Roman" w:hAnsi="Times New Roman" w:cs="Times New Roman"/>
          <w:b/>
          <w:bCs/>
          <w:color w:val="1F3864"/>
          <w:sz w:val="24"/>
          <w:szCs w:val="24"/>
          <w:lang w:val="en-US"/>
        </w:rPr>
        <w:t xml:space="preserve">Technical denials are the highest write-off risk category going forward: </w:t>
      </w:r>
      <w:r w:rsidRPr="008F65A0">
        <w:rPr>
          <w:rFonts w:ascii="Times New Roman" w:eastAsia="Times New Roman" w:hAnsi="Times New Roman" w:cs="Times New Roman"/>
          <w:color w:val="1F3864"/>
          <w:sz w:val="24"/>
          <w:szCs w:val="24"/>
          <w:lang w:val="en-US"/>
        </w:rPr>
        <w:t>They carry both the largest denied-dollar exposure ($71.9M) and the longest average resolution cycle (~295 days vs. ~280 for Contractual/Eligibility); with only 25.1% of all denied dollars ever recovered ($37.4M of $148.9M) and appeals used on fewer than 1 in 10 denied claims, this bucket is on track to keep bleeding cash unless resolution speed improves.</w:t>
      </w:r>
    </w:p>
    <w:p w14:paraId="3C5E9E8C" w14:textId="77777777" w:rsidR="006822B8" w:rsidRDefault="006822B8" w:rsidP="006822B8">
      <w:pPr>
        <w:pStyle w:val="ListParagraph"/>
        <w:spacing w:after="0" w:line="360" w:lineRule="auto"/>
        <w:jc w:val="both"/>
        <w:rPr>
          <w:rFonts w:ascii="Times New Roman" w:eastAsia="Times New Roman" w:hAnsi="Times New Roman" w:cs="Times New Roman"/>
          <w:color w:val="1F3864"/>
          <w:sz w:val="24"/>
          <w:szCs w:val="24"/>
          <w:lang w:val="en-US"/>
        </w:rPr>
      </w:pPr>
    </w:p>
    <w:p w14:paraId="6334F304" w14:textId="7B4C0975" w:rsidR="006822B8" w:rsidRPr="006822B8" w:rsidRDefault="006822B8" w:rsidP="006822B8">
      <w:pPr>
        <w:spacing w:after="0" w:line="360" w:lineRule="auto"/>
        <w:jc w:val="both"/>
        <w:rPr>
          <w:rFonts w:ascii="Times New Roman" w:eastAsia="Times New Roman" w:hAnsi="Times New Roman" w:cs="Times New Roman"/>
          <w:b/>
          <w:bCs/>
          <w:color w:val="1F3864"/>
          <w:sz w:val="24"/>
          <w:szCs w:val="24"/>
          <w:lang w:val="en-US"/>
        </w:rPr>
      </w:pPr>
      <w:r w:rsidRPr="006822B8">
        <w:rPr>
          <w:rFonts w:ascii="Times New Roman" w:eastAsia="Times New Roman" w:hAnsi="Times New Roman" w:cs="Times New Roman"/>
          <w:b/>
          <w:bCs/>
          <w:color w:val="1F3864"/>
          <w:sz w:val="24"/>
          <w:szCs w:val="24"/>
          <w:lang w:val="en-US"/>
        </w:rPr>
        <w:t>Prescriptive — what to do about it</w:t>
      </w:r>
    </w:p>
    <w:p w14:paraId="2B0C7734" w14:textId="77777777" w:rsidR="006822B8" w:rsidRPr="008F65A0" w:rsidRDefault="006822B8" w:rsidP="006822B8">
      <w:pPr>
        <w:pStyle w:val="ListParagraph"/>
        <w:numPr>
          <w:ilvl w:val="0"/>
          <w:numId w:val="18"/>
        </w:numPr>
        <w:spacing w:after="0" w:line="360" w:lineRule="auto"/>
        <w:jc w:val="both"/>
        <w:rPr>
          <w:rFonts w:ascii="Times New Roman" w:eastAsia="Times New Roman" w:hAnsi="Times New Roman" w:cs="Times New Roman"/>
          <w:b/>
          <w:bCs/>
          <w:color w:val="1F3864"/>
          <w:sz w:val="24"/>
          <w:szCs w:val="24"/>
          <w:lang w:val="en-US"/>
        </w:rPr>
      </w:pPr>
      <w:r w:rsidRPr="008F65A0">
        <w:rPr>
          <w:rFonts w:ascii="Times New Roman" w:eastAsia="Times New Roman" w:hAnsi="Times New Roman" w:cs="Times New Roman"/>
          <w:b/>
          <w:bCs/>
          <w:color w:val="1F3864"/>
          <w:sz w:val="24"/>
          <w:szCs w:val="24"/>
          <w:lang w:val="en-US"/>
        </w:rPr>
        <w:t xml:space="preserve">Fix claims at the source, not after denial: </w:t>
      </w:r>
      <w:r w:rsidRPr="008F65A0">
        <w:rPr>
          <w:rFonts w:ascii="Times New Roman" w:eastAsia="Times New Roman" w:hAnsi="Times New Roman" w:cs="Times New Roman"/>
          <w:color w:val="1F3864"/>
          <w:sz w:val="24"/>
          <w:szCs w:val="24"/>
          <w:lang w:val="en-US"/>
        </w:rPr>
        <w:t>Since Technical denials are the single largest category and are unrelated to payer or patient mix, investing in front-end claim-scrubbing / pre-submission validation rules (missing fields, coding mismatches) would cut denials broadly across all payers at once, rather than requiring payer-specific fixes.</w:t>
      </w:r>
    </w:p>
    <w:p w14:paraId="03493F98" w14:textId="4956E406" w:rsidR="008F65A0" w:rsidRPr="00E75928" w:rsidRDefault="006822B8" w:rsidP="006822B8">
      <w:pPr>
        <w:pStyle w:val="ListParagraph"/>
        <w:numPr>
          <w:ilvl w:val="0"/>
          <w:numId w:val="18"/>
        </w:numPr>
        <w:spacing w:after="0" w:line="360" w:lineRule="auto"/>
        <w:jc w:val="both"/>
        <w:rPr>
          <w:rFonts w:ascii="Times New Roman" w:eastAsia="Times New Roman" w:hAnsi="Times New Roman" w:cs="Times New Roman"/>
          <w:b/>
          <w:bCs/>
          <w:color w:val="1F3864"/>
          <w:sz w:val="24"/>
          <w:szCs w:val="24"/>
          <w:lang w:val="en-US"/>
        </w:rPr>
      </w:pPr>
      <w:r w:rsidRPr="00E75928">
        <w:rPr>
          <w:rFonts w:ascii="Times New Roman" w:eastAsia="Times New Roman" w:hAnsi="Times New Roman" w:cs="Times New Roman"/>
          <w:b/>
          <w:bCs/>
          <w:color w:val="1F3864"/>
          <w:sz w:val="24"/>
          <w:szCs w:val="24"/>
          <w:lang w:val="en-US"/>
        </w:rPr>
        <w:t xml:space="preserve">Formalize an appeal-triage policy: </w:t>
      </w:r>
      <w:r w:rsidRPr="00E75928">
        <w:rPr>
          <w:rFonts w:ascii="Times New Roman" w:eastAsia="Times New Roman" w:hAnsi="Times New Roman" w:cs="Times New Roman"/>
          <w:color w:val="1F3864"/>
          <w:sz w:val="24"/>
          <w:szCs w:val="24"/>
          <w:lang w:val="en-US"/>
        </w:rPr>
        <w:t>46,363 of 55,390 claims (84%) never enter the appeals process at all, yet claims that are appealed win 55.3% of the time (2,263 won vs. 1,829 lost) — routing high-value denials (especially from Blue Cross, Cigna, and UnitedHealthcare, which each carry $58–63M in outstanding AR) into a standing appeals workflow could recover a meaningful slice of the $111.5M in still-unresolved denied balance.</w:t>
      </w:r>
    </w:p>
    <w:p w14:paraId="0852A8D9" w14:textId="77777777" w:rsidR="00E75928" w:rsidRDefault="00E75928" w:rsidP="00851AD9">
      <w:pPr>
        <w:spacing w:after="0" w:line="360" w:lineRule="auto"/>
        <w:jc w:val="both"/>
        <w:rPr>
          <w:rFonts w:ascii="Times New Roman" w:eastAsia="Times New Roman" w:hAnsi="Times New Roman" w:cs="Times New Roman"/>
          <w:color w:val="1F3864"/>
          <w:sz w:val="24"/>
          <w:szCs w:val="24"/>
          <w:lang w:val="en-US"/>
        </w:rPr>
      </w:pPr>
    </w:p>
    <w:p w14:paraId="2A7FF0A0" w14:textId="0F0F1046" w:rsidR="00E75928" w:rsidRDefault="00E75928" w:rsidP="00851AD9">
      <w:pPr>
        <w:spacing w:after="0" w:line="360" w:lineRule="auto"/>
        <w:jc w:val="both"/>
        <w:rPr>
          <w:rFonts w:ascii="Times New Roman" w:eastAsia="Times New Roman" w:hAnsi="Times New Roman" w:cs="Times New Roman"/>
          <w:b/>
          <w:bCs/>
          <w:color w:val="3333CC"/>
          <w:sz w:val="24"/>
          <w:szCs w:val="24"/>
          <w:lang w:val="en-US"/>
        </w:rPr>
      </w:pPr>
      <w:r>
        <w:rPr>
          <w:lang w:val="en-US"/>
        </w:rPr>
        <w:pict w14:anchorId="6A07CFB3">
          <v:rect id="_x0000_i1048" style="width:0;height:1.5pt" o:hralign="center" o:bullet="t" o:hrstd="t" o:hr="t" fillcolor="#a0a0a0" stroked="f"/>
        </w:pict>
      </w:r>
      <w:r w:rsidRPr="0065561E">
        <w:rPr>
          <w:rFonts w:ascii="Times New Roman" w:eastAsia="Times New Roman" w:hAnsi="Times New Roman" w:cs="Times New Roman"/>
          <w:b/>
          <w:bCs/>
          <w:color w:val="3333CC"/>
          <w:sz w:val="24"/>
          <w:szCs w:val="24"/>
          <w:lang w:val="en-US"/>
        </w:rPr>
        <w:t>10. Conclusions</w:t>
      </w:r>
    </w:p>
    <w:p w14:paraId="77DEDE16" w14:textId="77777777" w:rsidR="00E75928" w:rsidRPr="00E75928" w:rsidRDefault="00E75928" w:rsidP="00851AD9">
      <w:pPr>
        <w:spacing w:after="0" w:line="360" w:lineRule="auto"/>
        <w:jc w:val="both"/>
        <w:rPr>
          <w:rFonts w:ascii="Times New Roman" w:eastAsia="Times New Roman" w:hAnsi="Times New Roman" w:cs="Times New Roman"/>
          <w:sz w:val="24"/>
          <w:szCs w:val="24"/>
          <w:lang w:val="en-US"/>
        </w:rPr>
      </w:pPr>
    </w:p>
    <w:p w14:paraId="79B6CA57" w14:textId="16F915E4" w:rsidR="00C317A8" w:rsidRPr="00E75928" w:rsidRDefault="00E75928">
      <w:pPr>
        <w:spacing w:after="0" w:line="360" w:lineRule="auto"/>
        <w:jc w:val="both"/>
        <w:rPr>
          <w:rFonts w:ascii="Times New Roman" w:eastAsia="Times New Roman" w:hAnsi="Times New Roman" w:cs="Times New Roman"/>
          <w:color w:val="1F3864"/>
          <w:sz w:val="24"/>
          <w:szCs w:val="24"/>
          <w:lang w:val="en-US"/>
        </w:rPr>
      </w:pPr>
      <w:r>
        <w:rPr>
          <w:rFonts w:ascii="Times New Roman" w:eastAsia="Times New Roman" w:hAnsi="Times New Roman" w:cs="Times New Roman"/>
          <w:color w:val="1F3864"/>
          <w:sz w:val="24"/>
          <w:szCs w:val="24"/>
          <w:lang w:val="en-US"/>
        </w:rPr>
        <w:tab/>
      </w:r>
      <w:r w:rsidR="00851AD9" w:rsidRPr="00E75928">
        <w:rPr>
          <w:rFonts w:ascii="Times New Roman" w:eastAsia="Times New Roman" w:hAnsi="Times New Roman" w:cs="Times New Roman"/>
          <w:color w:val="1F3864"/>
          <w:sz w:val="24"/>
          <w:szCs w:val="24"/>
          <w:lang w:val="en-US"/>
        </w:rPr>
        <w:t xml:space="preserve">This project applied a full Python-to-Power BI revenue cycle management analytics pipeline to 55,390 healthcare claims spanning 2019–2024, moving from data cleaning and exploratory analysis in Python to an interactive two-page Power BI dashboard for ongoing monitoring. The analysis shows an organization collecting 44.3% of billed revenue with denials concentrated in preventable technical errors rather than payer- or patient-driven factors, and with accounts receivable aging in a bimodal pattern where claims either clear quickly or become chronically stuck past 120 days. Diagnostically, the near-uniform denial rates across payer, age, and admission type indicate the problem lies in claim submission quality rather than external bias, while the decoupling of claim age from dollar value suggests workflow and follow-up discipline — not claim complexity — is driving aged AR. Looking forward, the stable 44–45% collection rate across five consecutive years signals that current processes have reached a performance ceiling that won't improve without intervention, particularly around the </w:t>
      </w:r>
      <w:r w:rsidR="00851AD9" w:rsidRPr="00E75928">
        <w:rPr>
          <w:rFonts w:ascii="Times New Roman" w:eastAsia="Times New Roman" w:hAnsi="Times New Roman" w:cs="Times New Roman"/>
          <w:color w:val="1F3864"/>
          <w:sz w:val="24"/>
          <w:szCs w:val="24"/>
          <w:lang w:val="en-US"/>
        </w:rPr>
        <w:lastRenderedPageBreak/>
        <w:t>high-exposure Technical denial category. Prescriptively, the clearest levers are front-end claim validation to prevent technical denials before submission and a structured appeals program to capture the substantial recoverable value currently left on the table — together, these findings translate raw claims data into a concrete, data-backed roadmap for improving cash flow and reducing AR risk.</w:t>
      </w:r>
    </w:p>
    <w:sectPr w:rsidR="00C317A8" w:rsidRPr="00E75928">
      <w:pgSz w:w="11906" w:h="16838"/>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8E40D37-B649-4A08-9838-DF3A0EEFA259}"/>
    <w:embedBold r:id="rId2" w:fontKey="{6431E8F7-2248-443E-83EE-DA901D5C929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98958197-574C-43AA-835C-D8B78C481528}"/>
    <w:embedBold r:id="rId4" w:fontKey="{9437A2C4-40FA-48F2-A443-2EA3320C3B27}"/>
    <w:embedItalic r:id="rId5" w:fontKey="{F18C783A-54BD-4D30-9F8C-359BAD268C94}"/>
  </w:font>
  <w:font w:name="Calibri Light">
    <w:panose1 w:val="020F0302020204030204"/>
    <w:charset w:val="00"/>
    <w:family w:val="swiss"/>
    <w:pitch w:val="variable"/>
    <w:sig w:usb0="E4002EFF" w:usb1="C200247B" w:usb2="00000009" w:usb3="00000000" w:csb0="000001FF" w:csb1="00000000"/>
    <w:embedRegular r:id="rId6" w:fontKey="{75C30F02-AB0B-4773-9AD9-7682CE7331A0}"/>
  </w:font>
  <w:font w:name="Aptos Narrow">
    <w:charset w:val="00"/>
    <w:family w:val="swiss"/>
    <w:pitch w:val="variable"/>
    <w:sig w:usb0="20000287" w:usb1="00000003" w:usb2="00000000" w:usb3="00000000" w:csb0="0000019F" w:csb1="00000000"/>
    <w:embedRegular r:id="rId7" w:fontKey="{0836F9DB-9965-4299-A62E-EF1DC270D9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2291F0A"/>
    <w:multiLevelType w:val="multilevel"/>
    <w:tmpl w:val="F21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33148"/>
    <w:multiLevelType w:val="multilevel"/>
    <w:tmpl w:val="A224C2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901AA8"/>
    <w:multiLevelType w:val="hybridMultilevel"/>
    <w:tmpl w:val="A67EB65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1BF7B39"/>
    <w:multiLevelType w:val="multilevel"/>
    <w:tmpl w:val="6DE6B0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2741B"/>
    <w:multiLevelType w:val="multilevel"/>
    <w:tmpl w:val="005AC3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1207AA8"/>
    <w:multiLevelType w:val="multilevel"/>
    <w:tmpl w:val="3AF2EA3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7011DB"/>
    <w:multiLevelType w:val="multilevel"/>
    <w:tmpl w:val="656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F7DC7"/>
    <w:multiLevelType w:val="hybridMultilevel"/>
    <w:tmpl w:val="36526914"/>
    <w:lvl w:ilvl="0" w:tplc="04090005">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DFD739D"/>
    <w:multiLevelType w:val="multilevel"/>
    <w:tmpl w:val="53F2C77C"/>
    <w:lvl w:ilvl="0">
      <w:start w:val="1"/>
      <w:numFmt w:val="bullet"/>
      <w:lvlText w:val="●"/>
      <w:lvlJc w:val="left"/>
      <w:pPr>
        <w:ind w:left="720" w:hanging="360"/>
      </w:pPr>
      <w:rPr>
        <w:rFonts w:ascii="Noto Sans Symbols" w:eastAsia="Noto Sans Symbols" w:hAnsi="Noto Sans Symbols" w:cs="Noto Sans Symbols"/>
        <w:b/>
        <w:bC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82805E0"/>
    <w:multiLevelType w:val="hybridMultilevel"/>
    <w:tmpl w:val="52D89F84"/>
    <w:lvl w:ilvl="0" w:tplc="EDBE28C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38303A26"/>
    <w:multiLevelType w:val="hybridMultilevel"/>
    <w:tmpl w:val="791A7F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C57978"/>
    <w:multiLevelType w:val="multilevel"/>
    <w:tmpl w:val="3AF2EA3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419115D"/>
    <w:multiLevelType w:val="multilevel"/>
    <w:tmpl w:val="6DE6B0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9C2AAB"/>
    <w:multiLevelType w:val="multilevel"/>
    <w:tmpl w:val="48AA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6B6626"/>
    <w:multiLevelType w:val="multilevel"/>
    <w:tmpl w:val="F3BAC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BAB5DBE"/>
    <w:multiLevelType w:val="hybridMultilevel"/>
    <w:tmpl w:val="1CF40F64"/>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6" w15:restartNumberingAfterBreak="0">
    <w:nsid w:val="6BFC77CB"/>
    <w:multiLevelType w:val="multilevel"/>
    <w:tmpl w:val="ED0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91791"/>
    <w:multiLevelType w:val="hybridMultilevel"/>
    <w:tmpl w:val="98DCC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FF77E8"/>
    <w:multiLevelType w:val="multilevel"/>
    <w:tmpl w:val="20C8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9337999"/>
    <w:multiLevelType w:val="multilevel"/>
    <w:tmpl w:val="60BEE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B0010E"/>
    <w:multiLevelType w:val="multilevel"/>
    <w:tmpl w:val="551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904937">
    <w:abstractNumId w:val="18"/>
  </w:num>
  <w:num w:numId="2" w16cid:durableId="223296915">
    <w:abstractNumId w:val="14"/>
  </w:num>
  <w:num w:numId="3" w16cid:durableId="1924147272">
    <w:abstractNumId w:val="11"/>
  </w:num>
  <w:num w:numId="4" w16cid:durableId="746463911">
    <w:abstractNumId w:val="19"/>
  </w:num>
  <w:num w:numId="5" w16cid:durableId="2094206806">
    <w:abstractNumId w:val="8"/>
  </w:num>
  <w:num w:numId="6" w16cid:durableId="551233597">
    <w:abstractNumId w:val="1"/>
  </w:num>
  <w:num w:numId="7" w16cid:durableId="943725689">
    <w:abstractNumId w:val="4"/>
  </w:num>
  <w:num w:numId="8" w16cid:durableId="375467755">
    <w:abstractNumId w:val="7"/>
  </w:num>
  <w:num w:numId="9" w16cid:durableId="844317976">
    <w:abstractNumId w:val="9"/>
  </w:num>
  <w:num w:numId="10" w16cid:durableId="636885623">
    <w:abstractNumId w:val="2"/>
  </w:num>
  <w:num w:numId="11" w16cid:durableId="1938514982">
    <w:abstractNumId w:val="16"/>
  </w:num>
  <w:num w:numId="12" w16cid:durableId="751849811">
    <w:abstractNumId w:val="13"/>
  </w:num>
  <w:num w:numId="13" w16cid:durableId="535703333">
    <w:abstractNumId w:val="15"/>
  </w:num>
  <w:num w:numId="14" w16cid:durableId="1370883169">
    <w:abstractNumId w:val="10"/>
  </w:num>
  <w:num w:numId="15" w16cid:durableId="962035244">
    <w:abstractNumId w:val="0"/>
  </w:num>
  <w:num w:numId="16" w16cid:durableId="508717015">
    <w:abstractNumId w:val="6"/>
  </w:num>
  <w:num w:numId="17" w16cid:durableId="2116291004">
    <w:abstractNumId w:val="20"/>
  </w:num>
  <w:num w:numId="18" w16cid:durableId="886068509">
    <w:abstractNumId w:val="3"/>
  </w:num>
  <w:num w:numId="19" w16cid:durableId="1787769689">
    <w:abstractNumId w:val="5"/>
  </w:num>
  <w:num w:numId="20" w16cid:durableId="1067070930">
    <w:abstractNumId w:val="17"/>
  </w:num>
  <w:num w:numId="21" w16cid:durableId="19797247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CB1"/>
    <w:rsid w:val="00000060"/>
    <w:rsid w:val="00075CB1"/>
    <w:rsid w:val="00144A13"/>
    <w:rsid w:val="00174E52"/>
    <w:rsid w:val="001D7B61"/>
    <w:rsid w:val="001F0819"/>
    <w:rsid w:val="00200764"/>
    <w:rsid w:val="00207EAB"/>
    <w:rsid w:val="00296598"/>
    <w:rsid w:val="002F68EB"/>
    <w:rsid w:val="00321F7D"/>
    <w:rsid w:val="00354783"/>
    <w:rsid w:val="003B5DE2"/>
    <w:rsid w:val="004172FE"/>
    <w:rsid w:val="00485E25"/>
    <w:rsid w:val="005600CD"/>
    <w:rsid w:val="005E58D8"/>
    <w:rsid w:val="0065561E"/>
    <w:rsid w:val="006822B8"/>
    <w:rsid w:val="006B4100"/>
    <w:rsid w:val="006F4FEC"/>
    <w:rsid w:val="007378F3"/>
    <w:rsid w:val="007A42AF"/>
    <w:rsid w:val="007B5128"/>
    <w:rsid w:val="00851AD9"/>
    <w:rsid w:val="008D5DB7"/>
    <w:rsid w:val="008F5535"/>
    <w:rsid w:val="008F65A0"/>
    <w:rsid w:val="00902463"/>
    <w:rsid w:val="009A1285"/>
    <w:rsid w:val="009F08CB"/>
    <w:rsid w:val="00A904D6"/>
    <w:rsid w:val="00AC55AC"/>
    <w:rsid w:val="00B56A33"/>
    <w:rsid w:val="00BD18CB"/>
    <w:rsid w:val="00C00124"/>
    <w:rsid w:val="00C22167"/>
    <w:rsid w:val="00C317A8"/>
    <w:rsid w:val="00C916C3"/>
    <w:rsid w:val="00CF3A15"/>
    <w:rsid w:val="00DB142B"/>
    <w:rsid w:val="00E75928"/>
    <w:rsid w:val="00F50734"/>
    <w:rsid w:val="00F7757E"/>
    <w:rsid w:val="00F8231D"/>
    <w:rsid w:val="00FB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95D1"/>
  <w15:docId w15:val="{03BA9E8C-896B-41DD-B17B-A514DF02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91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91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1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071"/>
    <w:rPr>
      <w:rFonts w:eastAsiaTheme="majorEastAsia" w:cstheme="majorBidi"/>
      <w:color w:val="272727" w:themeColor="text1" w:themeTint="D8"/>
    </w:rPr>
  </w:style>
  <w:style w:type="character" w:customStyle="1" w:styleId="TitleChar">
    <w:name w:val="Title Char"/>
    <w:basedOn w:val="DefaultParagraphFont"/>
    <w:link w:val="Title"/>
    <w:uiPriority w:val="10"/>
    <w:rsid w:val="00E91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91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071"/>
    <w:pPr>
      <w:spacing w:before="160"/>
      <w:jc w:val="center"/>
    </w:pPr>
    <w:rPr>
      <w:i/>
      <w:iCs/>
      <w:color w:val="404040" w:themeColor="text1" w:themeTint="BF"/>
    </w:rPr>
  </w:style>
  <w:style w:type="character" w:customStyle="1" w:styleId="QuoteChar">
    <w:name w:val="Quote Char"/>
    <w:basedOn w:val="DefaultParagraphFont"/>
    <w:link w:val="Quote"/>
    <w:uiPriority w:val="29"/>
    <w:rsid w:val="00E91071"/>
    <w:rPr>
      <w:i/>
      <w:iCs/>
      <w:color w:val="404040" w:themeColor="text1" w:themeTint="BF"/>
    </w:rPr>
  </w:style>
  <w:style w:type="paragraph" w:styleId="ListParagraph">
    <w:name w:val="List Paragraph"/>
    <w:basedOn w:val="Normal"/>
    <w:uiPriority w:val="34"/>
    <w:qFormat/>
    <w:rsid w:val="00E91071"/>
    <w:pPr>
      <w:ind w:left="720"/>
      <w:contextualSpacing/>
    </w:pPr>
  </w:style>
  <w:style w:type="character" w:styleId="IntenseEmphasis">
    <w:name w:val="Intense Emphasis"/>
    <w:basedOn w:val="DefaultParagraphFont"/>
    <w:uiPriority w:val="21"/>
    <w:qFormat/>
    <w:rsid w:val="00E91071"/>
    <w:rPr>
      <w:i/>
      <w:iCs/>
      <w:color w:val="2F5496" w:themeColor="accent1" w:themeShade="BF"/>
    </w:rPr>
  </w:style>
  <w:style w:type="paragraph" w:styleId="IntenseQuote">
    <w:name w:val="Intense Quote"/>
    <w:basedOn w:val="Normal"/>
    <w:next w:val="Normal"/>
    <w:link w:val="IntenseQuoteChar"/>
    <w:uiPriority w:val="30"/>
    <w:qFormat/>
    <w:rsid w:val="00E91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071"/>
    <w:rPr>
      <w:i/>
      <w:iCs/>
      <w:color w:val="2F5496" w:themeColor="accent1" w:themeShade="BF"/>
    </w:rPr>
  </w:style>
  <w:style w:type="character" w:styleId="IntenseReference">
    <w:name w:val="Intense Reference"/>
    <w:basedOn w:val="DefaultParagraphFont"/>
    <w:uiPriority w:val="32"/>
    <w:qFormat/>
    <w:rsid w:val="00E91071"/>
    <w:rPr>
      <w:b/>
      <w:bCs/>
      <w:smallCaps/>
      <w:color w:val="2F5496" w:themeColor="accent1" w:themeShade="BF"/>
      <w:spacing w:val="5"/>
    </w:rPr>
  </w:style>
  <w:style w:type="table" w:styleId="TableGrid">
    <w:name w:val="Table Grid"/>
    <w:basedOn w:val="TableNormal"/>
    <w:uiPriority w:val="39"/>
    <w:rsid w:val="00E9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10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91071"/>
    <w:rPr>
      <w:b/>
      <w:bCs/>
    </w:rPr>
  </w:style>
  <w:style w:type="character" w:styleId="CommentReference">
    <w:name w:val="annotation reference"/>
    <w:basedOn w:val="DefaultParagraphFont"/>
    <w:uiPriority w:val="99"/>
    <w:semiHidden/>
    <w:unhideWhenUsed/>
    <w:rsid w:val="00A231BD"/>
    <w:rPr>
      <w:sz w:val="16"/>
      <w:szCs w:val="16"/>
    </w:rPr>
  </w:style>
  <w:style w:type="paragraph" w:styleId="CommentText">
    <w:name w:val="annotation text"/>
    <w:basedOn w:val="Normal"/>
    <w:link w:val="CommentTextChar"/>
    <w:uiPriority w:val="99"/>
    <w:semiHidden/>
    <w:unhideWhenUsed/>
    <w:rsid w:val="00A231BD"/>
    <w:pPr>
      <w:spacing w:line="240" w:lineRule="auto"/>
    </w:pPr>
    <w:rPr>
      <w:sz w:val="20"/>
      <w:szCs w:val="20"/>
    </w:rPr>
  </w:style>
  <w:style w:type="character" w:customStyle="1" w:styleId="CommentTextChar">
    <w:name w:val="Comment Text Char"/>
    <w:basedOn w:val="DefaultParagraphFont"/>
    <w:link w:val="CommentText"/>
    <w:uiPriority w:val="99"/>
    <w:semiHidden/>
    <w:rsid w:val="00A231BD"/>
    <w:rPr>
      <w:sz w:val="20"/>
      <w:szCs w:val="20"/>
    </w:rPr>
  </w:style>
  <w:style w:type="paragraph" w:styleId="CommentSubject">
    <w:name w:val="annotation subject"/>
    <w:basedOn w:val="CommentText"/>
    <w:next w:val="CommentText"/>
    <w:link w:val="CommentSubjectChar"/>
    <w:uiPriority w:val="99"/>
    <w:semiHidden/>
    <w:unhideWhenUsed/>
    <w:rsid w:val="00A231BD"/>
    <w:rPr>
      <w:b/>
      <w:bCs/>
    </w:rPr>
  </w:style>
  <w:style w:type="character" w:customStyle="1" w:styleId="CommentSubjectChar">
    <w:name w:val="Comment Subject Char"/>
    <w:basedOn w:val="CommentTextChar"/>
    <w:link w:val="CommentSubject"/>
    <w:uiPriority w:val="99"/>
    <w:semiHidden/>
    <w:rsid w:val="00A231BD"/>
    <w:rPr>
      <w:b/>
      <w:bCs/>
      <w:sz w:val="20"/>
      <w:szCs w:val="20"/>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F50734"/>
    <w:rPr>
      <w:color w:val="0563C1" w:themeColor="hyperlink"/>
      <w:u w:val="single"/>
    </w:rPr>
  </w:style>
  <w:style w:type="character" w:styleId="UnresolvedMention">
    <w:name w:val="Unresolved Mention"/>
    <w:basedOn w:val="DefaultParagraphFont"/>
    <w:uiPriority w:val="99"/>
    <w:semiHidden/>
    <w:unhideWhenUsed/>
    <w:rsid w:val="00F50734"/>
    <w:rPr>
      <w:color w:val="605E5C"/>
      <w:shd w:val="clear" w:color="auto" w:fill="E1DFDD"/>
    </w:rPr>
  </w:style>
  <w:style w:type="paragraph" w:customStyle="1" w:styleId="isselectedend">
    <w:name w:val="isselectedend"/>
    <w:basedOn w:val="Normal"/>
    <w:rsid w:val="00174E5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mranbdcse/healthcaredataset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2nW4y9ox2vKjQOPUbFL591low==">CgMxLjA4AHIhMVFPWUhwT3Q3T3dqMDR6SzI4YVlvRWo3ZVlOM1hFSlBJ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15</Pages>
  <Words>3065</Words>
  <Characters>17474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Palanivel</dc:creator>
  <cp:lastModifiedBy>Prakash rangaraju</cp:lastModifiedBy>
  <cp:revision>28</cp:revision>
  <dcterms:created xsi:type="dcterms:W3CDTF">2025-10-29T09:32:00Z</dcterms:created>
  <dcterms:modified xsi:type="dcterms:W3CDTF">2026-09-10T16:20:00Z</dcterms:modified>
</cp:coreProperties>
</file>