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Times New Roman" w:hAnsi="Times New Roman"/>
          <w:b/>
          <w:color w:val="1E3A8A"/>
          <w:sz w:val="32"/>
        </w:rPr>
        <w:t>SOFTWARE CONFIGURATION MANAGEMENT</w:t>
        <w:br/>
      </w:r>
    </w:p>
    <w:p>
      <w:pPr>
        <w:spacing w:before="40" w:after="320"/>
        <w:jc w:val="center"/>
      </w:pPr>
      <w:r>
        <w:rPr>
          <w:rFonts w:ascii="Times New Roman" w:hAnsi="Times New Roman"/>
          <w:b/>
          <w:color w:val="DC2626"/>
          <w:sz w:val="28"/>
        </w:rPr>
        <w:t>FINAL TOOL DEMONSTRATION EVALUATION</w:t>
      </w:r>
    </w:p>
    <w:p>
      <w:pPr>
        <w:spacing w:after="480"/>
        <w:jc w:val="center"/>
      </w:pPr>
      <w:r>
        <w:rPr>
          <w:color w:val="CBD5E1"/>
        </w:rPr>
        <w:t>————————————————————————————————————</w:t>
      </w:r>
    </w:p>
    <w:p>
      <w:pPr>
        <w:spacing w:before="240" w:after="120"/>
        <w:jc w:val="center"/>
      </w:pPr>
      <w:r>
        <w:rPr>
          <w:rFonts w:ascii="Times New Roman" w:hAnsi="Times New Roman"/>
          <w:b/>
          <w:color w:val="0F172A"/>
          <w:sz w:val="52"/>
        </w:rPr>
        <w:t>CommitSleuth</w:t>
        <w:br/>
      </w:r>
      <w:r>
        <w:rPr>
          <w:rFonts w:ascii="Times New Roman" w:hAnsi="Times New Roman"/>
          <w:i/>
          <w:color w:val="475569"/>
          <w:sz w:val="26"/>
        </w:rPr>
        <w:t>Automated Continuous Integration Build Failure Tracking, Root-Cause Investigation &amp; Developer Alert Platform</w:t>
        <w:br/>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c>
          <w:tcPr>
            <w:tcW w:type="dxa" w:w="3168"/>
            <w:tcMar>
              <w:top w:w="60" w:type="dxa"/>
              <w:bottom w:w="60" w:type="dxa"/>
              <w:left w:w="100" w:type="dxa"/>
              <w:right w:w="100" w:type="dxa"/>
            </w:tcMar>
            <w:shd w:val="clear" w:color="auto" w:fill="F8FAFC"/>
          </w:tcPr>
          <w:p>
            <w:r>
              <w:rPr>
                <w:rFonts w:ascii="Times New Roman" w:hAnsi="Times New Roman"/>
                <w:b/>
                <w:color w:val="0F172A"/>
                <w:sz w:val="22"/>
              </w:rPr>
              <w:t>Course Code:</w:t>
            </w:r>
          </w:p>
        </w:tc>
        <w:tc>
          <w:tcPr>
            <w:tcW w:type="dxa" w:w="6192"/>
            <w:tcMar>
              <w:top w:w="60" w:type="dxa"/>
              <w:bottom w:w="60" w:type="dxa"/>
              <w:left w:w="100" w:type="dxa"/>
              <w:right w:w="100" w:type="dxa"/>
            </w:tcMar>
          </w:tcPr>
          <w:p>
            <w:r>
              <w:rPr>
                <w:rFonts w:ascii="Times New Roman" w:hAnsi="Times New Roman"/>
                <w:color w:val="1E293B"/>
                <w:sz w:val="22"/>
              </w:rPr>
              <w:t>ISWE403L</w:t>
            </w:r>
          </w:p>
        </w:tc>
      </w:tr>
      <w:tr>
        <w:tc>
          <w:tcPr>
            <w:tcW w:type="dxa" w:w="3168"/>
            <w:tcMar>
              <w:top w:w="60" w:type="dxa"/>
              <w:bottom w:w="60" w:type="dxa"/>
              <w:left w:w="100" w:type="dxa"/>
              <w:right w:w="100" w:type="dxa"/>
            </w:tcMar>
            <w:shd w:val="clear" w:color="auto" w:fill="F8FAFC"/>
          </w:tcPr>
          <w:p>
            <w:r>
              <w:rPr>
                <w:rFonts w:ascii="Times New Roman" w:hAnsi="Times New Roman"/>
                <w:b/>
                <w:color w:val="0F172A"/>
                <w:sz w:val="22"/>
              </w:rPr>
              <w:t>Course Title:</w:t>
            </w:r>
          </w:p>
        </w:tc>
        <w:tc>
          <w:tcPr>
            <w:tcW w:type="dxa" w:w="6192"/>
            <w:tcMar>
              <w:top w:w="60" w:type="dxa"/>
              <w:bottom w:w="60" w:type="dxa"/>
              <w:left w:w="100" w:type="dxa"/>
              <w:right w:w="100" w:type="dxa"/>
            </w:tcMar>
          </w:tcPr>
          <w:p>
            <w:r>
              <w:rPr>
                <w:rFonts w:ascii="Times New Roman" w:hAnsi="Times New Roman"/>
                <w:color w:val="1E293B"/>
                <w:sz w:val="22"/>
              </w:rPr>
              <w:t>Software Configuration Management</w:t>
            </w:r>
          </w:p>
        </w:tc>
      </w:tr>
      <w:tr>
        <w:tc>
          <w:tcPr>
            <w:tcW w:type="dxa" w:w="3168"/>
            <w:tcMar>
              <w:top w:w="60" w:type="dxa"/>
              <w:bottom w:w="60" w:type="dxa"/>
              <w:left w:w="100" w:type="dxa"/>
              <w:right w:w="100" w:type="dxa"/>
            </w:tcMar>
            <w:shd w:val="clear" w:color="auto" w:fill="F8FAFC"/>
          </w:tcPr>
          <w:p>
            <w:r>
              <w:rPr>
                <w:rFonts w:ascii="Times New Roman" w:hAnsi="Times New Roman"/>
                <w:b/>
                <w:color w:val="0F172A"/>
                <w:sz w:val="22"/>
              </w:rPr>
              <w:t>Faculty Guide:</w:t>
            </w:r>
          </w:p>
        </w:tc>
        <w:tc>
          <w:tcPr>
            <w:tcW w:type="dxa" w:w="6192"/>
            <w:tcMar>
              <w:top w:w="60" w:type="dxa"/>
              <w:bottom w:w="60" w:type="dxa"/>
              <w:left w:w="100" w:type="dxa"/>
              <w:right w:w="100" w:type="dxa"/>
            </w:tcMar>
          </w:tcPr>
          <w:p>
            <w:r>
              <w:rPr>
                <w:rFonts w:ascii="Times New Roman" w:hAnsi="Times New Roman"/>
                <w:color w:val="1E293B"/>
                <w:sz w:val="22"/>
              </w:rPr>
              <w:t>Senthil Kumar P</w:t>
            </w:r>
          </w:p>
        </w:tc>
      </w:tr>
      <w:tr>
        <w:tc>
          <w:tcPr>
            <w:tcW w:type="dxa" w:w="3168"/>
            <w:tcMar>
              <w:top w:w="60" w:type="dxa"/>
              <w:bottom w:w="60" w:type="dxa"/>
              <w:left w:w="100" w:type="dxa"/>
              <w:right w:w="100" w:type="dxa"/>
            </w:tcMar>
            <w:shd w:val="clear" w:color="auto" w:fill="F8FAFC"/>
          </w:tcPr>
          <w:p>
            <w:r>
              <w:rPr>
                <w:rFonts w:ascii="Times New Roman" w:hAnsi="Times New Roman"/>
                <w:b/>
                <w:color w:val="0F172A"/>
                <w:sz w:val="22"/>
              </w:rPr>
              <w:t>Class Slot:</w:t>
            </w:r>
          </w:p>
        </w:tc>
        <w:tc>
          <w:tcPr>
            <w:tcW w:type="dxa" w:w="6192"/>
            <w:tcMar>
              <w:top w:w="60" w:type="dxa"/>
              <w:bottom w:w="60" w:type="dxa"/>
              <w:left w:w="100" w:type="dxa"/>
              <w:right w:w="100" w:type="dxa"/>
            </w:tcMar>
          </w:tcPr>
          <w:p>
            <w:r>
              <w:rPr>
                <w:rFonts w:ascii="Times New Roman" w:hAnsi="Times New Roman"/>
                <w:color w:val="1E293B"/>
                <w:sz w:val="22"/>
              </w:rPr>
              <w:t>E1+TE1</w:t>
            </w:r>
          </w:p>
        </w:tc>
      </w:tr>
      <w:tr>
        <w:tc>
          <w:tcPr>
            <w:tcW w:type="dxa" w:w="3168"/>
            <w:tcMar>
              <w:top w:w="60" w:type="dxa"/>
              <w:bottom w:w="60" w:type="dxa"/>
              <w:left w:w="100" w:type="dxa"/>
              <w:right w:w="100" w:type="dxa"/>
            </w:tcMar>
            <w:shd w:val="clear" w:color="auto" w:fill="F8FAFC"/>
          </w:tcPr>
          <w:p>
            <w:r>
              <w:rPr>
                <w:rFonts w:ascii="Times New Roman" w:hAnsi="Times New Roman"/>
                <w:b/>
                <w:color w:val="0F172A"/>
                <w:sz w:val="22"/>
              </w:rPr>
              <w:t>Evaluation:</w:t>
            </w:r>
          </w:p>
        </w:tc>
        <w:tc>
          <w:tcPr>
            <w:tcW w:type="dxa" w:w="6192"/>
            <w:tcMar>
              <w:top w:w="60" w:type="dxa"/>
              <w:bottom w:w="60" w:type="dxa"/>
              <w:left w:w="100" w:type="dxa"/>
              <w:right w:w="100" w:type="dxa"/>
            </w:tcMar>
          </w:tcPr>
          <w:p>
            <w:r>
              <w:rPr>
                <w:rFonts w:ascii="Times New Roman" w:hAnsi="Times New Roman"/>
                <w:color w:val="1E293B"/>
                <w:sz w:val="22"/>
              </w:rPr>
              <w:t>Final Tool Demonstration Evaluation</w:t>
            </w:r>
          </w:p>
        </w:tc>
      </w:tr>
      <w:tr>
        <w:tc>
          <w:tcPr>
            <w:tcW w:type="dxa" w:w="3168"/>
            <w:tcMar>
              <w:top w:w="60" w:type="dxa"/>
              <w:bottom w:w="60" w:type="dxa"/>
              <w:left w:w="100" w:type="dxa"/>
              <w:right w:w="100" w:type="dxa"/>
            </w:tcMar>
            <w:shd w:val="clear" w:color="auto" w:fill="F8FAFC"/>
          </w:tcPr>
          <w:p>
            <w:r>
              <w:rPr>
                <w:rFonts w:ascii="Times New Roman" w:hAnsi="Times New Roman"/>
                <w:b/>
                <w:color w:val="0F172A"/>
                <w:sz w:val="22"/>
              </w:rPr>
              <w:t>Academic Stage:</w:t>
            </w:r>
          </w:p>
        </w:tc>
        <w:tc>
          <w:tcPr>
            <w:tcW w:type="dxa" w:w="6192"/>
            <w:tcMar>
              <w:top w:w="60" w:type="dxa"/>
              <w:bottom w:w="60" w:type="dxa"/>
              <w:left w:w="100" w:type="dxa"/>
              <w:right w:w="100" w:type="dxa"/>
            </w:tcMar>
          </w:tcPr>
          <w:p>
            <w:r>
              <w:rPr>
                <w:rFonts w:ascii="Times New Roman" w:hAnsi="Times New Roman"/>
                <w:color w:val="1E293B"/>
                <w:sz w:val="22"/>
              </w:rPr>
              <w:t>Final Review</w:t>
            </w:r>
          </w:p>
        </w:tc>
      </w:tr>
      <w:tr>
        <w:tc>
          <w:tcPr>
            <w:tcW w:type="dxa" w:w="3168"/>
            <w:tcMar>
              <w:top w:w="60" w:type="dxa"/>
              <w:bottom w:w="60" w:type="dxa"/>
              <w:left w:w="100" w:type="dxa"/>
              <w:right w:w="100" w:type="dxa"/>
            </w:tcMar>
            <w:shd w:val="clear" w:color="auto" w:fill="F8FAFC"/>
          </w:tcPr>
          <w:p>
            <w:r>
              <w:rPr>
                <w:rFonts w:ascii="Times New Roman" w:hAnsi="Times New Roman"/>
                <w:b/>
                <w:color w:val="0F172A"/>
                <w:sz w:val="22"/>
              </w:rPr>
              <w:t>SCM Tool Selected:</w:t>
            </w:r>
          </w:p>
        </w:tc>
        <w:tc>
          <w:tcPr>
            <w:tcW w:type="dxa" w:w="6192"/>
            <w:tcMar>
              <w:top w:w="60" w:type="dxa"/>
              <w:bottom w:w="60" w:type="dxa"/>
              <w:left w:w="100" w:type="dxa"/>
              <w:right w:w="100" w:type="dxa"/>
            </w:tcMar>
          </w:tcPr>
          <w:p>
            <w:r>
              <w:rPr>
                <w:rFonts w:ascii="Times New Roman" w:hAnsi="Times New Roman"/>
                <w:color w:val="1E293B"/>
                <w:sz w:val="22"/>
              </w:rPr>
              <w:t>Git &amp; GitHub</w:t>
            </w:r>
          </w:p>
        </w:tc>
      </w:tr>
      <w:tr>
        <w:tc>
          <w:tcPr>
            <w:tcW w:type="dxa" w:w="3168"/>
            <w:tcMar>
              <w:top w:w="60" w:type="dxa"/>
              <w:bottom w:w="60" w:type="dxa"/>
              <w:left w:w="100" w:type="dxa"/>
              <w:right w:w="100" w:type="dxa"/>
            </w:tcMar>
            <w:shd w:val="clear" w:color="auto" w:fill="F8FAFC"/>
          </w:tcPr>
          <w:p>
            <w:r>
              <w:rPr>
                <w:rFonts w:ascii="Times New Roman" w:hAnsi="Times New Roman"/>
                <w:b/>
                <w:color w:val="0F172A"/>
                <w:sz w:val="22"/>
              </w:rPr>
              <w:t>GitHub Repository:</w:t>
            </w:r>
          </w:p>
        </w:tc>
        <w:tc>
          <w:tcPr>
            <w:tcW w:type="dxa" w:w="6192"/>
            <w:tcMar>
              <w:top w:w="60" w:type="dxa"/>
              <w:bottom w:w="60" w:type="dxa"/>
              <w:left w:w="100" w:type="dxa"/>
              <w:right w:w="100" w:type="dxa"/>
            </w:tcMar>
          </w:tcPr>
          <w:p>
            <w:r>
              <w:rPr>
                <w:rFonts w:ascii="Times New Roman" w:hAnsi="Times New Roman"/>
                <w:color w:val="1E293B"/>
                <w:sz w:val="22"/>
              </w:rPr>
              <w:t>https://github.com/prakashumapathi07-spec/COMMITSLEUTHSCM.git</w:t>
            </w:r>
          </w:p>
        </w:tc>
      </w:tr>
    </w:tbl>
    <w:p>
      <w:pPr>
        <w:spacing w:before="720" w:after="80"/>
        <w:jc w:val="center"/>
      </w:pPr>
      <w:r>
        <w:rPr>
          <w:rFonts w:ascii="Times New Roman" w:hAnsi="Times New Roman"/>
          <w:b/>
          <w:color w:val="0F172A"/>
          <w:sz w:val="24"/>
        </w:rPr>
        <w:t>Project Team Members:</w:t>
        <w:br/>
      </w:r>
    </w:p>
    <w:p>
      <w:pPr>
        <w:spacing w:before="80" w:line="300" w:lineRule="auto"/>
        <w:jc w:val="center"/>
      </w:pPr>
      <w:r>
        <w:rPr>
          <w:rFonts w:ascii="Times New Roman" w:hAnsi="Times New Roman"/>
          <w:b/>
          <w:color w:val="1E3A8A"/>
          <w:sz w:val="24"/>
        </w:rPr>
        <w:t>Prakash Raj — Register Number: 23MI0180</w:t>
        <w:br/>
      </w:r>
      <w:r>
        <w:rPr>
          <w:rFonts w:ascii="Times New Roman" w:hAnsi="Times New Roman"/>
          <w:b/>
          <w:color w:val="1E3A8A"/>
          <w:sz w:val="24"/>
        </w:rPr>
        <w:t>Bharathwaraj K S — Register Number: 23MIS0070</w:t>
        <w:br/>
      </w:r>
    </w:p>
    <w:p>
      <w:r>
        <w:br w:type="page"/>
      </w:r>
    </w:p>
    <w:p>
      <w:pPr>
        <w:pStyle w:val="Heading1"/>
        <w:keepNext/>
        <w:spacing w:before="360" w:after="120"/>
      </w:pPr>
      <w:r>
        <w:rPr>
          <w:rFonts w:ascii="Times New Roman" w:hAnsi="Times New Roman"/>
          <w:b/>
          <w:color w:val="0F172A"/>
          <w:sz w:val="30"/>
        </w:rPr>
        <w:t>Table of Contents</w:t>
      </w:r>
    </w:p>
    <w:p>
      <w:pPr>
        <w:spacing w:line="324" w:lineRule="auto" w:after="160"/>
        <w:jc w:val="both"/>
      </w:pPr>
      <w:r>
        <w:rPr>
          <w:rFonts w:ascii="Times New Roman" w:hAnsi="Times New Roman"/>
          <w:color w:val="1E293B"/>
          <w:sz w:val="24"/>
        </w:rPr>
        <w:t>This document contains an automatic Word Table of Contents field code. When viewed or printed in Microsoft Word, press F9 or right-click to update all page numbers dynamically:</w:t>
      </w:r>
    </w:p>
    <w:tbl>
      <w:tblPr>
        <w:tblW w:type="auto" w:w="0"/>
        <w:jc w:val="center"/>
        <w:tblLook w:firstColumn="1" w:firstRow="1" w:lastColumn="0" w:lastRow="0" w:noHBand="0" w:noVBand="1" w:val="04A0"/>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Pr>
      <w:tblGrid>
        <w:gridCol w:w="4514"/>
        <w:gridCol w:w="4514"/>
      </w:tblGrid>
      <w:tr>
        <w:tc>
          <w:tcPr>
            <w:tcW w:type="dxa" w:w="7920"/>
            <w:tcMar>
              <w:top w:w="30" w:type="dxa"/>
              <w:bottom w:w="30" w:type="dxa"/>
              <w:left w:w="60" w:type="dxa"/>
              <w:right w:w="60" w:type="dxa"/>
            </w:tcMar>
          </w:tcPr>
          <w:p>
            <w:r>
              <w:rPr>
                <w:rFonts w:ascii="Times New Roman" w:hAnsi="Times New Roman"/>
                <w:b/>
                <w:sz w:val="21"/>
              </w:rPr>
              <w:t>Section 1 — Cover Page</w:t>
            </w:r>
          </w:p>
        </w:tc>
        <w:tc>
          <w:tcPr>
            <w:tcW w:type="dxa" w:w="1440"/>
            <w:tcMar>
              <w:top w:w="30" w:type="dxa"/>
              <w:bottom w:w="30" w:type="dxa"/>
              <w:left w:w="60" w:type="dxa"/>
              <w:right w:w="60" w:type="dxa"/>
            </w:tcMar>
          </w:tcPr>
          <w:p>
            <w:pPr>
              <w:jc w:val="right"/>
            </w:pPr>
            <w:r>
              <w:rPr>
                <w:rFonts w:ascii="Times New Roman" w:hAnsi="Times New Roman"/>
                <w:color w:val="64748B"/>
                <w:sz w:val="21"/>
              </w:rPr>
              <w:t>Page 1</w:t>
            </w:r>
          </w:p>
        </w:tc>
      </w:tr>
      <w:tr>
        <w:tc>
          <w:tcPr>
            <w:tcW w:type="dxa" w:w="7920"/>
            <w:tcMar>
              <w:top w:w="30" w:type="dxa"/>
              <w:bottom w:w="30" w:type="dxa"/>
              <w:left w:w="60" w:type="dxa"/>
              <w:right w:w="60" w:type="dxa"/>
            </w:tcMar>
          </w:tcPr>
          <w:p>
            <w:r>
              <w:rPr>
                <w:rFonts w:ascii="Times New Roman" w:hAnsi="Times New Roman"/>
                <w:b/>
                <w:sz w:val="21"/>
              </w:rPr>
              <w:t>Section 2 — Table of Contents</w:t>
            </w:r>
          </w:p>
        </w:tc>
        <w:tc>
          <w:tcPr>
            <w:tcW w:type="dxa" w:w="1440"/>
            <w:tcMar>
              <w:top w:w="30" w:type="dxa"/>
              <w:bottom w:w="30" w:type="dxa"/>
              <w:left w:w="60" w:type="dxa"/>
              <w:right w:w="60" w:type="dxa"/>
            </w:tcMar>
          </w:tcPr>
          <w:p>
            <w:pPr>
              <w:jc w:val="right"/>
            </w:pPr>
            <w:r>
              <w:rPr>
                <w:rFonts w:ascii="Times New Roman" w:hAnsi="Times New Roman"/>
                <w:color w:val="64748B"/>
                <w:sz w:val="21"/>
              </w:rPr>
              <w:t>Page 2</w:t>
            </w:r>
          </w:p>
        </w:tc>
      </w:tr>
      <w:tr>
        <w:tc>
          <w:tcPr>
            <w:tcW w:type="dxa" w:w="7920"/>
            <w:tcMar>
              <w:top w:w="30" w:type="dxa"/>
              <w:bottom w:w="30" w:type="dxa"/>
              <w:left w:w="60" w:type="dxa"/>
              <w:right w:w="60" w:type="dxa"/>
            </w:tcMar>
          </w:tcPr>
          <w:p>
            <w:r>
              <w:rPr>
                <w:rFonts w:ascii="Times New Roman" w:hAnsi="Times New Roman"/>
                <w:b/>
                <w:sz w:val="21"/>
              </w:rPr>
              <w:t>Section 3 — Introduction</w:t>
            </w:r>
          </w:p>
        </w:tc>
        <w:tc>
          <w:tcPr>
            <w:tcW w:type="dxa" w:w="1440"/>
            <w:tcMar>
              <w:top w:w="30" w:type="dxa"/>
              <w:bottom w:w="30" w:type="dxa"/>
              <w:left w:w="60" w:type="dxa"/>
              <w:right w:w="60" w:type="dxa"/>
            </w:tcMar>
          </w:tcPr>
          <w:p>
            <w:pPr>
              <w:jc w:val="right"/>
            </w:pPr>
            <w:r>
              <w:rPr>
                <w:rFonts w:ascii="Times New Roman" w:hAnsi="Times New Roman"/>
                <w:color w:val="64748B"/>
                <w:sz w:val="21"/>
              </w:rPr>
              <w:t>Page 3</w:t>
            </w:r>
          </w:p>
        </w:tc>
      </w:tr>
      <w:tr>
        <w:tc>
          <w:tcPr>
            <w:tcW w:type="dxa" w:w="7920"/>
            <w:tcMar>
              <w:top w:w="30" w:type="dxa"/>
              <w:bottom w:w="30" w:type="dxa"/>
              <w:left w:w="60" w:type="dxa"/>
              <w:right w:w="60" w:type="dxa"/>
            </w:tcMar>
          </w:tcPr>
          <w:p>
            <w:r>
              <w:rPr>
                <w:rFonts w:ascii="Times New Roman" w:hAnsi="Times New Roman"/>
                <w:b/>
                <w:sz w:val="21"/>
              </w:rPr>
              <w:t>Section 4 — Project Objectives</w:t>
            </w:r>
          </w:p>
        </w:tc>
        <w:tc>
          <w:tcPr>
            <w:tcW w:type="dxa" w:w="1440"/>
            <w:tcMar>
              <w:top w:w="30" w:type="dxa"/>
              <w:bottom w:w="30" w:type="dxa"/>
              <w:left w:w="60" w:type="dxa"/>
              <w:right w:w="60" w:type="dxa"/>
            </w:tcMar>
          </w:tcPr>
          <w:p>
            <w:pPr>
              <w:jc w:val="right"/>
            </w:pPr>
            <w:r>
              <w:rPr>
                <w:rFonts w:ascii="Times New Roman" w:hAnsi="Times New Roman"/>
                <w:color w:val="64748B"/>
                <w:sz w:val="21"/>
              </w:rPr>
              <w:t>Page 4</w:t>
            </w:r>
          </w:p>
        </w:tc>
      </w:tr>
      <w:tr>
        <w:tc>
          <w:tcPr>
            <w:tcW w:type="dxa" w:w="7920"/>
            <w:tcMar>
              <w:top w:w="30" w:type="dxa"/>
              <w:bottom w:w="30" w:type="dxa"/>
              <w:left w:w="60" w:type="dxa"/>
              <w:right w:w="60" w:type="dxa"/>
            </w:tcMar>
          </w:tcPr>
          <w:p>
            <w:r>
              <w:rPr>
                <w:rFonts w:ascii="Times New Roman" w:hAnsi="Times New Roman"/>
                <w:b/>
                <w:sz w:val="21"/>
              </w:rPr>
              <w:t>Section 5 — Project Details and System Overview</w:t>
            </w:r>
          </w:p>
        </w:tc>
        <w:tc>
          <w:tcPr>
            <w:tcW w:type="dxa" w:w="1440"/>
            <w:tcMar>
              <w:top w:w="30" w:type="dxa"/>
              <w:bottom w:w="30" w:type="dxa"/>
              <w:left w:w="60" w:type="dxa"/>
              <w:right w:w="60" w:type="dxa"/>
            </w:tcMar>
          </w:tcPr>
          <w:p>
            <w:pPr>
              <w:jc w:val="right"/>
            </w:pPr>
            <w:r>
              <w:rPr>
                <w:rFonts w:ascii="Times New Roman" w:hAnsi="Times New Roman"/>
                <w:color w:val="64748B"/>
                <w:sz w:val="21"/>
              </w:rPr>
              <w:t>Page 5</w:t>
            </w:r>
          </w:p>
        </w:tc>
      </w:tr>
      <w:tr>
        <w:tc>
          <w:tcPr>
            <w:tcW w:type="dxa" w:w="7920"/>
            <w:tcMar>
              <w:top w:w="30" w:type="dxa"/>
              <w:bottom w:w="30" w:type="dxa"/>
              <w:left w:w="60" w:type="dxa"/>
              <w:right w:w="60" w:type="dxa"/>
            </w:tcMar>
          </w:tcPr>
          <w:p>
            <w:r>
              <w:rPr>
                <w:rFonts w:ascii="Times New Roman" w:hAnsi="Times New Roman"/>
                <w:b/>
                <w:sz w:val="21"/>
              </w:rPr>
              <w:t>Section 6 — SCM Tool Selected: Git and GitHub</w:t>
            </w:r>
          </w:p>
        </w:tc>
        <w:tc>
          <w:tcPr>
            <w:tcW w:type="dxa" w:w="1440"/>
            <w:tcMar>
              <w:top w:w="30" w:type="dxa"/>
              <w:bottom w:w="30" w:type="dxa"/>
              <w:left w:w="60" w:type="dxa"/>
              <w:right w:w="60" w:type="dxa"/>
            </w:tcMar>
          </w:tcPr>
          <w:p>
            <w:pPr>
              <w:jc w:val="right"/>
            </w:pPr>
            <w:r>
              <w:rPr>
                <w:rFonts w:ascii="Times New Roman" w:hAnsi="Times New Roman"/>
                <w:color w:val="64748B"/>
                <w:sz w:val="21"/>
              </w:rPr>
              <w:t>Page 7</w:t>
            </w:r>
          </w:p>
        </w:tc>
      </w:tr>
      <w:tr>
        <w:tc>
          <w:tcPr>
            <w:tcW w:type="dxa" w:w="7920"/>
            <w:tcMar>
              <w:top w:w="30" w:type="dxa"/>
              <w:bottom w:w="30" w:type="dxa"/>
              <w:left w:w="60" w:type="dxa"/>
              <w:right w:w="60" w:type="dxa"/>
            </w:tcMar>
          </w:tcPr>
          <w:p>
            <w:r>
              <w:rPr>
                <w:rFonts w:ascii="Times New Roman" w:hAnsi="Times New Roman"/>
                <w:b/>
                <w:sz w:val="21"/>
              </w:rPr>
              <w:t>Section 7 — Tool Implementation (with Git Overview &amp; Web Dashboard)</w:t>
            </w:r>
          </w:p>
        </w:tc>
        <w:tc>
          <w:tcPr>
            <w:tcW w:type="dxa" w:w="1440"/>
            <w:tcMar>
              <w:top w:w="30" w:type="dxa"/>
              <w:bottom w:w="30" w:type="dxa"/>
              <w:left w:w="60" w:type="dxa"/>
              <w:right w:w="60" w:type="dxa"/>
            </w:tcMar>
          </w:tcPr>
          <w:p>
            <w:pPr>
              <w:jc w:val="right"/>
            </w:pPr>
            <w:r>
              <w:rPr>
                <w:rFonts w:ascii="Times New Roman" w:hAnsi="Times New Roman"/>
                <w:color w:val="64748B"/>
                <w:sz w:val="21"/>
              </w:rPr>
              <w:t>Page 9</w:t>
            </w:r>
          </w:p>
        </w:tc>
      </w:tr>
      <w:tr>
        <w:tc>
          <w:tcPr>
            <w:tcW w:type="dxa" w:w="7920"/>
            <w:tcMar>
              <w:top w:w="30" w:type="dxa"/>
              <w:bottom w:w="30" w:type="dxa"/>
              <w:left w:w="60" w:type="dxa"/>
              <w:right w:w="60" w:type="dxa"/>
            </w:tcMar>
          </w:tcPr>
          <w:p>
            <w:r>
              <w:rPr>
                <w:rFonts w:ascii="Times New Roman" w:hAnsi="Times New Roman"/>
                <w:b/>
                <w:sz w:val="21"/>
              </w:rPr>
              <w:t>Section 8 — Version Management (with Git Commit Log, Branches, DAG Tree, PR Diff &amp; Tags)</w:t>
            </w:r>
          </w:p>
        </w:tc>
        <w:tc>
          <w:tcPr>
            <w:tcW w:type="dxa" w:w="1440"/>
            <w:tcMar>
              <w:top w:w="30" w:type="dxa"/>
              <w:bottom w:w="30" w:type="dxa"/>
              <w:left w:w="60" w:type="dxa"/>
              <w:right w:w="60" w:type="dxa"/>
            </w:tcMar>
          </w:tcPr>
          <w:p>
            <w:pPr>
              <w:jc w:val="right"/>
            </w:pPr>
            <w:r>
              <w:rPr>
                <w:rFonts w:ascii="Times New Roman" w:hAnsi="Times New Roman"/>
                <w:color w:val="64748B"/>
                <w:sz w:val="21"/>
              </w:rPr>
              <w:t>Page 12</w:t>
            </w:r>
          </w:p>
        </w:tc>
      </w:tr>
      <w:tr>
        <w:tc>
          <w:tcPr>
            <w:tcW w:type="dxa" w:w="7920"/>
            <w:tcMar>
              <w:top w:w="30" w:type="dxa"/>
              <w:bottom w:w="30" w:type="dxa"/>
              <w:left w:w="60" w:type="dxa"/>
              <w:right w:w="60" w:type="dxa"/>
            </w:tcMar>
          </w:tcPr>
          <w:p>
            <w:r>
              <w:rPr>
                <w:rFonts w:ascii="Times New Roman" w:hAnsi="Times New Roman"/>
                <w:b/>
                <w:sz w:val="21"/>
              </w:rPr>
              <w:t>Section 9 — Change Management (CR-001 through CR-016)</w:t>
            </w:r>
          </w:p>
        </w:tc>
        <w:tc>
          <w:tcPr>
            <w:tcW w:type="dxa" w:w="1440"/>
            <w:tcMar>
              <w:top w:w="30" w:type="dxa"/>
              <w:bottom w:w="30" w:type="dxa"/>
              <w:left w:w="60" w:type="dxa"/>
              <w:right w:w="60" w:type="dxa"/>
            </w:tcMar>
          </w:tcPr>
          <w:p>
            <w:pPr>
              <w:jc w:val="right"/>
            </w:pPr>
            <w:r>
              <w:rPr>
                <w:rFonts w:ascii="Times New Roman" w:hAnsi="Times New Roman"/>
                <w:color w:val="64748B"/>
                <w:sz w:val="21"/>
              </w:rPr>
              <w:t>Page 17</w:t>
            </w:r>
          </w:p>
        </w:tc>
      </w:tr>
      <w:tr>
        <w:tc>
          <w:tcPr>
            <w:tcW w:type="dxa" w:w="7920"/>
            <w:tcMar>
              <w:top w:w="30" w:type="dxa"/>
              <w:bottom w:w="30" w:type="dxa"/>
              <w:left w:w="60" w:type="dxa"/>
              <w:right w:w="60" w:type="dxa"/>
            </w:tcMar>
          </w:tcPr>
          <w:p>
            <w:r>
              <w:rPr>
                <w:rFonts w:ascii="Times New Roman" w:hAnsi="Times New Roman"/>
                <w:b/>
                <w:sz w:val="21"/>
              </w:rPr>
              <w:t>Section 10 — Problem Tracking (BUG-024 Lifecycle &amp; Failure Roadmap)</w:t>
            </w:r>
          </w:p>
        </w:tc>
        <w:tc>
          <w:tcPr>
            <w:tcW w:type="dxa" w:w="1440"/>
            <w:tcMar>
              <w:top w:w="30" w:type="dxa"/>
              <w:bottom w:w="30" w:type="dxa"/>
              <w:left w:w="60" w:type="dxa"/>
              <w:right w:w="60" w:type="dxa"/>
            </w:tcMar>
          </w:tcPr>
          <w:p>
            <w:pPr>
              <w:jc w:val="right"/>
            </w:pPr>
            <w:r>
              <w:rPr>
                <w:rFonts w:ascii="Times New Roman" w:hAnsi="Times New Roman"/>
                <w:color w:val="64748B"/>
                <w:sz w:val="21"/>
              </w:rPr>
              <w:t>Page 19</w:t>
            </w:r>
          </w:p>
        </w:tc>
      </w:tr>
      <w:tr>
        <w:tc>
          <w:tcPr>
            <w:tcW w:type="dxa" w:w="7920"/>
            <w:tcMar>
              <w:top w:w="30" w:type="dxa"/>
              <w:bottom w:w="30" w:type="dxa"/>
              <w:left w:w="60" w:type="dxa"/>
              <w:right w:w="60" w:type="dxa"/>
            </w:tcMar>
          </w:tcPr>
          <w:p>
            <w:r>
              <w:rPr>
                <w:rFonts w:ascii="Times New Roman" w:hAnsi="Times New Roman"/>
                <w:b/>
                <w:sz w:val="21"/>
              </w:rPr>
              <w:t>Section 11 — Promotional Management (Quality Gate Evaluation)</w:t>
            </w:r>
          </w:p>
        </w:tc>
        <w:tc>
          <w:tcPr>
            <w:tcW w:type="dxa" w:w="1440"/>
            <w:tcMar>
              <w:top w:w="30" w:type="dxa"/>
              <w:bottom w:w="30" w:type="dxa"/>
              <w:left w:w="60" w:type="dxa"/>
              <w:right w:w="60" w:type="dxa"/>
            </w:tcMar>
          </w:tcPr>
          <w:p>
            <w:pPr>
              <w:jc w:val="right"/>
            </w:pPr>
            <w:r>
              <w:rPr>
                <w:rFonts w:ascii="Times New Roman" w:hAnsi="Times New Roman"/>
                <w:color w:val="64748B"/>
                <w:sz w:val="21"/>
              </w:rPr>
              <w:t>Page 22</w:t>
            </w:r>
          </w:p>
        </w:tc>
      </w:tr>
      <w:tr>
        <w:tc>
          <w:tcPr>
            <w:tcW w:type="dxa" w:w="7920"/>
            <w:tcMar>
              <w:top w:w="30" w:type="dxa"/>
              <w:bottom w:w="30" w:type="dxa"/>
              <w:left w:w="60" w:type="dxa"/>
              <w:right w:w="60" w:type="dxa"/>
            </w:tcMar>
          </w:tcPr>
          <w:p>
            <w:r>
              <w:rPr>
                <w:rFonts w:ascii="Times New Roman" w:hAnsi="Times New Roman"/>
                <w:b/>
                <w:sz w:val="21"/>
              </w:rPr>
              <w:t>Section 12 — System Accounting (20 Configuration Items &amp; CSAR Report)</w:t>
            </w:r>
          </w:p>
        </w:tc>
        <w:tc>
          <w:tcPr>
            <w:tcW w:type="dxa" w:w="1440"/>
            <w:tcMar>
              <w:top w:w="30" w:type="dxa"/>
              <w:bottom w:w="30" w:type="dxa"/>
              <w:left w:w="60" w:type="dxa"/>
              <w:right w:w="60" w:type="dxa"/>
            </w:tcMar>
          </w:tcPr>
          <w:p>
            <w:pPr>
              <w:jc w:val="right"/>
            </w:pPr>
            <w:r>
              <w:rPr>
                <w:rFonts w:ascii="Times New Roman" w:hAnsi="Times New Roman"/>
                <w:color w:val="64748B"/>
                <w:sz w:val="21"/>
              </w:rPr>
              <w:t>Page 24</w:t>
            </w:r>
          </w:p>
        </w:tc>
      </w:tr>
      <w:tr>
        <w:tc>
          <w:tcPr>
            <w:tcW w:type="dxa" w:w="7920"/>
            <w:tcMar>
              <w:top w:w="30" w:type="dxa"/>
              <w:bottom w:w="30" w:type="dxa"/>
              <w:left w:w="60" w:type="dxa"/>
              <w:right w:w="60" w:type="dxa"/>
            </w:tcMar>
          </w:tcPr>
          <w:p>
            <w:r>
              <w:rPr>
                <w:rFonts w:ascii="Times New Roman" w:hAnsi="Times New Roman"/>
                <w:b/>
                <w:sz w:val="21"/>
              </w:rPr>
              <w:t>Section 13 — CAS (Configuration Auditing System: FCA &amp; PCA)</w:t>
            </w:r>
          </w:p>
        </w:tc>
        <w:tc>
          <w:tcPr>
            <w:tcW w:type="dxa" w:w="1440"/>
            <w:tcMar>
              <w:top w:w="30" w:type="dxa"/>
              <w:bottom w:w="30" w:type="dxa"/>
              <w:left w:w="60" w:type="dxa"/>
              <w:right w:w="60" w:type="dxa"/>
            </w:tcMar>
          </w:tcPr>
          <w:p>
            <w:pPr>
              <w:jc w:val="right"/>
            </w:pPr>
            <w:r>
              <w:rPr>
                <w:rFonts w:ascii="Times New Roman" w:hAnsi="Times New Roman"/>
                <w:color w:val="64748B"/>
                <w:sz w:val="21"/>
              </w:rPr>
              <w:t>Page 26</w:t>
            </w:r>
          </w:p>
        </w:tc>
      </w:tr>
      <w:tr>
        <w:tc>
          <w:tcPr>
            <w:tcW w:type="dxa" w:w="7920"/>
            <w:tcMar>
              <w:top w:w="30" w:type="dxa"/>
              <w:bottom w:w="30" w:type="dxa"/>
              <w:left w:w="60" w:type="dxa"/>
              <w:right w:w="60" w:type="dxa"/>
            </w:tcMar>
          </w:tcPr>
          <w:p>
            <w:r>
              <w:rPr>
                <w:rFonts w:ascii="Times New Roman" w:hAnsi="Times New Roman"/>
                <w:b/>
                <w:sz w:val="21"/>
              </w:rPr>
              <w:t>Section 14 — Access and Security (RBAC &amp; SCM Audit Trail)</w:t>
            </w:r>
          </w:p>
        </w:tc>
        <w:tc>
          <w:tcPr>
            <w:tcW w:type="dxa" w:w="1440"/>
            <w:tcMar>
              <w:top w:w="30" w:type="dxa"/>
              <w:bottom w:w="30" w:type="dxa"/>
              <w:left w:w="60" w:type="dxa"/>
              <w:right w:w="60" w:type="dxa"/>
            </w:tcMar>
          </w:tcPr>
          <w:p>
            <w:pPr>
              <w:jc w:val="right"/>
            </w:pPr>
            <w:r>
              <w:rPr>
                <w:rFonts w:ascii="Times New Roman" w:hAnsi="Times New Roman"/>
                <w:color w:val="64748B"/>
                <w:sz w:val="21"/>
              </w:rPr>
              <w:t>Page 28</w:t>
            </w:r>
          </w:p>
        </w:tc>
      </w:tr>
      <w:tr>
        <w:tc>
          <w:tcPr>
            <w:tcW w:type="dxa" w:w="7920"/>
            <w:tcMar>
              <w:top w:w="30" w:type="dxa"/>
              <w:bottom w:w="30" w:type="dxa"/>
              <w:left w:w="60" w:type="dxa"/>
              <w:right w:w="60" w:type="dxa"/>
            </w:tcMar>
          </w:tcPr>
          <w:p>
            <w:r>
              <w:rPr>
                <w:rFonts w:ascii="Times New Roman" w:hAnsi="Times New Roman"/>
                <w:b/>
                <w:sz w:val="21"/>
              </w:rPr>
              <w:t>Section 15 — Customization (Heuristic Weight Configuration)</w:t>
            </w:r>
          </w:p>
        </w:tc>
        <w:tc>
          <w:tcPr>
            <w:tcW w:type="dxa" w:w="1440"/>
            <w:tcMar>
              <w:top w:w="30" w:type="dxa"/>
              <w:bottom w:w="30" w:type="dxa"/>
              <w:left w:w="60" w:type="dxa"/>
              <w:right w:w="60" w:type="dxa"/>
            </w:tcMar>
          </w:tcPr>
          <w:p>
            <w:pPr>
              <w:jc w:val="right"/>
            </w:pPr>
            <w:r>
              <w:rPr>
                <w:rFonts w:ascii="Times New Roman" w:hAnsi="Times New Roman"/>
                <w:color w:val="64748B"/>
                <w:sz w:val="21"/>
              </w:rPr>
              <w:t>Page 30</w:t>
            </w:r>
          </w:p>
        </w:tc>
      </w:tr>
      <w:tr>
        <w:tc>
          <w:tcPr>
            <w:tcW w:type="dxa" w:w="7920"/>
            <w:tcMar>
              <w:top w:w="30" w:type="dxa"/>
              <w:bottom w:w="30" w:type="dxa"/>
              <w:left w:w="60" w:type="dxa"/>
              <w:right w:w="60" w:type="dxa"/>
            </w:tcMar>
          </w:tcPr>
          <w:p>
            <w:r>
              <w:rPr>
                <w:rFonts w:ascii="Times New Roman" w:hAnsi="Times New Roman"/>
                <w:b/>
                <w:sz w:val="21"/>
              </w:rPr>
              <w:t>Section 16 — Web Enabling (Responsive Portal &amp; Build History)</w:t>
            </w:r>
          </w:p>
        </w:tc>
        <w:tc>
          <w:tcPr>
            <w:tcW w:type="dxa" w:w="1440"/>
            <w:tcMar>
              <w:top w:w="30" w:type="dxa"/>
              <w:bottom w:w="30" w:type="dxa"/>
              <w:left w:w="60" w:type="dxa"/>
              <w:right w:w="60" w:type="dxa"/>
            </w:tcMar>
          </w:tcPr>
          <w:p>
            <w:pPr>
              <w:jc w:val="right"/>
            </w:pPr>
            <w:r>
              <w:rPr>
                <w:rFonts w:ascii="Times New Roman" w:hAnsi="Times New Roman"/>
                <w:color w:val="64748B"/>
                <w:sz w:val="21"/>
              </w:rPr>
              <w:t>Page 32</w:t>
            </w:r>
          </w:p>
        </w:tc>
      </w:tr>
      <w:tr>
        <w:tc>
          <w:tcPr>
            <w:tcW w:type="dxa" w:w="7920"/>
            <w:tcMar>
              <w:top w:w="30" w:type="dxa"/>
              <w:bottom w:w="30" w:type="dxa"/>
              <w:left w:w="60" w:type="dxa"/>
              <w:right w:w="60" w:type="dxa"/>
            </w:tcMar>
          </w:tcPr>
          <w:p>
            <w:r>
              <w:rPr>
                <w:rFonts w:ascii="Times New Roman" w:hAnsi="Times New Roman"/>
                <w:b/>
                <w:sz w:val="21"/>
              </w:rPr>
              <w:t>Section 17 — Results, Testing, and Demonstration (42 Verified Test Cases)</w:t>
            </w:r>
          </w:p>
        </w:tc>
        <w:tc>
          <w:tcPr>
            <w:tcW w:type="dxa" w:w="1440"/>
            <w:tcMar>
              <w:top w:w="30" w:type="dxa"/>
              <w:bottom w:w="30" w:type="dxa"/>
              <w:left w:w="60" w:type="dxa"/>
              <w:right w:w="60" w:type="dxa"/>
            </w:tcMar>
          </w:tcPr>
          <w:p>
            <w:pPr>
              <w:jc w:val="right"/>
            </w:pPr>
            <w:r>
              <w:rPr>
                <w:rFonts w:ascii="Times New Roman" w:hAnsi="Times New Roman"/>
                <w:color w:val="64748B"/>
                <w:sz w:val="21"/>
              </w:rPr>
              <w:t>Page 34</w:t>
            </w:r>
          </w:p>
        </w:tc>
      </w:tr>
      <w:tr>
        <w:tc>
          <w:tcPr>
            <w:tcW w:type="dxa" w:w="7920"/>
            <w:tcMar>
              <w:top w:w="30" w:type="dxa"/>
              <w:bottom w:w="30" w:type="dxa"/>
              <w:left w:w="60" w:type="dxa"/>
              <w:right w:w="60" w:type="dxa"/>
            </w:tcMar>
          </w:tcPr>
          <w:p>
            <w:r>
              <w:rPr>
                <w:rFonts w:ascii="Times New Roman" w:hAnsi="Times New Roman"/>
                <w:b/>
                <w:sz w:val="21"/>
              </w:rPr>
              <w:t>Section 18 — Conclusion and Future Enhancements</w:t>
            </w:r>
          </w:p>
        </w:tc>
        <w:tc>
          <w:tcPr>
            <w:tcW w:type="dxa" w:w="1440"/>
            <w:tcMar>
              <w:top w:w="30" w:type="dxa"/>
              <w:bottom w:w="30" w:type="dxa"/>
              <w:left w:w="60" w:type="dxa"/>
              <w:right w:w="60" w:type="dxa"/>
            </w:tcMar>
          </w:tcPr>
          <w:p>
            <w:pPr>
              <w:jc w:val="right"/>
            </w:pPr>
            <w:r>
              <w:rPr>
                <w:rFonts w:ascii="Times New Roman" w:hAnsi="Times New Roman"/>
                <w:color w:val="64748B"/>
                <w:sz w:val="21"/>
              </w:rPr>
              <w:t>Page 37</w:t>
            </w:r>
          </w:p>
        </w:tc>
      </w:tr>
      <w:tr>
        <w:tc>
          <w:tcPr>
            <w:tcW w:type="dxa" w:w="7920"/>
            <w:tcMar>
              <w:top w:w="30" w:type="dxa"/>
              <w:bottom w:w="30" w:type="dxa"/>
              <w:left w:w="60" w:type="dxa"/>
              <w:right w:w="60" w:type="dxa"/>
            </w:tcMar>
          </w:tcPr>
          <w:p>
            <w:r>
              <w:rPr>
                <w:rFonts w:ascii="Times New Roman" w:hAnsi="Times New Roman"/>
                <w:b/>
                <w:sz w:val="21"/>
              </w:rPr>
              <w:t>Section 19 — References</w:t>
            </w:r>
          </w:p>
        </w:tc>
        <w:tc>
          <w:tcPr>
            <w:tcW w:type="dxa" w:w="1440"/>
            <w:tcMar>
              <w:top w:w="30" w:type="dxa"/>
              <w:bottom w:w="30" w:type="dxa"/>
              <w:left w:w="60" w:type="dxa"/>
              <w:right w:w="60" w:type="dxa"/>
            </w:tcMar>
          </w:tcPr>
          <w:p>
            <w:pPr>
              <w:jc w:val="right"/>
            </w:pPr>
            <w:r>
              <w:rPr>
                <w:rFonts w:ascii="Times New Roman" w:hAnsi="Times New Roman"/>
                <w:color w:val="64748B"/>
                <w:sz w:val="21"/>
              </w:rPr>
              <w:t>Page 38</w:t>
            </w:r>
          </w:p>
        </w:tc>
      </w:tr>
    </w:tbl>
    <w:p>
      <w:r>
        <w:br w:type="page"/>
      </w:r>
    </w:p>
    <w:p>
      <w:pPr>
        <w:pStyle w:val="Heading1"/>
        <w:keepNext/>
        <w:spacing w:before="360" w:after="120"/>
      </w:pPr>
      <w:r>
        <w:rPr>
          <w:rFonts w:ascii="Times New Roman" w:hAnsi="Times New Roman"/>
          <w:b/>
          <w:color w:val="0F172A"/>
          <w:sz w:val="30"/>
        </w:rPr>
        <w:t>Section 3 — Introduction</w:t>
      </w:r>
    </w:p>
    <w:p>
      <w:pPr>
        <w:spacing w:line="324" w:lineRule="auto" w:after="120"/>
        <w:jc w:val="both"/>
      </w:pPr>
      <w:r>
        <w:rPr>
          <w:rFonts w:ascii="Times New Roman" w:hAnsi="Times New Roman"/>
          <w:color w:val="1E293B"/>
          <w:sz w:val="24"/>
        </w:rPr>
        <w:t>CommitSleuth is an automated continuous integration build failure tracking, root-cause investigation, and developer alert platform developed specifically to address critical Software Configuration Management (SCM) challenges in modern multi-developer software engineering environments. In fast-paced software organizations, multiple software engineers continuously write, commit, and push modifications across separate feature branches. These branches are subsequently integrated into centralized continuous integration pipelines (such as Jenkins or GitHub Actions). However, when an automated build breaks after several developer commits have accumulated in close succession, standard continuous integration engines mark the entire build as broken but provide zero actionable insight into which specific commit introduced the fault. This pervasive dilemma is known as the batching problem.</w:t>
      </w:r>
    </w:p>
    <w:p>
      <w:pPr>
        <w:spacing w:line="324" w:lineRule="auto" w:after="120"/>
        <w:jc w:val="both"/>
      </w:pPr>
      <w:r>
        <w:rPr>
          <w:rFonts w:ascii="Times New Roman" w:hAnsi="Times New Roman"/>
          <w:color w:val="1E293B"/>
          <w:sz w:val="24"/>
        </w:rPr>
        <w:t>Common software engineering practice often resorts to an ad-hoc, error-prone heuristic: blaming the author of the latest commit (HEAD). In reality, that latest commit is frequently a harmless cosmetic adjustment, a test addition, or a documentation edit, while the true defect was introduced three commits earlier in an unverified component change. This naive approach results in wasted engineering hours, incorrect developer blame, delayed Mean Time to Resolution (MTTR), and contamination of promotion pipelines.</w:t>
      </w:r>
    </w:p>
    <w:p>
      <w:pPr>
        <w:spacing w:line="324" w:lineRule="auto" w:after="120"/>
        <w:jc w:val="both"/>
      </w:pPr>
      <w:r>
        <w:rPr>
          <w:rFonts w:ascii="Times New Roman" w:hAnsi="Times New Roman"/>
          <w:color w:val="1E293B"/>
          <w:sz w:val="24"/>
        </w:rPr>
        <w:t>Software Configuration Management (SCM) provides the foundational discipline required to resolve this engineering breakdown. SCM governs the identification, versioning, change authorization, defect tracking, auditing, and promotional staging of all software configuration items. By establishing immutable configuration baselines, enforcing bidirectional traceability between source revisions and approved change requests, and auditing both functional requirements and physical release packages, SCM ensures that software products evolve in a predictable, verifiable, and secure manner.</w:t>
      </w:r>
    </w:p>
    <w:p>
      <w:pPr>
        <w:spacing w:line="324" w:lineRule="auto" w:after="120"/>
        <w:jc w:val="both"/>
      </w:pPr>
      <w:r>
        <w:rPr>
          <w:rFonts w:ascii="Times New Roman" w:hAnsi="Times New Roman"/>
          <w:color w:val="1E293B"/>
          <w:sz w:val="24"/>
        </w:rPr>
        <w:t>In the CommitSleuth platform, Git and GitHub serve as the primary, authoritative version control and configuration management infrastructure. Git provides distributed repository cloning, cryptographic SHA commit integrity, atomic changeset recording, and local branch isolation. GitHub delivers centralized repository hosting, remote collaboration, peer pull request reviews, automated webhook triggers, and immutable semantic release tagging. CommitSleuth connects directly to this Git/GitHub backbone, monitoring Jenkins CI pipeline events, parsing Maven Surefire compiler and test failure logs, and calculating transparent, mathematical attribution scores across candidate commits.</w:t>
      </w:r>
    </w:p>
    <w:p>
      <w:pPr>
        <w:spacing w:line="324" w:lineRule="auto" w:after="120"/>
        <w:jc w:val="both"/>
      </w:pPr>
      <w:r>
        <w:rPr>
          <w:rFonts w:ascii="Times New Roman" w:hAnsi="Times New Roman"/>
          <w:color w:val="1E293B"/>
          <w:sz w:val="24"/>
        </w:rPr>
        <w:t>The purpose of this Final Tool Demonstration Evaluation is to rigorously evaluate and verify CommitSleuth's complete operational implementation against all ten core SCM activities mandated in ISWE403L. Through authentic project source code, real Git commit histories, automated test suites (22 pytest test cases and 20 Java JUnit 5 test cases), and live web application interfaces, this documentation proves how CommitSleuth eliminates the 'Blame HEAD' fallacy and enforces rigorous SCM governance throughout the software development lifecycle.</w:t>
      </w:r>
    </w:p>
    <w:p>
      <w:pPr>
        <w:pStyle w:val="Heading1"/>
        <w:keepNext/>
        <w:spacing w:before="360" w:after="120"/>
      </w:pPr>
      <w:r>
        <w:rPr>
          <w:rFonts w:ascii="Times New Roman" w:hAnsi="Times New Roman"/>
          <w:b/>
          <w:color w:val="0F172A"/>
          <w:sz w:val="30"/>
        </w:rPr>
        <w:t>Section 4 — Project Objectives</w:t>
      </w:r>
    </w:p>
    <w:p>
      <w:pPr>
        <w:spacing w:line="324" w:lineRule="auto" w:after="120"/>
        <w:jc w:val="both"/>
      </w:pPr>
      <w:r>
        <w:rPr>
          <w:rFonts w:ascii="Times New Roman" w:hAnsi="Times New Roman"/>
          <w:color w:val="1E293B"/>
          <w:sz w:val="24"/>
        </w:rPr>
        <w:t>The development and deployment of CommitSleuth are guided by a structured set of technical and SCM objectives derived directly from the working project implementation. Each objective corresponds to verified capabilities operating within the workspace:</w:t>
      </w:r>
    </w:p>
    <w:p>
      <w:pPr>
        <w:spacing w:line="324" w:lineRule="auto" w:after="100"/>
        <w:jc w:val="both"/>
      </w:pPr>
      <w:r>
        <w:rPr>
          <w:rFonts w:ascii="Times New Roman" w:hAnsi="Times New Roman"/>
          <w:b/>
          <w:color w:val="0F172A"/>
          <w:sz w:val="24"/>
        </w:rPr>
        <w:t xml:space="preserve">1. Automated CI Build Failure Interception: </w:t>
      </w:r>
      <w:r>
        <w:rPr>
          <w:rFonts w:ascii="Times New Roman" w:hAnsi="Times New Roman"/>
          <w:color w:val="1E293B"/>
          <w:sz w:val="24"/>
        </w:rPr>
        <w:t>To automatically intercept and record continuous integration build execution failures from Jenkins pipelines and Apache Maven Surefire test runners without requiring manual log dumping or developer intervention.</w:t>
      </w:r>
    </w:p>
    <w:p>
      <w:pPr>
        <w:spacing w:line="324" w:lineRule="auto" w:after="100"/>
        <w:jc w:val="both"/>
      </w:pPr>
      <w:r>
        <w:rPr>
          <w:rFonts w:ascii="Times New Roman" w:hAnsi="Times New Roman"/>
          <w:b/>
          <w:color w:val="0F172A"/>
          <w:sz w:val="24"/>
        </w:rPr>
        <w:t xml:space="preserve">2. Heuristic Root-Cause Commit Attribution: </w:t>
      </w:r>
      <w:r>
        <w:rPr>
          <w:rFonts w:ascii="Times New Roman" w:hAnsi="Times New Roman"/>
          <w:color w:val="1E293B"/>
          <w:sz w:val="24"/>
        </w:rPr>
        <w:t>To calculate evidence-based, mathematically explainable attribution confidence scores (0.0% to 100.0%) across candidate commits introduced since the last known stable baseline, replacing the naive 'blame the latest commit' heuristic.</w:t>
      </w:r>
    </w:p>
    <w:p>
      <w:pPr>
        <w:spacing w:line="324" w:lineRule="auto" w:after="100"/>
        <w:jc w:val="both"/>
      </w:pPr>
      <w:r>
        <w:rPr>
          <w:rFonts w:ascii="Times New Roman" w:hAnsi="Times New Roman"/>
          <w:b/>
          <w:color w:val="0F172A"/>
          <w:sz w:val="24"/>
        </w:rPr>
        <w:t xml:space="preserve">3. Strict Git Change Request Traceability: </w:t>
      </w:r>
      <w:r>
        <w:rPr>
          <w:rFonts w:ascii="Times New Roman" w:hAnsi="Times New Roman"/>
          <w:color w:val="1E293B"/>
          <w:sz w:val="24"/>
        </w:rPr>
        <w:t>To enforce bidirectional traceability between repository commits and authorized Change Requests (CR) using client-side pre-commit hooks (hooks/commit-msg), ensuring that no untracked code modifications enter the repository.</w:t>
      </w:r>
    </w:p>
    <w:p>
      <w:pPr>
        <w:spacing w:line="324" w:lineRule="auto" w:after="100"/>
        <w:jc w:val="both"/>
      </w:pPr>
      <w:r>
        <w:rPr>
          <w:rFonts w:ascii="Times New Roman" w:hAnsi="Times New Roman"/>
          <w:b/>
          <w:color w:val="0F172A"/>
          <w:sz w:val="24"/>
        </w:rPr>
        <w:t xml:space="preserve">4. Automated Problem Lifecycle Tracking: </w:t>
      </w:r>
      <w:r>
        <w:rPr>
          <w:rFonts w:ascii="Times New Roman" w:hAnsi="Times New Roman"/>
          <w:color w:val="1E293B"/>
          <w:sz w:val="24"/>
        </w:rPr>
        <w:t>To automatically create structured defect incident records (e.g., BUG-024) upon pipeline failure, tracking defects through formal states: Open ➔ Investigating ➔ Fix Submitted ➔ Verification Pending ➔ Resolved.</w:t>
      </w:r>
    </w:p>
    <w:p>
      <w:pPr>
        <w:spacing w:line="324" w:lineRule="auto" w:after="100"/>
        <w:jc w:val="both"/>
      </w:pPr>
      <w:r>
        <w:rPr>
          <w:rFonts w:ascii="Times New Roman" w:hAnsi="Times New Roman"/>
          <w:b/>
          <w:color w:val="0F172A"/>
          <w:sz w:val="24"/>
        </w:rPr>
        <w:t xml:space="preserve">5. Real-Time Developer Alert Dispatch: </w:t>
      </w:r>
      <w:r>
        <w:rPr>
          <w:rFonts w:ascii="Times New Roman" w:hAnsi="Times New Roman"/>
          <w:color w:val="1E293B"/>
          <w:sz w:val="24"/>
        </w:rPr>
        <w:t>To notify the attributed commit author immediately via in-app dashboard alerts, notification counters, email dispatches, and webhook buses with actionable root-cause diagnoses and syntax-highlighted fix suggestions.</w:t>
      </w:r>
    </w:p>
    <w:p>
      <w:pPr>
        <w:spacing w:line="324" w:lineRule="auto" w:after="100"/>
        <w:jc w:val="both"/>
      </w:pPr>
      <w:r>
        <w:rPr>
          <w:rFonts w:ascii="Times New Roman" w:hAnsi="Times New Roman"/>
          <w:b/>
          <w:color w:val="0F172A"/>
          <w:sz w:val="24"/>
        </w:rPr>
        <w:t xml:space="preserve">6. Promotional Quality Gate Enforcement: </w:t>
      </w:r>
      <w:r>
        <w:rPr>
          <w:rFonts w:ascii="Times New Roman" w:hAnsi="Times New Roman"/>
          <w:color w:val="1E293B"/>
          <w:sz w:val="24"/>
        </w:rPr>
        <w:t>To govern staged environment transitions (Development ➔ Testing ➔ Release Candidate ➔ Production), strictly blocking broken builds from advancing and authorizing promotion only upon 100% test pass verification.</w:t>
      </w:r>
    </w:p>
    <w:p>
      <w:pPr>
        <w:spacing w:line="324" w:lineRule="auto" w:after="100"/>
        <w:jc w:val="both"/>
      </w:pPr>
      <w:r>
        <w:rPr>
          <w:rFonts w:ascii="Times New Roman" w:hAnsi="Times New Roman"/>
          <w:b/>
          <w:color w:val="0F172A"/>
          <w:sz w:val="24"/>
        </w:rPr>
        <w:t xml:space="preserve">7. Configuration Status Accounting (CSA): </w:t>
      </w:r>
      <w:r>
        <w:rPr>
          <w:rFonts w:ascii="Times New Roman" w:hAnsi="Times New Roman"/>
          <w:color w:val="1E293B"/>
          <w:sz w:val="24"/>
        </w:rPr>
        <w:t>To maintain an immutable relational ledger of 20 controlled Configuration Items (CIs), generating audit-ready Configuration Status Accounting Reports (CSAR) and on-demand CSV compliance exports.</w:t>
      </w:r>
    </w:p>
    <w:p>
      <w:pPr>
        <w:spacing w:line="324" w:lineRule="auto" w:after="100"/>
        <w:jc w:val="both"/>
      </w:pPr>
      <w:r>
        <w:rPr>
          <w:rFonts w:ascii="Times New Roman" w:hAnsi="Times New Roman"/>
          <w:b/>
          <w:color w:val="0F172A"/>
          <w:sz w:val="24"/>
        </w:rPr>
        <w:t xml:space="preserve">8. Functional and Physical Configuration Auditing (CAS): </w:t>
      </w:r>
      <w:r>
        <w:rPr>
          <w:rFonts w:ascii="Times New Roman" w:hAnsi="Times New Roman"/>
          <w:color w:val="1E293B"/>
          <w:sz w:val="24"/>
        </w:rPr>
        <w:t>To provide automated auditing capabilities verifying functional requirement fulfillment (FCA across FR-01 to FR-14) and physical artifact integrity (PCA verifying pinned Maven dependencies, schema parity, and SHA-256 release checksums).</w:t>
      </w:r>
    </w:p>
    <w:p>
      <w:pPr>
        <w:spacing w:line="324" w:lineRule="auto" w:after="100"/>
        <w:jc w:val="both"/>
      </w:pPr>
      <w:r>
        <w:rPr>
          <w:rFonts w:ascii="Times New Roman" w:hAnsi="Times New Roman"/>
          <w:b/>
          <w:color w:val="0F172A"/>
          <w:sz w:val="24"/>
        </w:rPr>
        <w:t xml:space="preserve">9. Web-Enabled SCM Governance Portal: </w:t>
      </w:r>
      <w:r>
        <w:rPr>
          <w:rFonts w:ascii="Times New Roman" w:hAnsi="Times New Roman"/>
          <w:color w:val="1E293B"/>
          <w:sz w:val="24"/>
        </w:rPr>
        <w:t>To deliver all SCM metrics, problem records, build logs, and promotion controls through a responsive, modern light-theme web dashboard operating as a Flask WSGI service on port 5000.</w:t>
      </w:r>
    </w:p>
    <w:p>
      <w:pPr>
        <w:pStyle w:val="Heading1"/>
        <w:keepNext/>
        <w:spacing w:before="360" w:after="120"/>
      </w:pPr>
      <w:r>
        <w:rPr>
          <w:rFonts w:ascii="Times New Roman" w:hAnsi="Times New Roman"/>
          <w:b/>
          <w:color w:val="0F172A"/>
          <w:sz w:val="30"/>
        </w:rPr>
        <w:t>Section 5 — Project Details and System Overview</w:t>
      </w:r>
    </w:p>
    <w:p>
      <w:pPr>
        <w:pStyle w:val="Heading2"/>
        <w:keepNext/>
        <w:spacing w:before="240" w:after="80"/>
      </w:pPr>
      <w:r>
        <w:rPr>
          <w:rFonts w:ascii="Times New Roman" w:hAnsi="Times New Roman"/>
          <w:b/>
          <w:color w:val="1E3A8A"/>
          <w:sz w:val="26"/>
        </w:rPr>
        <w:t>5.1 Project Description &amp; Problem Statement</w:t>
      </w:r>
    </w:p>
    <w:p>
      <w:pPr>
        <w:spacing w:line="324" w:lineRule="auto" w:after="120"/>
        <w:jc w:val="both"/>
      </w:pPr>
      <w:r>
        <w:rPr>
          <w:rFonts w:ascii="Times New Roman" w:hAnsi="Times New Roman"/>
          <w:color w:val="1E293B"/>
          <w:sz w:val="24"/>
        </w:rPr>
        <w:t>CommitSleuth is designed to bridge the visibility gap between continuous integration pipeline breaks and source code revision histories. When automated pipelines fail after several commits are integrated, engineering teams waste hours manually sifting through thousands of console log lines to determine who caused the breakage. CommitSleuth automates this investigation entirely: it ingests build logs, identifies the failing source files and assertion signatures, maps them to candidate commits via Git blame and changeset analysis, and dispatches targeted alerts with precise fix suggestions.</w:t>
      </w:r>
    </w:p>
    <w:p>
      <w:pPr>
        <w:pStyle w:val="Heading2"/>
        <w:keepNext/>
        <w:spacing w:before="240" w:after="80"/>
      </w:pPr>
      <w:r>
        <w:rPr>
          <w:rFonts w:ascii="Times New Roman" w:hAnsi="Times New Roman"/>
          <w:b/>
          <w:color w:val="1E3A8A"/>
          <w:sz w:val="26"/>
        </w:rPr>
        <w:t>5.2 Corporate Simulation Scenario: TechNova Solutions</w:t>
      </w:r>
    </w:p>
    <w:p>
      <w:pPr>
        <w:spacing w:line="324" w:lineRule="auto" w:after="120"/>
        <w:jc w:val="both"/>
      </w:pPr>
      <w:r>
        <w:rPr>
          <w:rFonts w:ascii="Times New Roman" w:hAnsi="Times New Roman"/>
          <w:color w:val="1E293B"/>
          <w:sz w:val="24"/>
        </w:rPr>
        <w:t>To evaluate CommitSleuth in a realistic software engineering environment, the project simulates TechNova Solutions, an enterprise organization developing a core Employee Management System. Four developers collaborate concurrently on the authoritative GitHub repository across dedicated feature branches:</w:t>
      </w:r>
    </w:p>
    <w:tbl>
      <w:tblPr>
        <w:tblW w:type="auto" w:w="0"/>
        <w:jc w:val="center"/>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257"/>
        <w:gridCol w:w="2257"/>
        <w:gridCol w:w="2257"/>
        <w:gridCol w:w="2257"/>
      </w:tblGrid>
      <w:tr>
        <w:tc>
          <w:tcPr>
            <w:tcW w:type="dxa" w:w="2160"/>
            <w:tcMar>
              <w:top w:w="60" w:type="dxa"/>
              <w:bottom w:w="60" w:type="dxa"/>
              <w:left w:w="80" w:type="dxa"/>
              <w:right w:w="80" w:type="dxa"/>
            </w:tcMar>
            <w:shd w:val="clear" w:color="auto" w:fill="D9E1F2"/>
          </w:tcPr>
          <w:p>
            <w:r>
              <w:rPr>
                <w:rFonts w:ascii="Times New Roman" w:hAnsi="Times New Roman"/>
                <w:b/>
                <w:sz w:val="21"/>
              </w:rPr>
              <w:t>Developer</w:t>
            </w:r>
          </w:p>
        </w:tc>
        <w:tc>
          <w:tcPr>
            <w:tcW w:type="dxa" w:w="2880"/>
            <w:tcMar>
              <w:top w:w="60" w:type="dxa"/>
              <w:bottom w:w="60" w:type="dxa"/>
              <w:left w:w="80" w:type="dxa"/>
              <w:right w:w="80" w:type="dxa"/>
            </w:tcMar>
            <w:shd w:val="clear" w:color="auto" w:fill="D9E1F2"/>
          </w:tcPr>
          <w:p>
            <w:r>
              <w:rPr>
                <w:rFonts w:ascii="Times New Roman" w:hAnsi="Times New Roman"/>
                <w:b/>
                <w:sz w:val="21"/>
              </w:rPr>
              <w:t>Role &amp; Assigned Subsystem</w:t>
            </w:r>
          </w:p>
        </w:tc>
        <w:tc>
          <w:tcPr>
            <w:tcW w:type="dxa" w:w="2160"/>
            <w:tcMar>
              <w:top w:w="60" w:type="dxa"/>
              <w:bottom w:w="60" w:type="dxa"/>
              <w:left w:w="80" w:type="dxa"/>
              <w:right w:w="80" w:type="dxa"/>
            </w:tcMar>
            <w:shd w:val="clear" w:color="auto" w:fill="D9E1F2"/>
          </w:tcPr>
          <w:p>
            <w:r>
              <w:rPr>
                <w:rFonts w:ascii="Times New Roman" w:hAnsi="Times New Roman"/>
                <w:b/>
                <w:sz w:val="21"/>
              </w:rPr>
              <w:t>Working Git Branch</w:t>
            </w:r>
          </w:p>
        </w:tc>
        <w:tc>
          <w:tcPr>
            <w:tcW w:type="dxa" w:w="2592"/>
            <w:tcMar>
              <w:top w:w="60" w:type="dxa"/>
              <w:bottom w:w="60" w:type="dxa"/>
              <w:left w:w="80" w:type="dxa"/>
              <w:right w:w="80" w:type="dxa"/>
            </w:tcMar>
            <w:shd w:val="clear" w:color="auto" w:fill="D9E1F2"/>
          </w:tcPr>
          <w:p>
            <w:r>
              <w:rPr>
                <w:rFonts w:ascii="Times New Roman" w:hAnsi="Times New Roman"/>
                <w:b/>
                <w:sz w:val="21"/>
              </w:rPr>
              <w:t>Key Configuration Items</w:t>
            </w:r>
          </w:p>
        </w:tc>
      </w:tr>
      <w:tr>
        <w:tc>
          <w:tcPr>
            <w:tcW w:type="dxa" w:w="2160"/>
            <w:tcMar>
              <w:top w:w="50" w:type="dxa"/>
              <w:bottom w:w="50" w:type="dxa"/>
              <w:left w:w="80" w:type="dxa"/>
              <w:right w:w="80" w:type="dxa"/>
            </w:tcMar>
            <w:shd w:val="clear" w:color="auto" w:fill="FFFFFF"/>
          </w:tcPr>
          <w:p>
            <w:r>
              <w:rPr>
                <w:rFonts w:ascii="Times New Roman" w:hAnsi="Times New Roman"/>
                <w:b/>
                <w:sz w:val="20"/>
              </w:rPr>
              <w:t>Prakash Raj</w:t>
            </w:r>
          </w:p>
        </w:tc>
        <w:tc>
          <w:tcPr>
            <w:tcW w:type="dxa" w:w="2880"/>
            <w:tcMar>
              <w:top w:w="50" w:type="dxa"/>
              <w:bottom w:w="50" w:type="dxa"/>
              <w:left w:w="80" w:type="dxa"/>
              <w:right w:w="80" w:type="dxa"/>
            </w:tcMar>
            <w:shd w:val="clear" w:color="auto" w:fill="FFFFFF"/>
          </w:tcPr>
          <w:p>
            <w:r>
              <w:rPr>
                <w:rFonts w:ascii="Times New Roman" w:hAnsi="Times New Roman"/>
                <w:sz w:val="20"/>
              </w:rPr>
              <w:t>Lead Architect / Employee Subsystem</w:t>
            </w:r>
          </w:p>
        </w:tc>
        <w:tc>
          <w:tcPr>
            <w:tcW w:type="dxa" w:w="2160"/>
            <w:tcMar>
              <w:top w:w="50" w:type="dxa"/>
              <w:bottom w:w="50" w:type="dxa"/>
              <w:left w:w="80" w:type="dxa"/>
              <w:right w:w="80" w:type="dxa"/>
            </w:tcMar>
            <w:shd w:val="clear" w:color="auto" w:fill="FFFFFF"/>
          </w:tcPr>
          <w:p>
            <w:r>
              <w:rPr>
                <w:rFonts w:ascii="Times New Roman" w:hAnsi="Times New Roman"/>
                <w:sz w:val="20"/>
              </w:rPr>
              <w:t>feature/employee</w:t>
            </w:r>
          </w:p>
        </w:tc>
        <w:tc>
          <w:tcPr>
            <w:tcW w:type="dxa" w:w="2592"/>
            <w:tcMar>
              <w:top w:w="50" w:type="dxa"/>
              <w:bottom w:w="50" w:type="dxa"/>
              <w:left w:w="80" w:type="dxa"/>
              <w:right w:w="80" w:type="dxa"/>
            </w:tcMar>
            <w:shd w:val="clear" w:color="auto" w:fill="FFFFFF"/>
          </w:tcPr>
          <w:p>
            <w:r>
              <w:rPr>
                <w:rFonts w:ascii="Times New Roman" w:hAnsi="Times New Roman"/>
                <w:sz w:val="20"/>
              </w:rPr>
              <w:t>EmployeeService.java, EmployeeServiceTest.java</w:t>
            </w:r>
          </w:p>
        </w:tc>
      </w:tr>
      <w:tr>
        <w:tc>
          <w:tcPr>
            <w:tcW w:type="dxa" w:w="2160"/>
            <w:tcMar>
              <w:top w:w="50" w:type="dxa"/>
              <w:bottom w:w="50" w:type="dxa"/>
              <w:left w:w="80" w:type="dxa"/>
              <w:right w:w="80" w:type="dxa"/>
            </w:tcMar>
            <w:shd w:val="clear" w:color="auto" w:fill="F8FAFC"/>
          </w:tcPr>
          <w:p>
            <w:r>
              <w:rPr>
                <w:rFonts w:ascii="Times New Roman" w:hAnsi="Times New Roman"/>
                <w:b/>
                <w:sz w:val="20"/>
              </w:rPr>
              <w:t>Bharathwaraj K S</w:t>
            </w:r>
          </w:p>
        </w:tc>
        <w:tc>
          <w:tcPr>
            <w:tcW w:type="dxa" w:w="2880"/>
            <w:tcMar>
              <w:top w:w="50" w:type="dxa"/>
              <w:bottom w:w="50" w:type="dxa"/>
              <w:left w:w="80" w:type="dxa"/>
              <w:right w:w="80" w:type="dxa"/>
            </w:tcMar>
            <w:shd w:val="clear" w:color="auto" w:fill="F8FAFC"/>
          </w:tcPr>
          <w:p>
            <w:r>
              <w:rPr>
                <w:rFonts w:ascii="Times New Roman" w:hAnsi="Times New Roman"/>
                <w:sz w:val="20"/>
              </w:rPr>
              <w:t>DevOps Engineer / Authentication Subsystem</w:t>
            </w:r>
          </w:p>
        </w:tc>
        <w:tc>
          <w:tcPr>
            <w:tcW w:type="dxa" w:w="2160"/>
            <w:tcMar>
              <w:top w:w="50" w:type="dxa"/>
              <w:bottom w:w="50" w:type="dxa"/>
              <w:left w:w="80" w:type="dxa"/>
              <w:right w:w="80" w:type="dxa"/>
            </w:tcMar>
            <w:shd w:val="clear" w:color="auto" w:fill="F8FAFC"/>
          </w:tcPr>
          <w:p>
            <w:r>
              <w:rPr>
                <w:rFonts w:ascii="Times New Roman" w:hAnsi="Times New Roman"/>
                <w:sz w:val="20"/>
              </w:rPr>
              <w:t>feature/login</w:t>
            </w:r>
          </w:p>
        </w:tc>
        <w:tc>
          <w:tcPr>
            <w:tcW w:type="dxa" w:w="2592"/>
            <w:tcMar>
              <w:top w:w="50" w:type="dxa"/>
              <w:bottom w:w="50" w:type="dxa"/>
              <w:left w:w="80" w:type="dxa"/>
              <w:right w:w="80" w:type="dxa"/>
            </w:tcMar>
            <w:shd w:val="clear" w:color="auto" w:fill="F8FAFC"/>
          </w:tcPr>
          <w:p>
            <w:r>
              <w:rPr>
                <w:rFonts w:ascii="Times New Roman" w:hAnsi="Times New Roman"/>
                <w:sz w:val="20"/>
              </w:rPr>
              <w:t>AuthService.java, AuthServiceTest.java</w:t>
            </w:r>
          </w:p>
        </w:tc>
      </w:tr>
      <w:tr>
        <w:tc>
          <w:tcPr>
            <w:tcW w:type="dxa" w:w="2160"/>
            <w:tcMar>
              <w:top w:w="50" w:type="dxa"/>
              <w:bottom w:w="50" w:type="dxa"/>
              <w:left w:w="80" w:type="dxa"/>
              <w:right w:w="80" w:type="dxa"/>
            </w:tcMar>
            <w:shd w:val="clear" w:color="auto" w:fill="FFFFFF"/>
          </w:tcPr>
          <w:p>
            <w:r>
              <w:rPr>
                <w:rFonts w:ascii="Times New Roman" w:hAnsi="Times New Roman"/>
                <w:b/>
                <w:sz w:val="20"/>
              </w:rPr>
              <w:t>Karthik R</w:t>
            </w:r>
          </w:p>
        </w:tc>
        <w:tc>
          <w:tcPr>
            <w:tcW w:type="dxa" w:w="2880"/>
            <w:tcMar>
              <w:top w:w="50" w:type="dxa"/>
              <w:bottom w:w="50" w:type="dxa"/>
              <w:left w:w="80" w:type="dxa"/>
              <w:right w:w="80" w:type="dxa"/>
            </w:tcMar>
            <w:shd w:val="clear" w:color="auto" w:fill="FFFFFF"/>
          </w:tcPr>
          <w:p>
            <w:r>
              <w:rPr>
                <w:rFonts w:ascii="Times New Roman" w:hAnsi="Times New Roman"/>
                <w:sz w:val="20"/>
              </w:rPr>
              <w:t>Backend Developer / Reporting Subsystem</w:t>
            </w:r>
          </w:p>
        </w:tc>
        <w:tc>
          <w:tcPr>
            <w:tcW w:type="dxa" w:w="2160"/>
            <w:tcMar>
              <w:top w:w="50" w:type="dxa"/>
              <w:bottom w:w="50" w:type="dxa"/>
              <w:left w:w="80" w:type="dxa"/>
              <w:right w:w="80" w:type="dxa"/>
            </w:tcMar>
            <w:shd w:val="clear" w:color="auto" w:fill="FFFFFF"/>
          </w:tcPr>
          <w:p>
            <w:r>
              <w:rPr>
                <w:rFonts w:ascii="Times New Roman" w:hAnsi="Times New Roman"/>
                <w:sz w:val="20"/>
              </w:rPr>
              <w:t>feature/reports</w:t>
            </w:r>
          </w:p>
        </w:tc>
        <w:tc>
          <w:tcPr>
            <w:tcW w:type="dxa" w:w="2592"/>
            <w:tcMar>
              <w:top w:w="50" w:type="dxa"/>
              <w:bottom w:w="50" w:type="dxa"/>
              <w:left w:w="80" w:type="dxa"/>
              <w:right w:w="80" w:type="dxa"/>
            </w:tcMar>
            <w:shd w:val="clear" w:color="auto" w:fill="FFFFFF"/>
          </w:tcPr>
          <w:p>
            <w:r>
              <w:rPr>
                <w:rFonts w:ascii="Times New Roman" w:hAnsi="Times New Roman"/>
                <w:sz w:val="20"/>
              </w:rPr>
              <w:t>ReportService.java, ReportServiceTest.java</w:t>
            </w:r>
          </w:p>
        </w:tc>
      </w:tr>
      <w:tr>
        <w:tc>
          <w:tcPr>
            <w:tcW w:type="dxa" w:w="2160"/>
            <w:tcMar>
              <w:top w:w="50" w:type="dxa"/>
              <w:bottom w:w="50" w:type="dxa"/>
              <w:left w:w="80" w:type="dxa"/>
              <w:right w:w="80" w:type="dxa"/>
            </w:tcMar>
            <w:shd w:val="clear" w:color="auto" w:fill="F8FAFC"/>
          </w:tcPr>
          <w:p>
            <w:r>
              <w:rPr>
                <w:rFonts w:ascii="Times New Roman" w:hAnsi="Times New Roman"/>
                <w:b/>
                <w:sz w:val="20"/>
              </w:rPr>
              <w:t>Divya S</w:t>
            </w:r>
          </w:p>
        </w:tc>
        <w:tc>
          <w:tcPr>
            <w:tcW w:type="dxa" w:w="2880"/>
            <w:tcMar>
              <w:top w:w="50" w:type="dxa"/>
              <w:bottom w:w="50" w:type="dxa"/>
              <w:left w:w="80" w:type="dxa"/>
              <w:right w:w="80" w:type="dxa"/>
            </w:tcMar>
            <w:shd w:val="clear" w:color="auto" w:fill="F8FAFC"/>
          </w:tcPr>
          <w:p>
            <w:r>
              <w:rPr>
                <w:rFonts w:ascii="Times New Roman" w:hAnsi="Times New Roman"/>
                <w:sz w:val="20"/>
              </w:rPr>
              <w:t>Database Engineer / Persistence Subsystem</w:t>
            </w:r>
          </w:p>
        </w:tc>
        <w:tc>
          <w:tcPr>
            <w:tcW w:type="dxa" w:w="2160"/>
            <w:tcMar>
              <w:top w:w="50" w:type="dxa"/>
              <w:bottom w:w="50" w:type="dxa"/>
              <w:left w:w="80" w:type="dxa"/>
              <w:right w:w="80" w:type="dxa"/>
            </w:tcMar>
            <w:shd w:val="clear" w:color="auto" w:fill="F8FAFC"/>
          </w:tcPr>
          <w:p>
            <w:r>
              <w:rPr>
                <w:rFonts w:ascii="Times New Roman" w:hAnsi="Times New Roman"/>
                <w:sz w:val="20"/>
              </w:rPr>
              <w:t>feature/database</w:t>
            </w:r>
          </w:p>
        </w:tc>
        <w:tc>
          <w:tcPr>
            <w:tcW w:type="dxa" w:w="2592"/>
            <w:tcMar>
              <w:top w:w="50" w:type="dxa"/>
              <w:bottom w:w="50" w:type="dxa"/>
              <w:left w:w="80" w:type="dxa"/>
              <w:right w:w="80" w:type="dxa"/>
            </w:tcMar>
            <w:shd w:val="clear" w:color="auto" w:fill="F8FAFC"/>
          </w:tcPr>
          <w:p>
            <w:r>
              <w:rPr>
                <w:rFonts w:ascii="Times New Roman" w:hAnsi="Times New Roman"/>
                <w:sz w:val="20"/>
              </w:rPr>
              <w:t>DatabaseService.java, DatabaseServiceTest.java</w:t>
            </w:r>
          </w:p>
        </w:tc>
      </w:tr>
    </w:tbl>
    <w:p>
      <w:pPr>
        <w:spacing w:line="324" w:lineRule="auto" w:after="120"/>
        <w:jc w:val="both"/>
      </w:pPr>
      <w:r>
        <w:rPr>
          <w:rFonts w:ascii="Times New Roman" w:hAnsi="Times New Roman"/>
          <w:color w:val="1E293B"/>
          <w:sz w:val="24"/>
        </w:rPr>
      </w:r>
    </w:p>
    <w:p>
      <w:pPr>
        <w:pStyle w:val="Heading2"/>
        <w:keepNext/>
        <w:spacing w:before="240" w:after="80"/>
      </w:pPr>
      <w:r>
        <w:rPr>
          <w:rFonts w:ascii="Times New Roman" w:hAnsi="Times New Roman"/>
          <w:b/>
          <w:color w:val="1E3A8A"/>
          <w:sz w:val="26"/>
        </w:rPr>
        <w:t>5.3 Implemented User Roles &amp; Permissions</w:t>
      </w:r>
    </w:p>
    <w:p>
      <w:pPr>
        <w:spacing w:line="324" w:lineRule="auto" w:after="120"/>
        <w:jc w:val="both"/>
      </w:pPr>
      <w:r>
        <w:rPr>
          <w:rFonts w:ascii="Times New Roman" w:hAnsi="Times New Roman"/>
          <w:color w:val="1E293B"/>
          <w:sz w:val="24"/>
        </w:rPr>
        <w:t>CommitSleuth implements strict Role-Based Access Control (RBAC) across three functional personas:</w:t>
        <w:br/>
        <w:t>1. Administrator (Prakash Raj / Bharathwaraj): Full authorization to modify attribution scoring weights, approve Change Requests, authorize production promotions, and manage user accounts.</w:t>
        <w:br/>
        <w:t>2. Maintainer / Developer (Karthik / Divya): Authorized to view build details, investigate attributed failures, submit Change Requests, acknowledge alerts, and push corrective commits.</w:t>
        <w:br/>
        <w:t>3. Viewer / Auditor: Read-only access to executive dashboards, status accounting reports, and audit logs; prohibited from registering CRs or approving promotional gates.</w:t>
      </w:r>
    </w:p>
    <w:p>
      <w:pPr>
        <w:pStyle w:val="Heading2"/>
        <w:keepNext/>
        <w:spacing w:before="240" w:after="80"/>
      </w:pPr>
      <w:r>
        <w:rPr>
          <w:rFonts w:ascii="Times New Roman" w:hAnsi="Times New Roman"/>
          <w:b/>
          <w:color w:val="1E3A8A"/>
          <w:sz w:val="26"/>
        </w:rPr>
        <w:t>5.4 Tools and Technologies Used</w:t>
      </w:r>
    </w:p>
    <w:p>
      <w:pPr>
        <w:spacing w:line="324" w:lineRule="auto" w:after="120"/>
        <w:jc w:val="both"/>
      </w:pPr>
      <w:r>
        <w:rPr>
          <w:rFonts w:ascii="Times New Roman" w:hAnsi="Times New Roman"/>
          <w:color w:val="1E293B"/>
          <w:sz w:val="24"/>
        </w:rPr>
        <w:t>The project is constructed using a robust, multi-tier engineering stack:</w:t>
        <w:br/>
        <w:t>• Version Control &amp; SCM: Git 2.52.0 (Windows) and GitHub Enterprise / Cloud.</w:t>
        <w:br/>
        <w:t>• CI/CD Automation: Jenkins CI 2.440+ with declarative pipeline scripting (Jenkinsfile).</w:t>
        <w:br/>
        <w:t>• Build &amp; Dependency Management: Apache Maven 3.9.12 compiling Java 17 source code.</w:t>
        <w:br/>
        <w:t>• Test Automation: JUnit 5.10.2 (20 Java test cases) and pytest 9.1.1 (22 Python integration tests).</w:t>
        <w:br/>
        <w:t>• Backend &amp; Analytics: Python 3.12.10 running Flask 3.1.3 WSGI web framework.</w:t>
        <w:br/>
        <w:t>• Database &amp; Status Accounting: SQLite3 (3.45+) with ACID transactional compliance.</w:t>
      </w:r>
    </w:p>
    <w:p>
      <w:pPr>
        <w:pStyle w:val="Heading2"/>
        <w:keepNext/>
        <w:spacing w:before="240" w:after="80"/>
      </w:pPr>
      <w:r>
        <w:rPr>
          <w:rFonts w:ascii="Times New Roman" w:hAnsi="Times New Roman"/>
          <w:b/>
          <w:color w:val="1E3A8A"/>
          <w:sz w:val="26"/>
        </w:rPr>
        <w:t>5.5 System Architecture &amp; Data Flow</w:t>
      </w:r>
    </w:p>
    <w:p>
      <w:pPr>
        <w:spacing w:line="324" w:lineRule="auto" w:after="120"/>
        <w:jc w:val="both"/>
      </w:pPr>
      <w:r>
        <w:rPr>
          <w:rFonts w:ascii="Times New Roman" w:hAnsi="Times New Roman"/>
          <w:color w:val="1E293B"/>
          <w:sz w:val="24"/>
        </w:rPr>
        <w:t>The operational architecture unites Git/GitHub, Jenkins CI, Apache Maven, the CommitSleuth Python backend, and the SQLite SCM database into an automated feedback loop:</w:t>
      </w:r>
    </w:p>
    <w:p>
      <w:pPr>
        <w:spacing w:line="324" w:lineRule="auto" w:after="160"/>
        <w:jc w:val="both"/>
      </w:pPr>
      <w:r>
        <w:rPr>
          <w:rFonts w:ascii="Times New Roman" w:hAnsi="Times New Roman"/>
          <w:b/>
          <w:color w:val="0F172A"/>
          <w:sz w:val="24"/>
        </w:rPr>
        <w:t xml:space="preserve">Architectural Workflow: </w:t>
      </w:r>
      <w:r>
        <w:rPr>
          <w:rFonts w:ascii="Times New Roman" w:hAnsi="Times New Roman"/>
          <w:color w:val="1E293B"/>
          <w:sz w:val="24"/>
        </w:rPr>
        <w:t>[Developer Push (CR Tagged)] ➔ [GitHub Webhook] ➔ [Jenkins CI Pipeline (mvn test)] ➔ [Surefire XML &amp; Console Log Interception] ➔ [Log Parser &amp; Token Extractor] ➔ [Heuristic Attribution Engine] ➔ [SQLite SCM Repository (BUG-024)] ➔ [Developer Alert Center &amp; Web Diagnostics] ➔ [Bugfix Commit] ➔ [Verification Build] ➔ [Promotional Quality Gate]</w:t>
      </w:r>
    </w:p>
    <w:p>
      <w:pPr>
        <w:pStyle w:val="Heading1"/>
        <w:keepNext/>
        <w:spacing w:before="360" w:after="120"/>
      </w:pPr>
      <w:r>
        <w:rPr>
          <w:rFonts w:ascii="Times New Roman" w:hAnsi="Times New Roman"/>
          <w:b/>
          <w:color w:val="0F172A"/>
          <w:sz w:val="30"/>
        </w:rPr>
        <w:t>Section 6 — SCM Tool Selected: Git and GitHub</w:t>
      </w:r>
    </w:p>
    <w:p>
      <w:pPr>
        <w:spacing w:line="324" w:lineRule="auto" w:after="120"/>
        <w:jc w:val="both"/>
      </w:pPr>
      <w:r>
        <w:rPr>
          <w:rFonts w:ascii="Times New Roman" w:hAnsi="Times New Roman"/>
          <w:color w:val="1E293B"/>
          <w:sz w:val="24"/>
        </w:rPr>
        <w:t>Git and GitHub serve as the primary foundational toolchain for Software Configuration Management in CommitSleuth. All project configuration items, application source code, build scripts, test suites, and documentation are strictly governed under the remote repository:</w:t>
      </w:r>
    </w:p>
    <w:p>
      <w:pPr>
        <w:spacing w:line="324" w:lineRule="auto" w:after="160"/>
        <w:jc w:val="both"/>
      </w:pPr>
      <w:r>
        <w:rPr>
          <w:rFonts w:ascii="Times New Roman" w:hAnsi="Times New Roman"/>
          <w:b/>
          <w:color w:val="0F172A"/>
          <w:sz w:val="24"/>
        </w:rPr>
        <w:t xml:space="preserve">Authoritative GitHub Repository URL: </w:t>
      </w:r>
      <w:r>
        <w:rPr>
          <w:rFonts w:ascii="Times New Roman" w:hAnsi="Times New Roman"/>
          <w:color w:val="1E293B"/>
          <w:sz w:val="24"/>
        </w:rPr>
        <w:t>https://github.com/prakashumapathi07-spec/COMMITSLEUTHSCM.git</w:t>
      </w:r>
    </w:p>
    <w:p>
      <w:pPr>
        <w:spacing w:line="324" w:lineRule="auto" w:after="120"/>
        <w:jc w:val="both"/>
      </w:pPr>
      <w:r>
        <w:rPr>
          <w:rFonts w:ascii="Times New Roman" w:hAnsi="Times New Roman"/>
          <w:color w:val="1E293B"/>
          <w:sz w:val="24"/>
        </w:rPr>
        <w:t>The repository embodies rigorous SCM discipline through the following implemented operations:</w:t>
        <w:br/>
        <w:t>1. Atomic Commits and Integrity: Git uses SHA-1/SHA-256 cryptographic hashes to guarantee content immutability. Every change to source code or configuration results in a unique, unforgeable commit hash.</w:t>
        <w:br/>
        <w:t>2. Client-Side Commit-Msg Hook: To enforce traceability between physical source edits and approved tasks, a Git hook (hooks/commit-msg) intercepts every developer commit on the client side, validating that the commit message begins with an approved Change Request identifier (e.g., 'CR-009: ...'). Commits lacking this identifier are rejected before entering repository history.</w:t>
        <w:br/>
        <w:t>3. Structured Gitflow Branching: The repository enforces a 5-branch topology separating stable production baselines (main) from active integration (develop), feature modules (feature/multi-developer-collab), defect fixes (bugfix/demo-calc-failure), and staging candidates (release/v1.0.0).</w:t>
        <w:br/>
        <w:t>4. Pull Request Quality Gates: Direct pushes to main and develop are restricted. Merges require formal Pull Requests accompanied by passing automated CI test checks and CCB peer review approvals.</w:t>
        <w:br/>
        <w:t>5. Semantic Release Tagging: Official configuration baselines are permanently marked with immutable Git release tags (v0.1.0, v0.2.0, v1.0.0), anchoring audited release manifests to specific commit SHAs.</w:t>
      </w:r>
    </w:p>
    <w:p>
      <w:pPr>
        <w:pStyle w:val="Heading1"/>
        <w:keepNext/>
        <w:spacing w:before="360" w:after="120"/>
      </w:pPr>
      <w:r>
        <w:rPr>
          <w:rFonts w:ascii="Times New Roman" w:hAnsi="Times New Roman"/>
          <w:b/>
          <w:color w:val="0F172A"/>
          <w:sz w:val="30"/>
        </w:rPr>
        <w:t>Section 7 — Tool Implementation</w:t>
      </w:r>
    </w:p>
    <w:p>
      <w:pPr>
        <w:spacing w:line="324" w:lineRule="auto" w:after="120"/>
        <w:jc w:val="both"/>
      </w:pPr>
      <w:r>
        <w:rPr>
          <w:rFonts w:ascii="Times New Roman" w:hAnsi="Times New Roman"/>
          <w:color w:val="1E293B"/>
          <w:sz w:val="24"/>
        </w:rPr>
        <w:t>Tool Implementation represents the operational synthesis of Git/GitHub, Apache Maven, Jenkins CI, Python analysis engines, and Flask web interfaces into a unified SCM system. The toolchain operates continuously: code changes committed locally are pushed to GitHub, triggering Jenkins declarative pipelines defined in Jenkinsfile. Maven compiles the Java application and executes JUnit unit tests. When a failure occurs, CommitSleuth intercepts the execution exit code, analyzes the logs, and updates the SQLite status database in real time.</w:t>
      </w:r>
    </w:p>
    <w:p>
      <w:pPr>
        <w:keepNext/>
        <w:spacing w:before="160" w:after="80"/>
        <w:jc w:val="center"/>
      </w:pPr>
      <w:r>
        <w:drawing>
          <wp:inline xmlns:a="http://schemas.openxmlformats.org/drawingml/2006/main" xmlns:pic="http://schemas.openxmlformats.org/drawingml/2006/picture">
            <wp:extent cx="5486400" cy="3711388"/>
            <wp:docPr id="1" name="Picture 1"/>
            <wp:cNvGraphicFramePr>
              <a:graphicFrameLocks noChangeAspect="1"/>
            </wp:cNvGraphicFramePr>
            <a:graphic>
              <a:graphicData uri="http://schemas.openxmlformats.org/drawingml/2006/picture">
                <pic:pic>
                  <pic:nvPicPr>
                    <pic:cNvPr id="0" name="git_01_repo_overview.png"/>
                    <pic:cNvPicPr/>
                  </pic:nvPicPr>
                  <pic:blipFill>
                    <a:blip r:embed="rId11"/>
                    <a:stretch>
                      <a:fillRect/>
                    </a:stretch>
                  </pic:blipFill>
                  <pic:spPr>
                    <a:xfrm>
                      <a:off x="0" y="0"/>
                      <a:ext cx="5486400" cy="3711388"/>
                    </a:xfrm>
                    <a:prstGeom prst="rect"/>
                  </pic:spPr>
                </pic:pic>
              </a:graphicData>
            </a:graphic>
          </wp:inline>
        </w:drawing>
      </w:r>
    </w:p>
    <w:p>
      <w:pPr>
        <w:keepNext/>
        <w:spacing w:before="40" w:after="120"/>
        <w:jc w:val="center"/>
      </w:pPr>
      <w:r>
        <w:rPr>
          <w:rFonts w:ascii="Times New Roman" w:hAnsi="Times New Roman"/>
          <w:b/>
          <w:i/>
          <w:color w:val="334155"/>
          <w:sz w:val="21"/>
        </w:rPr>
        <w:t>Figure 7.1: SCREENSHOT 1: GITHUB REPOSITORY OVERVIEW &amp; FILE TREE</w:t>
      </w:r>
    </w:p>
    <w:p>
      <w:pPr>
        <w:spacing w:line="324" w:lineRule="auto" w:after="200"/>
        <w:jc w:val="both"/>
      </w:pPr>
      <w:r>
        <w:rPr>
          <w:rFonts w:ascii="Times New Roman" w:hAnsi="Times New Roman"/>
          <w:b/>
          <w:color w:val="0F172A"/>
          <w:sz w:val="24"/>
        </w:rPr>
        <w:t xml:space="preserve">Figure 7.1 Technical Analysis &amp; Evaluation Evidence: </w:t>
      </w:r>
      <w:r>
        <w:rPr>
          <w:rFonts w:ascii="Times New Roman" w:hAnsi="Times New Roman"/>
          <w:color w:val="1E293B"/>
          <w:sz w:val="24"/>
        </w:rPr>
        <w:t>Figure 7.1 displays the authoritative GitHub repository for CommitSleuth under 'prakashumapathi07-spec/COMMITSLEUTHSCM'. The interface confirms the presence of 5 active branches, 3 official release tags, and 25 verified commits. The latest commit (70d43eb by Prakash Raj) displays the validated 'CR-016' prefix. The directory hierarchy shows complete SCM separation: CI workflows (.github/workflows, Jenkinsfile), Java Maven source code (maven/pom.xml), Python analysis engines (parser/, analyzer/, alerts/), persistent database schemas (database/), test harnesses (tests/), and documentation (docs/). Contributor statistics confirm collaborative development across Prakash Raj and Bharathwaraj K S. This screenshot proves full repository initialization, version control governance, and proper configuration item structuring.</w:t>
      </w:r>
    </w:p>
    <w:p>
      <w:pPr>
        <w:keepNext/>
        <w:spacing w:before="160" w:after="80"/>
        <w:jc w:val="center"/>
      </w:pPr>
      <w:r>
        <w:drawing>
          <wp:inline xmlns:a="http://schemas.openxmlformats.org/drawingml/2006/main" xmlns:pic="http://schemas.openxmlformats.org/drawingml/2006/picture">
            <wp:extent cx="5486400" cy="3114278"/>
            <wp:docPr id="2" name="Picture 2"/>
            <wp:cNvGraphicFramePr>
              <a:graphicFrameLocks noChangeAspect="1"/>
            </wp:cNvGraphicFramePr>
            <a:graphic>
              <a:graphicData uri="http://schemas.openxmlformats.org/drawingml/2006/picture">
                <pic:pic>
                  <pic:nvPicPr>
                    <pic:cNvPr id="0" name="fig01_dashboard.png"/>
                    <pic:cNvPicPr/>
                  </pic:nvPicPr>
                  <pic:blipFill>
                    <a:blip r:embed="rId12"/>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7.2: SCREENSHOT 7: WEB APPLICATION — MAIN DASHBOARD &amp; REAL-TIME SCM METRICS</w:t>
      </w:r>
    </w:p>
    <w:p>
      <w:pPr>
        <w:spacing w:line="324" w:lineRule="auto" w:after="200"/>
        <w:jc w:val="both"/>
      </w:pPr>
      <w:r>
        <w:rPr>
          <w:rFonts w:ascii="Times New Roman" w:hAnsi="Times New Roman"/>
          <w:b/>
          <w:color w:val="0F172A"/>
          <w:sz w:val="24"/>
        </w:rPr>
        <w:t xml:space="preserve">Figure 7.2 Technical Analysis &amp; Evaluation Evidence: </w:t>
      </w:r>
      <w:r>
        <w:rPr>
          <w:rFonts w:ascii="Times New Roman" w:hAnsi="Times New Roman"/>
          <w:color w:val="1E293B"/>
          <w:sz w:val="24"/>
        </w:rPr>
        <w:t>Figure 7.2 illustrates the CommitSleuth Executive SCM Web Dashboard running on port 5000 in clean light theme. Key operational metrics are clearly visible: Total Builds (9), Successful Builds (7), Failed Builds (1), Success Rate (77.8%), and Active Problems (0). The dashboard provides interactive visualizations including a 30-day build trend area chart highlighting the failure peak on Build #128, a stacked module health chart tracking test results across employee, auth, report, and db modules, and a collaborative developer progress panel tracking Prakash, Bharathwaraj, Karthik, and Divya. This proves that the running application provides real-time SCM visibility and consolidated status accounting.</w:t>
      </w:r>
    </w:p>
    <w:p>
      <w:pPr>
        <w:pStyle w:val="Heading1"/>
        <w:keepNext/>
        <w:spacing w:before="360" w:after="120"/>
      </w:pPr>
      <w:r>
        <w:rPr>
          <w:rFonts w:ascii="Times New Roman" w:hAnsi="Times New Roman"/>
          <w:b/>
          <w:color w:val="0F172A"/>
          <w:sz w:val="30"/>
        </w:rPr>
        <w:t>Section 8 — Version Management</w:t>
      </w:r>
    </w:p>
    <w:p>
      <w:pPr>
        <w:spacing w:line="324" w:lineRule="auto" w:after="120"/>
        <w:jc w:val="both"/>
      </w:pPr>
      <w:r>
        <w:rPr>
          <w:rFonts w:ascii="Times New Roman" w:hAnsi="Times New Roman"/>
          <w:color w:val="1E293B"/>
          <w:sz w:val="24"/>
        </w:rPr>
        <w:t>Version Management governs how revisions, branch evolutions, and baseline snapshots are identified, controlled, and recorded throughout the project lifecycle. In CommitSleuth, Git is utilized as the absolute source of truth for repository history. A structured branching model separates production code (main) from active integration and feature modules (feature/employee, feature/login, feature/reports, and feature/database). This guarantees that unstable feature developments remain completely isolated from stable production baselines.</w:t>
      </w:r>
    </w:p>
    <w:p>
      <w:pPr>
        <w:keepNext/>
        <w:spacing w:before="160" w:after="80"/>
        <w:jc w:val="center"/>
      </w:pPr>
      <w:r>
        <w:drawing>
          <wp:inline xmlns:a="http://schemas.openxmlformats.org/drawingml/2006/main" xmlns:pic="http://schemas.openxmlformats.org/drawingml/2006/picture">
            <wp:extent cx="5486400" cy="3550024"/>
            <wp:docPr id="3" name="Picture 3"/>
            <wp:cNvGraphicFramePr>
              <a:graphicFrameLocks noChangeAspect="1"/>
            </wp:cNvGraphicFramePr>
            <a:graphic>
              <a:graphicData uri="http://schemas.openxmlformats.org/drawingml/2006/picture">
                <pic:pic>
                  <pic:nvPicPr>
                    <pic:cNvPr id="0" name="git_02_commit_history.png"/>
                    <pic:cNvPicPr/>
                  </pic:nvPicPr>
                  <pic:blipFill>
                    <a:blip r:embed="rId13"/>
                    <a:stretch>
                      <a:fillRect/>
                    </a:stretch>
                  </pic:blipFill>
                  <pic:spPr>
                    <a:xfrm>
                      <a:off x="0" y="0"/>
                      <a:ext cx="5486400" cy="3550024"/>
                    </a:xfrm>
                    <a:prstGeom prst="rect"/>
                  </pic:spPr>
                </pic:pic>
              </a:graphicData>
            </a:graphic>
          </wp:inline>
        </w:drawing>
      </w:r>
    </w:p>
    <w:p>
      <w:pPr>
        <w:keepNext/>
        <w:spacing w:before="40" w:after="120"/>
        <w:jc w:val="center"/>
      </w:pPr>
      <w:r>
        <w:rPr>
          <w:rFonts w:ascii="Times New Roman" w:hAnsi="Times New Roman"/>
          <w:b/>
          <w:i/>
          <w:color w:val="334155"/>
          <w:sz w:val="21"/>
        </w:rPr>
        <w:t>Figure 8.1: SCREENSHOT 2: GIT COMMIT HISTORY &amp; TRACEABILITY LOG</w:t>
      </w:r>
    </w:p>
    <w:p>
      <w:pPr>
        <w:spacing w:line="324" w:lineRule="auto" w:after="200"/>
        <w:jc w:val="both"/>
      </w:pPr>
      <w:r>
        <w:rPr>
          <w:rFonts w:ascii="Times New Roman" w:hAnsi="Times New Roman"/>
          <w:b/>
          <w:color w:val="0F172A"/>
          <w:sz w:val="24"/>
        </w:rPr>
        <w:t xml:space="preserve">Figure 8.1 Technical Analysis &amp; Evaluation Evidence: </w:t>
      </w:r>
      <w:r>
        <w:rPr>
          <w:rFonts w:ascii="Times New Roman" w:hAnsi="Times New Roman"/>
          <w:color w:val="1E293B"/>
          <w:sz w:val="24"/>
        </w:rPr>
        <w:t>Figure 8.1 demonstrates the Git commit history and SCM traceability log. Every commit displays a verified green badge, full author signatures (Prakash Raj U, Bharathwaraj K S, Arun Kumar, Kavya Sharma), timestamps, and mandatory CR-xxx prefixes enforced by client-side hooks (CR-016, CR-015, CR-014, CR-013, CR-012, etc.). Below the web interface, the terminal output of 'git log --graph --oneline --decorate' confirms the commit topological tree, HEAD pointers, branch tags (tag: v1.0.0), and merge parents. This proves strict revision control and unforgeable traceability between changes and formal authorization records.</w:t>
      </w:r>
    </w:p>
    <w:p>
      <w:pPr>
        <w:pStyle w:val="Heading2"/>
        <w:keepNext/>
        <w:spacing w:before="240" w:after="80"/>
      </w:pPr>
      <w:r>
        <w:rPr>
          <w:rFonts w:ascii="Times New Roman" w:hAnsi="Times New Roman"/>
          <w:b/>
          <w:color w:val="1E3A8A"/>
          <w:sz w:val="26"/>
        </w:rPr>
        <w:t>8.1 Team Developer Commit Traceability Tabulation</w:t>
      </w:r>
    </w:p>
    <w:p>
      <w:pPr>
        <w:spacing w:line="324" w:lineRule="auto" w:after="120"/>
        <w:jc w:val="both"/>
      </w:pPr>
      <w:r>
        <w:rPr>
          <w:rFonts w:ascii="Times New Roman" w:hAnsi="Times New Roman"/>
          <w:color w:val="1E293B"/>
          <w:sz w:val="24"/>
        </w:rPr>
        <w:t>The following tabulation records the complete, verified commit ledger of the CommitSleuth project. Modeled after formal SCM status accounting standards, it maps individual developer commits directly to calendar dates, project authors, formal Change Requests (CR-001 through CR-016), Configuration Baselines (BL-01 through BL-05), and affected Configuration Items (CIs), providing 100% bidirectional traceability:</w:t>
      </w:r>
    </w:p>
    <w:tbl>
      <w:tblPr>
        <w:tblW w:type="auto" w:w="0"/>
        <w:jc w:val="center"/>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1806"/>
        <w:gridCol w:w="1806"/>
        <w:gridCol w:w="1806"/>
        <w:gridCol w:w="1806"/>
        <w:gridCol w:w="1806"/>
      </w:tblGrid>
      <w:tr>
        <w:tc>
          <w:tcPr>
            <w:tcW w:type="dxa" w:w="1440"/>
            <w:tcMar>
              <w:top w:w="80" w:type="dxa"/>
              <w:bottom w:w="80" w:type="dxa"/>
              <w:left w:w="100" w:type="dxa"/>
              <w:right w:w="100" w:type="dxa"/>
            </w:tcMar>
            <w:shd w:val="clear" w:color="auto" w:fill="D9E1F2"/>
          </w:tcPr>
          <w:p>
            <w:r>
              <w:rPr>
                <w:rFonts w:ascii="Times New Roman" w:hAnsi="Times New Roman"/>
                <w:b/>
                <w:color w:val="000000"/>
                <w:sz w:val="21"/>
              </w:rPr>
              <w:t>Commit</w:t>
            </w:r>
          </w:p>
        </w:tc>
        <w:tc>
          <w:tcPr>
            <w:tcW w:type="dxa" w:w="1440"/>
            <w:tcMar>
              <w:top w:w="80" w:type="dxa"/>
              <w:bottom w:w="80" w:type="dxa"/>
              <w:left w:w="100" w:type="dxa"/>
              <w:right w:w="100" w:type="dxa"/>
            </w:tcMar>
            <w:shd w:val="clear" w:color="auto" w:fill="D9E1F2"/>
          </w:tcPr>
          <w:p>
            <w:r>
              <w:rPr>
                <w:rFonts w:ascii="Times New Roman" w:hAnsi="Times New Roman"/>
                <w:b/>
                <w:color w:val="000000"/>
                <w:sz w:val="21"/>
              </w:rPr>
              <w:t>Date</w:t>
            </w:r>
          </w:p>
        </w:tc>
        <w:tc>
          <w:tcPr>
            <w:tcW w:type="dxa" w:w="1872"/>
            <w:tcMar>
              <w:top w:w="80" w:type="dxa"/>
              <w:bottom w:w="80" w:type="dxa"/>
              <w:left w:w="100" w:type="dxa"/>
              <w:right w:w="100" w:type="dxa"/>
            </w:tcMar>
            <w:shd w:val="clear" w:color="auto" w:fill="D9E1F2"/>
          </w:tcPr>
          <w:p>
            <w:r>
              <w:rPr>
                <w:rFonts w:ascii="Times New Roman" w:hAnsi="Times New Roman"/>
                <w:b/>
                <w:color w:val="000000"/>
                <w:sz w:val="21"/>
              </w:rPr>
              <w:t>Author</w:t>
            </w:r>
          </w:p>
        </w:tc>
        <w:tc>
          <w:tcPr>
            <w:tcW w:type="dxa" w:w="3312"/>
            <w:tcMar>
              <w:top w:w="80" w:type="dxa"/>
              <w:bottom w:w="80" w:type="dxa"/>
              <w:left w:w="100" w:type="dxa"/>
              <w:right w:w="100" w:type="dxa"/>
            </w:tcMar>
            <w:shd w:val="clear" w:color="auto" w:fill="D9E1F2"/>
          </w:tcPr>
          <w:p>
            <w:r>
              <w:rPr>
                <w:rFonts w:ascii="Times New Roman" w:hAnsi="Times New Roman"/>
                <w:b/>
                <w:color w:val="000000"/>
                <w:sz w:val="21"/>
              </w:rPr>
              <w:t>Commit Message &amp; SCM Association</w:t>
            </w:r>
          </w:p>
        </w:tc>
        <w:tc>
          <w:tcPr>
            <w:tcW w:type="dxa" w:w="1440"/>
            <w:tcMar>
              <w:top w:w="80" w:type="dxa"/>
              <w:bottom w:w="80" w:type="dxa"/>
              <w:left w:w="100" w:type="dxa"/>
              <w:right w:w="100" w:type="dxa"/>
            </w:tcMar>
            <w:shd w:val="clear" w:color="auto" w:fill="D9E1F2"/>
          </w:tcPr>
          <w:p>
            <w:r>
              <w:rPr>
                <w:rFonts w:ascii="Times New Roman" w:hAnsi="Times New Roman"/>
                <w:b/>
                <w:color w:val="000000"/>
                <w:sz w:val="21"/>
              </w:rPr>
              <w:t>Affected CI</w:t>
            </w:r>
          </w:p>
        </w:tc>
      </w:tr>
      <w:tr>
        <w:tc>
          <w:tcPr>
            <w:tcW w:type="dxa" w:w="1440"/>
            <w:tcMar>
              <w:top w:w="50" w:type="dxa"/>
              <w:bottom w:w="50" w:type="dxa"/>
              <w:left w:w="80" w:type="dxa"/>
              <w:right w:w="80" w:type="dxa"/>
            </w:tcMar>
            <w:shd w:val="clear" w:color="auto" w:fill="FFFFFF"/>
          </w:tcPr>
          <w:p>
            <w:pPr>
              <w:spacing w:line="276" w:lineRule="auto"/>
            </w:pPr>
            <w:r>
              <w:rPr>
                <w:rFonts w:ascii="Consolas" w:hAnsi="Consolas"/>
                <w:b/>
                <w:color w:val="0F172A"/>
                <w:sz w:val="19"/>
              </w:rPr>
              <w:t>a7b2a71</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2026-10-05</w:t>
            </w:r>
          </w:p>
        </w:tc>
        <w:tc>
          <w:tcPr>
            <w:tcW w:type="dxa" w:w="1872"/>
            <w:tcMar>
              <w:top w:w="50" w:type="dxa"/>
              <w:bottom w:w="50" w:type="dxa"/>
              <w:left w:w="80" w:type="dxa"/>
              <w:right w:w="80" w:type="dxa"/>
            </w:tcMar>
            <w:shd w:val="clear" w:color="auto" w:fill="FFFFFF"/>
          </w:tcPr>
          <w:p>
            <w:pPr>
              <w:spacing w:line="276" w:lineRule="auto"/>
            </w:pPr>
            <w:r>
              <w:rPr>
                <w:rFonts w:ascii="Times New Roman" w:hAnsi="Times New Roman"/>
                <w:b/>
                <w:color w:val="1E293B"/>
                <w:sz w:val="19"/>
              </w:rPr>
              <w:t>Prakash Raj U</w:t>
            </w:r>
          </w:p>
        </w:tc>
        <w:tc>
          <w:tcPr>
            <w:tcW w:type="dxa" w:w="3312"/>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docs(ci-01, ci-02): initialize requirements, SCM plan &amp; directory structure [Requirements Baseline]</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CI-01, CI-02</w:t>
            </w:r>
          </w:p>
        </w:tc>
      </w:tr>
      <w:tr>
        <w:tc>
          <w:tcPr>
            <w:tcW w:type="dxa" w:w="1440"/>
            <w:tcMar>
              <w:top w:w="50" w:type="dxa"/>
              <w:bottom w:w="50" w:type="dxa"/>
              <w:left w:w="80" w:type="dxa"/>
              <w:right w:w="80" w:type="dxa"/>
            </w:tcMar>
            <w:shd w:val="clear" w:color="auto" w:fill="F8FAFC"/>
          </w:tcPr>
          <w:p>
            <w:pPr>
              <w:spacing w:line="276" w:lineRule="auto"/>
            </w:pPr>
            <w:r>
              <w:rPr>
                <w:rFonts w:ascii="Consolas" w:hAnsi="Consolas"/>
                <w:b/>
                <w:color w:val="0F172A"/>
                <w:sz w:val="19"/>
              </w:rPr>
              <w:t>99bbeb5</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2026-10-08</w:t>
            </w:r>
          </w:p>
        </w:tc>
        <w:tc>
          <w:tcPr>
            <w:tcW w:type="dxa" w:w="1872"/>
            <w:tcMar>
              <w:top w:w="50" w:type="dxa"/>
              <w:bottom w:w="50" w:type="dxa"/>
              <w:left w:w="80" w:type="dxa"/>
              <w:right w:w="80" w:type="dxa"/>
            </w:tcMar>
            <w:shd w:val="clear" w:color="auto" w:fill="F8FAFC"/>
          </w:tcPr>
          <w:p>
            <w:pPr>
              <w:spacing w:line="276" w:lineRule="auto"/>
            </w:pPr>
            <w:r>
              <w:rPr>
                <w:rFonts w:ascii="Times New Roman" w:hAnsi="Times New Roman"/>
                <w:b/>
                <w:color w:val="1E293B"/>
                <w:sz w:val="19"/>
              </w:rPr>
              <w:t>Bharathwaraj K S</w:t>
            </w:r>
          </w:p>
        </w:tc>
        <w:tc>
          <w:tcPr>
            <w:tcW w:type="dxa" w:w="3312"/>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design(ci-03, ci-04): establish heuristic blame scoring weights &amp; database schema [Design Baseline]</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CI-03, CI-04</w:t>
            </w:r>
          </w:p>
        </w:tc>
      </w:tr>
      <w:tr>
        <w:tc>
          <w:tcPr>
            <w:tcW w:type="dxa" w:w="1440"/>
            <w:tcMar>
              <w:top w:w="50" w:type="dxa"/>
              <w:bottom w:w="50" w:type="dxa"/>
              <w:left w:w="80" w:type="dxa"/>
              <w:right w:w="80" w:type="dxa"/>
            </w:tcMar>
            <w:shd w:val="clear" w:color="auto" w:fill="FFFFFF"/>
          </w:tcPr>
          <w:p>
            <w:pPr>
              <w:spacing w:line="276" w:lineRule="auto"/>
            </w:pPr>
            <w:r>
              <w:rPr>
                <w:rFonts w:ascii="Consolas" w:hAnsi="Consolas"/>
                <w:b/>
                <w:color w:val="0F172A"/>
                <w:sz w:val="19"/>
              </w:rPr>
              <w:t>f0ad7d0</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2026-10-10</w:t>
            </w:r>
          </w:p>
        </w:tc>
        <w:tc>
          <w:tcPr>
            <w:tcW w:type="dxa" w:w="1872"/>
            <w:tcMar>
              <w:top w:w="50" w:type="dxa"/>
              <w:bottom w:w="50" w:type="dxa"/>
              <w:left w:w="80" w:type="dxa"/>
              <w:right w:w="80" w:type="dxa"/>
            </w:tcMar>
            <w:shd w:val="clear" w:color="auto" w:fill="FFFFFF"/>
          </w:tcPr>
          <w:p>
            <w:pPr>
              <w:spacing w:line="276" w:lineRule="auto"/>
            </w:pPr>
            <w:r>
              <w:rPr>
                <w:rFonts w:ascii="Times New Roman" w:hAnsi="Times New Roman"/>
                <w:b/>
                <w:color w:val="1E293B"/>
                <w:sz w:val="19"/>
              </w:rPr>
              <w:t>Prakash Raj U</w:t>
            </w:r>
          </w:p>
        </w:tc>
        <w:tc>
          <w:tcPr>
            <w:tcW w:type="dxa" w:w="3312"/>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Merge pull request #1 from feature/scoring-config: implement YAML configuration [Baseline BL-04]</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CI-03, CI-05</w:t>
            </w:r>
          </w:p>
        </w:tc>
      </w:tr>
      <w:tr>
        <w:tc>
          <w:tcPr>
            <w:tcW w:type="dxa" w:w="1440"/>
            <w:tcMar>
              <w:top w:w="50" w:type="dxa"/>
              <w:bottom w:w="50" w:type="dxa"/>
              <w:left w:w="80" w:type="dxa"/>
              <w:right w:w="80" w:type="dxa"/>
            </w:tcMar>
            <w:shd w:val="clear" w:color="auto" w:fill="F8FAFC"/>
          </w:tcPr>
          <w:p>
            <w:pPr>
              <w:spacing w:line="276" w:lineRule="auto"/>
            </w:pPr>
            <w:r>
              <w:rPr>
                <w:rFonts w:ascii="Consolas" w:hAnsi="Consolas"/>
                <w:b/>
                <w:color w:val="0F172A"/>
                <w:sz w:val="19"/>
              </w:rPr>
              <w:t>f1127d0</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2026-10-12</w:t>
            </w:r>
          </w:p>
        </w:tc>
        <w:tc>
          <w:tcPr>
            <w:tcW w:type="dxa" w:w="1872"/>
            <w:tcMar>
              <w:top w:w="50" w:type="dxa"/>
              <w:bottom w:w="50" w:type="dxa"/>
              <w:left w:w="80" w:type="dxa"/>
              <w:right w:w="80" w:type="dxa"/>
            </w:tcMar>
            <w:shd w:val="clear" w:color="auto" w:fill="F8FAFC"/>
          </w:tcPr>
          <w:p>
            <w:pPr>
              <w:spacing w:line="276" w:lineRule="auto"/>
            </w:pPr>
            <w:r>
              <w:rPr>
                <w:rFonts w:ascii="Times New Roman" w:hAnsi="Times New Roman"/>
                <w:b/>
                <w:color w:val="1E293B"/>
                <w:sz w:val="19"/>
              </w:rPr>
              <w:t>Bharathwaraj K S</w:t>
            </w:r>
          </w:p>
        </w:tc>
        <w:tc>
          <w:tcPr>
            <w:tcW w:type="dxa" w:w="3312"/>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feat(ci-05): implement executive SCM dashboard &amp; build recorder controller [CR-002]</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CI-05</w:t>
            </w:r>
          </w:p>
        </w:tc>
      </w:tr>
      <w:tr>
        <w:tc>
          <w:tcPr>
            <w:tcW w:type="dxa" w:w="1440"/>
            <w:tcMar>
              <w:top w:w="50" w:type="dxa"/>
              <w:bottom w:w="50" w:type="dxa"/>
              <w:left w:w="80" w:type="dxa"/>
              <w:right w:w="80" w:type="dxa"/>
            </w:tcMar>
            <w:shd w:val="clear" w:color="auto" w:fill="FFFFFF"/>
          </w:tcPr>
          <w:p>
            <w:pPr>
              <w:spacing w:line="276" w:lineRule="auto"/>
            </w:pPr>
            <w:r>
              <w:rPr>
                <w:rFonts w:ascii="Consolas" w:hAnsi="Consolas"/>
                <w:b/>
                <w:color w:val="0F172A"/>
                <w:sz w:val="19"/>
              </w:rPr>
              <w:t>9297e33</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2026-10-14</w:t>
            </w:r>
          </w:p>
        </w:tc>
        <w:tc>
          <w:tcPr>
            <w:tcW w:type="dxa" w:w="1872"/>
            <w:tcMar>
              <w:top w:w="50" w:type="dxa"/>
              <w:bottom w:w="50" w:type="dxa"/>
              <w:left w:w="80" w:type="dxa"/>
              <w:right w:w="80" w:type="dxa"/>
            </w:tcMar>
            <w:shd w:val="clear" w:color="auto" w:fill="FFFFFF"/>
          </w:tcPr>
          <w:p>
            <w:pPr>
              <w:spacing w:line="276" w:lineRule="auto"/>
            </w:pPr>
            <w:r>
              <w:rPr>
                <w:rFonts w:ascii="Times New Roman" w:hAnsi="Times New Roman"/>
                <w:b/>
                <w:color w:val="1E293B"/>
                <w:sz w:val="19"/>
              </w:rPr>
              <w:t>Prakash Raj U</w:t>
            </w:r>
          </w:p>
        </w:tc>
        <w:tc>
          <w:tcPr>
            <w:tcW w:type="dxa" w:w="3312"/>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feat(ci-09): introduce calculation failure in Calculator add method for fault injection [CR-009]</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CI-09</w:t>
            </w:r>
          </w:p>
        </w:tc>
      </w:tr>
      <w:tr>
        <w:tc>
          <w:tcPr>
            <w:tcW w:type="dxa" w:w="1440"/>
            <w:tcMar>
              <w:top w:w="50" w:type="dxa"/>
              <w:bottom w:w="50" w:type="dxa"/>
              <w:left w:w="80" w:type="dxa"/>
              <w:right w:w="80" w:type="dxa"/>
            </w:tcMar>
            <w:shd w:val="clear" w:color="auto" w:fill="F8FAFC"/>
          </w:tcPr>
          <w:p>
            <w:pPr>
              <w:spacing w:line="276" w:lineRule="auto"/>
            </w:pPr>
            <w:r>
              <w:rPr>
                <w:rFonts w:ascii="Consolas" w:hAnsi="Consolas"/>
                <w:b/>
                <w:color w:val="0F172A"/>
                <w:sz w:val="19"/>
              </w:rPr>
              <w:t>63e1e5b</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2026-10-15</w:t>
            </w:r>
          </w:p>
        </w:tc>
        <w:tc>
          <w:tcPr>
            <w:tcW w:type="dxa" w:w="1872"/>
            <w:tcMar>
              <w:top w:w="50" w:type="dxa"/>
              <w:bottom w:w="50" w:type="dxa"/>
              <w:left w:w="80" w:type="dxa"/>
              <w:right w:w="80" w:type="dxa"/>
            </w:tcMar>
            <w:shd w:val="clear" w:color="auto" w:fill="F8FAFC"/>
          </w:tcPr>
          <w:p>
            <w:pPr>
              <w:spacing w:line="276" w:lineRule="auto"/>
            </w:pPr>
            <w:r>
              <w:rPr>
                <w:rFonts w:ascii="Times New Roman" w:hAnsi="Times New Roman"/>
                <w:b/>
                <w:color w:val="1E293B"/>
                <w:sz w:val="19"/>
              </w:rPr>
              <w:t>Bharathwaraj K S</w:t>
            </w:r>
          </w:p>
        </w:tc>
        <w:tc>
          <w:tcPr>
            <w:tcW w:type="dxa" w:w="3312"/>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test(ci-06): update regression test notes &amp; automated Surefire assertion check [CR-009]</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CI-06</w:t>
            </w:r>
          </w:p>
        </w:tc>
      </w:tr>
      <w:tr>
        <w:tc>
          <w:tcPr>
            <w:tcW w:type="dxa" w:w="1440"/>
            <w:tcMar>
              <w:top w:w="50" w:type="dxa"/>
              <w:bottom w:w="50" w:type="dxa"/>
              <w:left w:w="80" w:type="dxa"/>
              <w:right w:w="80" w:type="dxa"/>
            </w:tcMar>
            <w:shd w:val="clear" w:color="auto" w:fill="FFFFFF"/>
          </w:tcPr>
          <w:p>
            <w:pPr>
              <w:spacing w:line="276" w:lineRule="auto"/>
            </w:pPr>
            <w:r>
              <w:rPr>
                <w:rFonts w:ascii="Consolas" w:hAnsi="Consolas"/>
                <w:b/>
                <w:color w:val="0F172A"/>
                <w:sz w:val="19"/>
              </w:rPr>
              <w:t>e789c77</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2026-10-16</w:t>
            </w:r>
          </w:p>
        </w:tc>
        <w:tc>
          <w:tcPr>
            <w:tcW w:type="dxa" w:w="1872"/>
            <w:tcMar>
              <w:top w:w="50" w:type="dxa"/>
              <w:bottom w:w="50" w:type="dxa"/>
              <w:left w:w="80" w:type="dxa"/>
              <w:right w:w="80" w:type="dxa"/>
            </w:tcMar>
            <w:shd w:val="clear" w:color="auto" w:fill="FFFFFF"/>
          </w:tcPr>
          <w:p>
            <w:pPr>
              <w:spacing w:line="276" w:lineRule="auto"/>
            </w:pPr>
            <w:r>
              <w:rPr>
                <w:rFonts w:ascii="Times New Roman" w:hAnsi="Times New Roman"/>
                <w:b/>
                <w:color w:val="1E293B"/>
                <w:sz w:val="19"/>
              </w:rPr>
              <w:t>Prakash Raj U</w:t>
            </w:r>
          </w:p>
        </w:tc>
        <w:tc>
          <w:tcPr>
            <w:tcW w:type="dxa" w:w="3312"/>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fix(ci-09): resolve Calculator calculation defect and restore passing build [CR-009]</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CI-09</w:t>
            </w:r>
          </w:p>
        </w:tc>
      </w:tr>
      <w:tr>
        <w:tc>
          <w:tcPr>
            <w:tcW w:type="dxa" w:w="1440"/>
            <w:tcMar>
              <w:top w:w="50" w:type="dxa"/>
              <w:bottom w:w="50" w:type="dxa"/>
              <w:left w:w="80" w:type="dxa"/>
              <w:right w:w="80" w:type="dxa"/>
            </w:tcMar>
            <w:shd w:val="clear" w:color="auto" w:fill="F8FAFC"/>
          </w:tcPr>
          <w:p>
            <w:pPr>
              <w:spacing w:line="276" w:lineRule="auto"/>
            </w:pPr>
            <w:r>
              <w:rPr>
                <w:rFonts w:ascii="Consolas" w:hAnsi="Consolas"/>
                <w:b/>
                <w:color w:val="0F172A"/>
                <w:sz w:val="19"/>
              </w:rPr>
              <w:t>0814589</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2026-10-16</w:t>
            </w:r>
          </w:p>
        </w:tc>
        <w:tc>
          <w:tcPr>
            <w:tcW w:type="dxa" w:w="1872"/>
            <w:tcMar>
              <w:top w:w="50" w:type="dxa"/>
              <w:bottom w:w="50" w:type="dxa"/>
              <w:left w:w="80" w:type="dxa"/>
              <w:right w:w="80" w:type="dxa"/>
            </w:tcMar>
            <w:shd w:val="clear" w:color="auto" w:fill="F8FAFC"/>
          </w:tcPr>
          <w:p>
            <w:pPr>
              <w:spacing w:line="276" w:lineRule="auto"/>
            </w:pPr>
            <w:r>
              <w:rPr>
                <w:rFonts w:ascii="Times New Roman" w:hAnsi="Times New Roman"/>
                <w:b/>
                <w:color w:val="1E293B"/>
                <w:sz w:val="19"/>
              </w:rPr>
              <w:t>Bharathwaraj K S</w:t>
            </w:r>
          </w:p>
        </w:tc>
        <w:tc>
          <w:tcPr>
            <w:tcW w:type="dxa" w:w="3312"/>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Merge pull request #2 from bugfix/demo-calc-failure: resolve defect BUG-024 (CR-009)</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CI-06, CI-09</w:t>
            </w:r>
          </w:p>
        </w:tc>
      </w:tr>
      <w:tr>
        <w:tc>
          <w:tcPr>
            <w:tcW w:type="dxa" w:w="1440"/>
            <w:tcMar>
              <w:top w:w="50" w:type="dxa"/>
              <w:bottom w:w="50" w:type="dxa"/>
              <w:left w:w="80" w:type="dxa"/>
              <w:right w:w="80" w:type="dxa"/>
            </w:tcMar>
            <w:shd w:val="clear" w:color="auto" w:fill="FFFFFF"/>
          </w:tcPr>
          <w:p>
            <w:pPr>
              <w:spacing w:line="276" w:lineRule="auto"/>
            </w:pPr>
            <w:r>
              <w:rPr>
                <w:rFonts w:ascii="Consolas" w:hAnsi="Consolas"/>
                <w:b/>
                <w:color w:val="0F172A"/>
                <w:sz w:val="19"/>
              </w:rPr>
              <w:t>6f147e3</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2026-10-17</w:t>
            </w:r>
          </w:p>
        </w:tc>
        <w:tc>
          <w:tcPr>
            <w:tcW w:type="dxa" w:w="1872"/>
            <w:tcMar>
              <w:top w:w="50" w:type="dxa"/>
              <w:bottom w:w="50" w:type="dxa"/>
              <w:left w:w="80" w:type="dxa"/>
              <w:right w:w="80" w:type="dxa"/>
            </w:tcMar>
            <w:shd w:val="clear" w:color="auto" w:fill="FFFFFF"/>
          </w:tcPr>
          <w:p>
            <w:pPr>
              <w:spacing w:line="276" w:lineRule="auto"/>
            </w:pPr>
            <w:r>
              <w:rPr>
                <w:rFonts w:ascii="Times New Roman" w:hAnsi="Times New Roman"/>
                <w:b/>
                <w:color w:val="1E293B"/>
                <w:sz w:val="19"/>
              </w:rPr>
              <w:t>Prakash Raj U</w:t>
            </w:r>
          </w:p>
        </w:tc>
        <w:tc>
          <w:tcPr>
            <w:tcW w:type="dxa" w:w="3312"/>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feat(ci-02): add multi-encoding log parser support for Jenkins build recorder [CR-007]</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CI-02</w:t>
            </w:r>
          </w:p>
        </w:tc>
      </w:tr>
      <w:tr>
        <w:tc>
          <w:tcPr>
            <w:tcW w:type="dxa" w:w="1440"/>
            <w:tcMar>
              <w:top w:w="50" w:type="dxa"/>
              <w:bottom w:w="50" w:type="dxa"/>
              <w:left w:w="80" w:type="dxa"/>
              <w:right w:w="80" w:type="dxa"/>
            </w:tcMar>
            <w:shd w:val="clear" w:color="auto" w:fill="F8FAFC"/>
          </w:tcPr>
          <w:p>
            <w:pPr>
              <w:spacing w:line="276" w:lineRule="auto"/>
            </w:pPr>
            <w:r>
              <w:rPr>
                <w:rFonts w:ascii="Consolas" w:hAnsi="Consolas"/>
                <w:b/>
                <w:color w:val="0F172A"/>
                <w:sz w:val="19"/>
              </w:rPr>
              <w:t>d6b3be0</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2026-10-18</w:t>
            </w:r>
          </w:p>
        </w:tc>
        <w:tc>
          <w:tcPr>
            <w:tcW w:type="dxa" w:w="1872"/>
            <w:tcMar>
              <w:top w:w="50" w:type="dxa"/>
              <w:bottom w:w="50" w:type="dxa"/>
              <w:left w:w="80" w:type="dxa"/>
              <w:right w:w="80" w:type="dxa"/>
            </w:tcMar>
            <w:shd w:val="clear" w:color="auto" w:fill="F8FAFC"/>
          </w:tcPr>
          <w:p>
            <w:pPr>
              <w:spacing w:line="276" w:lineRule="auto"/>
            </w:pPr>
            <w:r>
              <w:rPr>
                <w:rFonts w:ascii="Times New Roman" w:hAnsi="Times New Roman"/>
                <w:b/>
                <w:color w:val="1E293B"/>
                <w:sz w:val="19"/>
              </w:rPr>
              <w:t>Bharathwaraj K S</w:t>
            </w:r>
          </w:p>
        </w:tc>
        <w:tc>
          <w:tcPr>
            <w:tcW w:type="dxa" w:w="3312"/>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feat(ci-09): add range validation logic to Validator service for employee module [CR-010]</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CI-09</w:t>
            </w:r>
          </w:p>
        </w:tc>
      </w:tr>
      <w:tr>
        <w:tc>
          <w:tcPr>
            <w:tcW w:type="dxa" w:w="1440"/>
            <w:tcMar>
              <w:top w:w="50" w:type="dxa"/>
              <w:bottom w:w="50" w:type="dxa"/>
              <w:left w:w="80" w:type="dxa"/>
              <w:right w:w="80" w:type="dxa"/>
            </w:tcMar>
            <w:shd w:val="clear" w:color="auto" w:fill="FFFFFF"/>
          </w:tcPr>
          <w:p>
            <w:pPr>
              <w:spacing w:line="276" w:lineRule="auto"/>
            </w:pPr>
            <w:r>
              <w:rPr>
                <w:rFonts w:ascii="Consolas" w:hAnsi="Consolas"/>
                <w:b/>
                <w:color w:val="0F172A"/>
                <w:sz w:val="19"/>
              </w:rPr>
              <w:t>077e17c</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2026-10-19</w:t>
            </w:r>
          </w:p>
        </w:tc>
        <w:tc>
          <w:tcPr>
            <w:tcW w:type="dxa" w:w="1872"/>
            <w:tcMar>
              <w:top w:w="50" w:type="dxa"/>
              <w:bottom w:w="50" w:type="dxa"/>
              <w:left w:w="80" w:type="dxa"/>
              <w:right w:w="80" w:type="dxa"/>
            </w:tcMar>
            <w:shd w:val="clear" w:color="auto" w:fill="FFFFFF"/>
          </w:tcPr>
          <w:p>
            <w:pPr>
              <w:spacing w:line="276" w:lineRule="auto"/>
            </w:pPr>
            <w:r>
              <w:rPr>
                <w:rFonts w:ascii="Times New Roman" w:hAnsi="Times New Roman"/>
                <w:b/>
                <w:color w:val="1E293B"/>
                <w:sz w:val="19"/>
              </w:rPr>
              <w:t>Prakash Raj U</w:t>
            </w:r>
          </w:p>
        </w:tc>
        <w:tc>
          <w:tcPr>
            <w:tcW w:type="dxa" w:w="3312"/>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feat(ci-09): update calculation logic in Calculator add method for boundary testing [CR-011]</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CI-09</w:t>
            </w:r>
          </w:p>
        </w:tc>
      </w:tr>
      <w:tr>
        <w:tc>
          <w:tcPr>
            <w:tcW w:type="dxa" w:w="1440"/>
            <w:tcMar>
              <w:top w:w="50" w:type="dxa"/>
              <w:bottom w:w="50" w:type="dxa"/>
              <w:left w:w="80" w:type="dxa"/>
              <w:right w:w="80" w:type="dxa"/>
            </w:tcMar>
            <w:shd w:val="clear" w:color="auto" w:fill="F8FAFC"/>
          </w:tcPr>
          <w:p>
            <w:pPr>
              <w:spacing w:line="276" w:lineRule="auto"/>
            </w:pPr>
            <w:r>
              <w:rPr>
                <w:rFonts w:ascii="Consolas" w:hAnsi="Consolas"/>
                <w:b/>
                <w:color w:val="0F172A"/>
                <w:sz w:val="19"/>
              </w:rPr>
              <w:t>4025917</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2026-10-20</w:t>
            </w:r>
          </w:p>
        </w:tc>
        <w:tc>
          <w:tcPr>
            <w:tcW w:type="dxa" w:w="1872"/>
            <w:tcMar>
              <w:top w:w="50" w:type="dxa"/>
              <w:bottom w:w="50" w:type="dxa"/>
              <w:left w:w="80" w:type="dxa"/>
              <w:right w:w="80" w:type="dxa"/>
            </w:tcMar>
            <w:shd w:val="clear" w:color="auto" w:fill="F8FAFC"/>
          </w:tcPr>
          <w:p>
            <w:pPr>
              <w:spacing w:line="276" w:lineRule="auto"/>
            </w:pPr>
            <w:r>
              <w:rPr>
                <w:rFonts w:ascii="Times New Roman" w:hAnsi="Times New Roman"/>
                <w:b/>
                <w:color w:val="1E293B"/>
                <w:sz w:val="19"/>
              </w:rPr>
              <w:t>Arun Kumar</w:t>
            </w:r>
          </w:p>
        </w:tc>
        <w:tc>
          <w:tcPr>
            <w:tcW w:type="dxa" w:w="3312"/>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tune(ci-03): refine attribution scoring weights &amp; Bayesian confidence thresholds [CR-012]</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CI-03</w:t>
            </w:r>
          </w:p>
        </w:tc>
      </w:tr>
      <w:tr>
        <w:tc>
          <w:tcPr>
            <w:tcW w:type="dxa" w:w="1440"/>
            <w:tcMar>
              <w:top w:w="50" w:type="dxa"/>
              <w:bottom w:w="50" w:type="dxa"/>
              <w:left w:w="80" w:type="dxa"/>
              <w:right w:w="80" w:type="dxa"/>
            </w:tcMar>
            <w:shd w:val="clear" w:color="auto" w:fill="FFFFFF"/>
          </w:tcPr>
          <w:p>
            <w:pPr>
              <w:spacing w:line="276" w:lineRule="auto"/>
            </w:pPr>
            <w:r>
              <w:rPr>
                <w:rFonts w:ascii="Consolas" w:hAnsi="Consolas"/>
                <w:b/>
                <w:color w:val="0F172A"/>
                <w:sz w:val="19"/>
              </w:rPr>
              <w:t>5fbf9c0</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2026-10-20</w:t>
            </w:r>
          </w:p>
        </w:tc>
        <w:tc>
          <w:tcPr>
            <w:tcW w:type="dxa" w:w="1872"/>
            <w:tcMar>
              <w:top w:w="50" w:type="dxa"/>
              <w:bottom w:w="50" w:type="dxa"/>
              <w:left w:w="80" w:type="dxa"/>
              <w:right w:w="80" w:type="dxa"/>
            </w:tcMar>
            <w:shd w:val="clear" w:color="auto" w:fill="FFFFFF"/>
          </w:tcPr>
          <w:p>
            <w:pPr>
              <w:spacing w:line="276" w:lineRule="auto"/>
            </w:pPr>
            <w:r>
              <w:rPr>
                <w:rFonts w:ascii="Times New Roman" w:hAnsi="Times New Roman"/>
                <w:b/>
                <w:color w:val="1E293B"/>
                <w:sz w:val="19"/>
              </w:rPr>
              <w:t>Kavya Sharma</w:t>
            </w:r>
          </w:p>
        </w:tc>
        <w:tc>
          <w:tcPr>
            <w:tcW w:type="dxa" w:w="3312"/>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test(ci-06): add collaborative team workflow &amp; multi-developer CI test matrix [CR-013]</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CI-06</w:t>
            </w:r>
          </w:p>
        </w:tc>
      </w:tr>
      <w:tr>
        <w:tc>
          <w:tcPr>
            <w:tcW w:type="dxa" w:w="1440"/>
            <w:tcMar>
              <w:top w:w="50" w:type="dxa"/>
              <w:bottom w:w="50" w:type="dxa"/>
              <w:left w:w="80" w:type="dxa"/>
              <w:right w:w="80" w:type="dxa"/>
            </w:tcMar>
            <w:shd w:val="clear" w:color="auto" w:fill="F8FAFC"/>
          </w:tcPr>
          <w:p>
            <w:pPr>
              <w:spacing w:line="276" w:lineRule="auto"/>
            </w:pPr>
            <w:r>
              <w:rPr>
                <w:rFonts w:ascii="Consolas" w:hAnsi="Consolas"/>
                <w:b/>
                <w:color w:val="0F172A"/>
                <w:sz w:val="19"/>
              </w:rPr>
              <w:t>74aa410</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2026-10-21</w:t>
            </w:r>
          </w:p>
        </w:tc>
        <w:tc>
          <w:tcPr>
            <w:tcW w:type="dxa" w:w="1872"/>
            <w:tcMar>
              <w:top w:w="50" w:type="dxa"/>
              <w:bottom w:w="50" w:type="dxa"/>
              <w:left w:w="80" w:type="dxa"/>
              <w:right w:w="80" w:type="dxa"/>
            </w:tcMar>
            <w:shd w:val="clear" w:color="auto" w:fill="F8FAFC"/>
          </w:tcPr>
          <w:p>
            <w:pPr>
              <w:spacing w:line="276" w:lineRule="auto"/>
            </w:pPr>
            <w:r>
              <w:rPr>
                <w:rFonts w:ascii="Times New Roman" w:hAnsi="Times New Roman"/>
                <w:b/>
                <w:color w:val="1E293B"/>
                <w:sz w:val="19"/>
              </w:rPr>
              <w:t>Bharathwaraj K S</w:t>
            </w:r>
          </w:p>
        </w:tc>
        <w:tc>
          <w:tcPr>
            <w:tcW w:type="dxa" w:w="3312"/>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Merge pull request #4 from feature/multi-developer-collab into develop (CR-014)</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CI-06, CI-09</w:t>
            </w:r>
          </w:p>
        </w:tc>
      </w:tr>
      <w:tr>
        <w:tc>
          <w:tcPr>
            <w:tcW w:type="dxa" w:w="1440"/>
            <w:tcMar>
              <w:top w:w="50" w:type="dxa"/>
              <w:bottom w:w="50" w:type="dxa"/>
              <w:left w:w="80" w:type="dxa"/>
              <w:right w:w="80" w:type="dxa"/>
            </w:tcMar>
            <w:shd w:val="clear" w:color="auto" w:fill="FFFFFF"/>
          </w:tcPr>
          <w:p>
            <w:pPr>
              <w:spacing w:line="276" w:lineRule="auto"/>
            </w:pPr>
            <w:r>
              <w:rPr>
                <w:rFonts w:ascii="Consolas" w:hAnsi="Consolas"/>
                <w:b/>
                <w:color w:val="0F172A"/>
                <w:sz w:val="19"/>
              </w:rPr>
              <w:t>7e43c78</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2026-10-21</w:t>
            </w:r>
          </w:p>
        </w:tc>
        <w:tc>
          <w:tcPr>
            <w:tcW w:type="dxa" w:w="1872"/>
            <w:tcMar>
              <w:top w:w="50" w:type="dxa"/>
              <w:bottom w:w="50" w:type="dxa"/>
              <w:left w:w="80" w:type="dxa"/>
              <w:right w:w="80" w:type="dxa"/>
            </w:tcMar>
            <w:shd w:val="clear" w:color="auto" w:fill="FFFFFF"/>
          </w:tcPr>
          <w:p>
            <w:pPr>
              <w:spacing w:line="276" w:lineRule="auto"/>
            </w:pPr>
            <w:r>
              <w:rPr>
                <w:rFonts w:ascii="Times New Roman" w:hAnsi="Times New Roman"/>
                <w:b/>
                <w:color w:val="1E293B"/>
                <w:sz w:val="19"/>
              </w:rPr>
              <w:t>Prakash Raj U</w:t>
            </w:r>
          </w:p>
        </w:tc>
        <w:tc>
          <w:tcPr>
            <w:tcW w:type="dxa" w:w="3312"/>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Merge branch develop into main: Production Release Baseline v1.0.0 [Release v1.0.0]</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Release v1.0.0</w:t>
            </w:r>
          </w:p>
        </w:tc>
      </w:tr>
      <w:tr>
        <w:tc>
          <w:tcPr>
            <w:tcW w:type="dxa" w:w="1440"/>
            <w:tcMar>
              <w:top w:w="50" w:type="dxa"/>
              <w:bottom w:w="50" w:type="dxa"/>
              <w:left w:w="80" w:type="dxa"/>
              <w:right w:w="80" w:type="dxa"/>
            </w:tcMar>
            <w:shd w:val="clear" w:color="auto" w:fill="F8FAFC"/>
          </w:tcPr>
          <w:p>
            <w:pPr>
              <w:spacing w:line="276" w:lineRule="auto"/>
            </w:pPr>
            <w:r>
              <w:rPr>
                <w:rFonts w:ascii="Consolas" w:hAnsi="Consolas"/>
                <w:b/>
                <w:color w:val="0F172A"/>
                <w:sz w:val="19"/>
              </w:rPr>
              <w:t>11b38f4</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2026-10-22</w:t>
            </w:r>
          </w:p>
        </w:tc>
        <w:tc>
          <w:tcPr>
            <w:tcW w:type="dxa" w:w="1872"/>
            <w:tcMar>
              <w:top w:w="50" w:type="dxa"/>
              <w:bottom w:w="50" w:type="dxa"/>
              <w:left w:w="80" w:type="dxa"/>
              <w:right w:w="80" w:type="dxa"/>
            </w:tcMar>
            <w:shd w:val="clear" w:color="auto" w:fill="F8FAFC"/>
          </w:tcPr>
          <w:p>
            <w:pPr>
              <w:spacing w:line="276" w:lineRule="auto"/>
            </w:pPr>
            <w:r>
              <w:rPr>
                <w:rFonts w:ascii="Times New Roman" w:hAnsi="Times New Roman"/>
                <w:b/>
                <w:color w:val="1E293B"/>
                <w:sz w:val="19"/>
              </w:rPr>
              <w:t>Prakash Raj U</w:t>
            </w:r>
          </w:p>
        </w:tc>
        <w:tc>
          <w:tcPr>
            <w:tcW w:type="dxa" w:w="3312"/>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release(ci-10): finalize official release manifest, FCA/PCA sign-off &amp; audit checklist [BL-05]</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CI-10, Release v1.0.0</w:t>
            </w:r>
          </w:p>
        </w:tc>
      </w:tr>
      <w:tr>
        <w:tc>
          <w:tcPr>
            <w:tcW w:type="dxa" w:w="1440"/>
            <w:tcMar>
              <w:top w:w="50" w:type="dxa"/>
              <w:bottom w:w="50" w:type="dxa"/>
              <w:left w:w="80" w:type="dxa"/>
              <w:right w:w="80" w:type="dxa"/>
            </w:tcMar>
            <w:shd w:val="clear" w:color="auto" w:fill="FFFFFF"/>
          </w:tcPr>
          <w:p>
            <w:pPr>
              <w:spacing w:line="276" w:lineRule="auto"/>
            </w:pPr>
            <w:r>
              <w:rPr>
                <w:rFonts w:ascii="Consolas" w:hAnsi="Consolas"/>
                <w:b/>
                <w:color w:val="0F172A"/>
                <w:sz w:val="19"/>
              </w:rPr>
              <w:t>fa4b2c5</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2026-10-22</w:t>
            </w:r>
          </w:p>
        </w:tc>
        <w:tc>
          <w:tcPr>
            <w:tcW w:type="dxa" w:w="1872"/>
            <w:tcMar>
              <w:top w:w="50" w:type="dxa"/>
              <w:bottom w:w="50" w:type="dxa"/>
              <w:left w:w="80" w:type="dxa"/>
              <w:right w:w="80" w:type="dxa"/>
            </w:tcMar>
            <w:shd w:val="clear" w:color="auto" w:fill="FFFFFF"/>
          </w:tcPr>
          <w:p>
            <w:pPr>
              <w:spacing w:line="276" w:lineRule="auto"/>
            </w:pPr>
            <w:r>
              <w:rPr>
                <w:rFonts w:ascii="Times New Roman" w:hAnsi="Times New Roman"/>
                <w:b/>
                <w:color w:val="1E293B"/>
                <w:sz w:val="19"/>
              </w:rPr>
              <w:t>Bharathwaraj K S</w:t>
            </w:r>
          </w:p>
        </w:tc>
        <w:tc>
          <w:tcPr>
            <w:tcW w:type="dxa" w:w="3312"/>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feat(ci-05): implement light-theme UI, TechNova 4-developer scenario &amp; SCM governance [CR-015]</w:t>
            </w:r>
          </w:p>
        </w:tc>
        <w:tc>
          <w:tcPr>
            <w:tcW w:type="dxa" w:w="1440"/>
            <w:tcMar>
              <w:top w:w="50" w:type="dxa"/>
              <w:bottom w:w="50" w:type="dxa"/>
              <w:left w:w="80" w:type="dxa"/>
              <w:right w:w="80" w:type="dxa"/>
            </w:tcMar>
            <w:shd w:val="clear" w:color="auto" w:fill="FFFFFF"/>
          </w:tcPr>
          <w:p>
            <w:pPr>
              <w:spacing w:line="276" w:lineRule="auto"/>
            </w:pPr>
            <w:r>
              <w:rPr>
                <w:rFonts w:ascii="Times New Roman" w:hAnsi="Times New Roman"/>
                <w:color w:val="1E293B"/>
                <w:sz w:val="19"/>
              </w:rPr>
              <w:t>CI-05</w:t>
            </w:r>
          </w:p>
        </w:tc>
      </w:tr>
      <w:tr>
        <w:tc>
          <w:tcPr>
            <w:tcW w:type="dxa" w:w="1440"/>
            <w:tcMar>
              <w:top w:w="50" w:type="dxa"/>
              <w:bottom w:w="50" w:type="dxa"/>
              <w:left w:w="80" w:type="dxa"/>
              <w:right w:w="80" w:type="dxa"/>
            </w:tcMar>
            <w:shd w:val="clear" w:color="auto" w:fill="F8FAFC"/>
          </w:tcPr>
          <w:p>
            <w:pPr>
              <w:spacing w:line="276" w:lineRule="auto"/>
            </w:pPr>
            <w:r>
              <w:rPr>
                <w:rFonts w:ascii="Consolas" w:hAnsi="Consolas"/>
                <w:b/>
                <w:color w:val="0F172A"/>
                <w:sz w:val="19"/>
              </w:rPr>
              <w:t>70d43eb</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2026-10-22</w:t>
            </w:r>
          </w:p>
        </w:tc>
        <w:tc>
          <w:tcPr>
            <w:tcW w:type="dxa" w:w="1872"/>
            <w:tcMar>
              <w:top w:w="50" w:type="dxa"/>
              <w:bottom w:w="50" w:type="dxa"/>
              <w:left w:w="80" w:type="dxa"/>
              <w:right w:w="80" w:type="dxa"/>
            </w:tcMar>
            <w:shd w:val="clear" w:color="auto" w:fill="F8FAFC"/>
          </w:tcPr>
          <w:p>
            <w:pPr>
              <w:spacing w:line="276" w:lineRule="auto"/>
            </w:pPr>
            <w:r>
              <w:rPr>
                <w:rFonts w:ascii="Times New Roman" w:hAnsi="Times New Roman"/>
                <w:b/>
                <w:color w:val="1E293B"/>
                <w:sz w:val="19"/>
              </w:rPr>
              <w:t>Prakash Raj U</w:t>
            </w:r>
          </w:p>
        </w:tc>
        <w:tc>
          <w:tcPr>
            <w:tcW w:type="dxa" w:w="3312"/>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docs(ci-08): add CommitSleuth SCM Final Review Microsoft Word documentation [CR-016]</w:t>
            </w:r>
          </w:p>
        </w:tc>
        <w:tc>
          <w:tcPr>
            <w:tcW w:type="dxa" w:w="1440"/>
            <w:tcMar>
              <w:top w:w="50" w:type="dxa"/>
              <w:bottom w:w="50" w:type="dxa"/>
              <w:left w:w="80" w:type="dxa"/>
              <w:right w:w="80" w:type="dxa"/>
            </w:tcMar>
            <w:shd w:val="clear" w:color="auto" w:fill="F8FAFC"/>
          </w:tcPr>
          <w:p>
            <w:pPr>
              <w:spacing w:line="276" w:lineRule="auto"/>
            </w:pPr>
            <w:r>
              <w:rPr>
                <w:rFonts w:ascii="Times New Roman" w:hAnsi="Times New Roman"/>
                <w:color w:val="1E293B"/>
                <w:sz w:val="19"/>
              </w:rPr>
              <w:t>CI-08, CI-10</w:t>
            </w:r>
          </w:p>
        </w:tc>
      </w:tr>
    </w:tbl>
    <w:p>
      <w:pPr>
        <w:spacing w:line="324" w:lineRule="auto" w:after="120"/>
        <w:jc w:val="both"/>
      </w:pPr>
      <w:r>
        <w:rPr>
          <w:rFonts w:ascii="Times New Roman" w:hAnsi="Times New Roman"/>
          <w:color w:val="1E293B"/>
          <w:sz w:val="24"/>
        </w:rPr>
      </w:r>
    </w:p>
    <w:p>
      <w:pPr>
        <w:keepNext/>
        <w:spacing w:before="160" w:after="80"/>
        <w:jc w:val="center"/>
      </w:pPr>
      <w:r>
        <w:drawing>
          <wp:inline xmlns:a="http://schemas.openxmlformats.org/drawingml/2006/main" xmlns:pic="http://schemas.openxmlformats.org/drawingml/2006/picture">
            <wp:extent cx="5486400" cy="3711388"/>
            <wp:docPr id="4" name="Picture 4"/>
            <wp:cNvGraphicFramePr>
              <a:graphicFrameLocks noChangeAspect="1"/>
            </wp:cNvGraphicFramePr>
            <a:graphic>
              <a:graphicData uri="http://schemas.openxmlformats.org/drawingml/2006/picture">
                <pic:pic>
                  <pic:nvPicPr>
                    <pic:cNvPr id="0" name="git_03_branches_gitflow.png"/>
                    <pic:cNvPicPr/>
                  </pic:nvPicPr>
                  <pic:blipFill>
                    <a:blip r:embed="rId14"/>
                    <a:stretch>
                      <a:fillRect/>
                    </a:stretch>
                  </pic:blipFill>
                  <pic:spPr>
                    <a:xfrm>
                      <a:off x="0" y="0"/>
                      <a:ext cx="5486400" cy="3711388"/>
                    </a:xfrm>
                    <a:prstGeom prst="rect"/>
                  </pic:spPr>
                </pic:pic>
              </a:graphicData>
            </a:graphic>
          </wp:inline>
        </w:drawing>
      </w:r>
    </w:p>
    <w:p>
      <w:pPr>
        <w:keepNext/>
        <w:spacing w:before="40" w:after="120"/>
        <w:jc w:val="center"/>
      </w:pPr>
      <w:r>
        <w:rPr>
          <w:rFonts w:ascii="Times New Roman" w:hAnsi="Times New Roman"/>
          <w:b/>
          <w:i/>
          <w:color w:val="334155"/>
          <w:sz w:val="21"/>
        </w:rPr>
        <w:t>Figure 8.2: SCREENSHOT 3: GIT BRANCHES &amp; GITFLOW HIERARCHY</w:t>
      </w:r>
    </w:p>
    <w:p>
      <w:pPr>
        <w:spacing w:line="324" w:lineRule="auto" w:after="200"/>
        <w:jc w:val="both"/>
      </w:pPr>
      <w:r>
        <w:rPr>
          <w:rFonts w:ascii="Times New Roman" w:hAnsi="Times New Roman"/>
          <w:b/>
          <w:color w:val="0F172A"/>
          <w:sz w:val="24"/>
        </w:rPr>
        <w:t xml:space="preserve">Figure 8.2 Technical Analysis &amp; Evaluation Evidence: </w:t>
      </w:r>
      <w:r>
        <w:rPr>
          <w:rFonts w:ascii="Times New Roman" w:hAnsi="Times New Roman"/>
          <w:color w:val="1E293B"/>
          <w:sz w:val="24"/>
        </w:rPr>
        <w:t>Figure 8.2 illustrates the repository branch structure across 5 active branches: main (protected production baseline), develop (active continuous integration branch), feature/multi-developer-collab (collaborative team development), bugfix/demo-calc-failure (isolated fault injection and fix branch), and release/v1.0.0 (production candidate branch). The visual Gitflow swimlane diagram details the branch lifecycle: features branch off develop, bugfixes isolate failing changes, and approved releases merge back into both main and develop. This demonstrates strict version isolation and branch stability control.</w:t>
      </w:r>
    </w:p>
    <w:p>
      <w:pPr>
        <w:keepNext/>
        <w:spacing w:before="160" w:after="80"/>
        <w:jc w:val="center"/>
      </w:pPr>
      <w:r>
        <w:drawing>
          <wp:inline xmlns:a="http://schemas.openxmlformats.org/drawingml/2006/main" xmlns:pic="http://schemas.openxmlformats.org/drawingml/2006/picture">
            <wp:extent cx="5486400" cy="3388659"/>
            <wp:docPr id="5" name="Picture 5"/>
            <wp:cNvGraphicFramePr>
              <a:graphicFrameLocks noChangeAspect="1"/>
            </wp:cNvGraphicFramePr>
            <a:graphic>
              <a:graphicData uri="http://schemas.openxmlformats.org/drawingml/2006/picture">
                <pic:pic>
                  <pic:nvPicPr>
                    <pic:cNvPr id="0" name="git_04_network_graph.png"/>
                    <pic:cNvPicPr/>
                  </pic:nvPicPr>
                  <pic:blipFill>
                    <a:blip r:embed="rId15"/>
                    <a:stretch>
                      <a:fillRect/>
                    </a:stretch>
                  </pic:blipFill>
                  <pic:spPr>
                    <a:xfrm>
                      <a:off x="0" y="0"/>
                      <a:ext cx="5486400" cy="3388659"/>
                    </a:xfrm>
                    <a:prstGeom prst="rect"/>
                  </pic:spPr>
                </pic:pic>
              </a:graphicData>
            </a:graphic>
          </wp:inline>
        </w:drawing>
      </w:r>
    </w:p>
    <w:p>
      <w:pPr>
        <w:keepNext/>
        <w:spacing w:before="40" w:after="120"/>
        <w:jc w:val="center"/>
      </w:pPr>
      <w:r>
        <w:rPr>
          <w:rFonts w:ascii="Times New Roman" w:hAnsi="Times New Roman"/>
          <w:b/>
          <w:i/>
          <w:color w:val="334155"/>
          <w:sz w:val="21"/>
        </w:rPr>
        <w:t>Figure 8.3: SCREENSHOT 4: GITHUB NETWORK GRAPH / VISUAL COMMIT TREE (DAG)</w:t>
      </w:r>
    </w:p>
    <w:p>
      <w:pPr>
        <w:spacing w:line="324" w:lineRule="auto" w:after="200"/>
        <w:jc w:val="both"/>
      </w:pPr>
      <w:r>
        <w:rPr>
          <w:rFonts w:ascii="Times New Roman" w:hAnsi="Times New Roman"/>
          <w:b/>
          <w:color w:val="0F172A"/>
          <w:sz w:val="24"/>
        </w:rPr>
        <w:t xml:space="preserve">Figure 8.3 Technical Analysis &amp; Evaluation Evidence: </w:t>
      </w:r>
      <w:r>
        <w:rPr>
          <w:rFonts w:ascii="Times New Roman" w:hAnsi="Times New Roman"/>
          <w:color w:val="1E293B"/>
          <w:sz w:val="24"/>
        </w:rPr>
        <w:t>Figure 8.3 displays the topological Directed Acyclic Graph (DAG) of repository commits. The visual network maps concurrent branch lines, showing parallel commits from Prakash Raj U, Bharathwaraj K S, Arun Kumar, and Kavya Sharma on feature/multi-developer-collab. It explicitly illustrates the fault injection branch divergence (commit 9297e33), the corrective patch commit (e789c77), pull request merge #2 back into develop (0814589), and the final merge of develop into main (commit 7e43c78) anchored by release tag v1.0.0. This proves non-linear version history management and successful multi-developer merge reconciliation.</w:t>
      </w:r>
    </w:p>
    <w:p>
      <w:pPr>
        <w:keepNext/>
        <w:spacing w:before="160" w:after="80"/>
        <w:jc w:val="center"/>
      </w:pPr>
      <w:r>
        <w:drawing>
          <wp:inline xmlns:a="http://schemas.openxmlformats.org/drawingml/2006/main" xmlns:pic="http://schemas.openxmlformats.org/drawingml/2006/picture">
            <wp:extent cx="5486400" cy="3469341"/>
            <wp:docPr id="6" name="Picture 6"/>
            <wp:cNvGraphicFramePr>
              <a:graphicFrameLocks noChangeAspect="1"/>
            </wp:cNvGraphicFramePr>
            <a:graphic>
              <a:graphicData uri="http://schemas.openxmlformats.org/drawingml/2006/picture">
                <pic:pic>
                  <pic:nvPicPr>
                    <pic:cNvPr id="0" name="git_05_pr_review_diff.png"/>
                    <pic:cNvPicPr/>
                  </pic:nvPicPr>
                  <pic:blipFill>
                    <a:blip r:embed="rId16"/>
                    <a:stretch>
                      <a:fillRect/>
                    </a:stretch>
                  </pic:blipFill>
                  <pic:spPr>
                    <a:xfrm>
                      <a:off x="0" y="0"/>
                      <a:ext cx="5486400" cy="3469341"/>
                    </a:xfrm>
                    <a:prstGeom prst="rect"/>
                  </pic:spPr>
                </pic:pic>
              </a:graphicData>
            </a:graphic>
          </wp:inline>
        </w:drawing>
      </w:r>
    </w:p>
    <w:p>
      <w:pPr>
        <w:keepNext/>
        <w:spacing w:before="40" w:after="120"/>
        <w:jc w:val="center"/>
      </w:pPr>
      <w:r>
        <w:rPr>
          <w:rFonts w:ascii="Times New Roman" w:hAnsi="Times New Roman"/>
          <w:b/>
          <w:i/>
          <w:color w:val="334155"/>
          <w:sz w:val="21"/>
        </w:rPr>
        <w:t>Figure 8.4: SCREENSHOT 5: PULL REQUEST REVIEW, CODE DIFF &amp; MERGE</w:t>
      </w:r>
    </w:p>
    <w:p>
      <w:pPr>
        <w:spacing w:line="324" w:lineRule="auto" w:after="200"/>
        <w:jc w:val="both"/>
      </w:pPr>
      <w:r>
        <w:rPr>
          <w:rFonts w:ascii="Times New Roman" w:hAnsi="Times New Roman"/>
          <w:b/>
          <w:color w:val="0F172A"/>
          <w:sz w:val="24"/>
        </w:rPr>
        <w:t xml:space="preserve">Figure 8.4 Technical Analysis &amp; Evaluation Evidence: </w:t>
      </w:r>
      <w:r>
        <w:rPr>
          <w:rFonts w:ascii="Times New Roman" w:hAnsi="Times New Roman"/>
          <w:color w:val="1E293B"/>
          <w:sz w:val="24"/>
        </w:rPr>
        <w:t>Figure 8.4 shows the GitHub Pull Request review and code diff interface for PR #4 ('CR-014: Multi-Developer Collaborative Integration &amp; Calculation Fix'). The interface confirms that automated CI checks passed with zero defects. CCB review sign-off is recorded by Bharathwaraj K S. The unified code diff in Calculator.java shows deleted defect lines (red -) and verified calculation logic (green +), while ReportService.java shows null-safe boundary protection additions. This demonstrates formal change review, automated CI quality gating, and peer review verification prior to merge.</w:t>
      </w:r>
    </w:p>
    <w:p>
      <w:pPr>
        <w:keepNext/>
        <w:spacing w:before="160" w:after="80"/>
        <w:jc w:val="center"/>
      </w:pPr>
      <w:r>
        <w:drawing>
          <wp:inline xmlns:a="http://schemas.openxmlformats.org/drawingml/2006/main" xmlns:pic="http://schemas.openxmlformats.org/drawingml/2006/picture">
            <wp:extent cx="5486400" cy="3550024"/>
            <wp:docPr id="7" name="Picture 7"/>
            <wp:cNvGraphicFramePr>
              <a:graphicFrameLocks noChangeAspect="1"/>
            </wp:cNvGraphicFramePr>
            <a:graphic>
              <a:graphicData uri="http://schemas.openxmlformats.org/drawingml/2006/picture">
                <pic:pic>
                  <pic:nvPicPr>
                    <pic:cNvPr id="0" name="git_06_release_tags.png"/>
                    <pic:cNvPicPr/>
                  </pic:nvPicPr>
                  <pic:blipFill>
                    <a:blip r:embed="rId17"/>
                    <a:stretch>
                      <a:fillRect/>
                    </a:stretch>
                  </pic:blipFill>
                  <pic:spPr>
                    <a:xfrm>
                      <a:off x="0" y="0"/>
                      <a:ext cx="5486400" cy="3550024"/>
                    </a:xfrm>
                    <a:prstGeom prst="rect"/>
                  </pic:spPr>
                </pic:pic>
              </a:graphicData>
            </a:graphic>
          </wp:inline>
        </w:drawing>
      </w:r>
    </w:p>
    <w:p>
      <w:pPr>
        <w:keepNext/>
        <w:spacing w:before="40" w:after="120"/>
        <w:jc w:val="center"/>
      </w:pPr>
      <w:r>
        <w:rPr>
          <w:rFonts w:ascii="Times New Roman" w:hAnsi="Times New Roman"/>
          <w:b/>
          <w:i/>
          <w:color w:val="334155"/>
          <w:sz w:val="21"/>
        </w:rPr>
        <w:t>Figure 8.5: SCREENSHOT 6: GIT TAGS &amp; OFFICIAL RELEASE BASELINE</w:t>
      </w:r>
    </w:p>
    <w:p>
      <w:pPr>
        <w:spacing w:line="324" w:lineRule="auto" w:after="200"/>
        <w:jc w:val="both"/>
      </w:pPr>
      <w:r>
        <w:rPr>
          <w:rFonts w:ascii="Times New Roman" w:hAnsi="Times New Roman"/>
          <w:b/>
          <w:color w:val="0F172A"/>
          <w:sz w:val="24"/>
        </w:rPr>
        <w:t xml:space="preserve">Figure 8.5 Technical Analysis &amp; Evaluation Evidence: </w:t>
      </w:r>
      <w:r>
        <w:rPr>
          <w:rFonts w:ascii="Times New Roman" w:hAnsi="Times New Roman"/>
          <w:color w:val="1E293B"/>
          <w:sz w:val="24"/>
        </w:rPr>
        <w:t>Figure 8.5 documents the official Configuration Baselines established through immutable Git release tags. Tag v1.0.0 (commit 11b38f4) represents the verified Production Release Baseline BL-05, complete with signed release notes, FCA/PCA audit sign-offs, and downloadable release assets: compiled application JAR (commitsleuth-1.0.0.jar, 18.4 MB), cryptographic release manifest JSON, and SHA-256 digital integrity checksums. Historical baselines v0.2.0 (BL-04) and v0.1.0 (BL-01) are also maintained. This proves formal baseline control and release packaging integrity.</w:t>
      </w:r>
    </w:p>
    <w:p>
      <w:pPr>
        <w:keepNext/>
        <w:spacing w:before="160" w:after="80"/>
        <w:jc w:val="center"/>
      </w:pPr>
      <w:r>
        <w:drawing>
          <wp:inline xmlns:a="http://schemas.openxmlformats.org/drawingml/2006/main" xmlns:pic="http://schemas.openxmlformats.org/drawingml/2006/picture">
            <wp:extent cx="5486400" cy="3114278"/>
            <wp:docPr id="8" name="Picture 8"/>
            <wp:cNvGraphicFramePr>
              <a:graphicFrameLocks noChangeAspect="1"/>
            </wp:cNvGraphicFramePr>
            <a:graphic>
              <a:graphicData uri="http://schemas.openxmlformats.org/drawingml/2006/picture">
                <pic:pic>
                  <pic:nvPicPr>
                    <pic:cNvPr id="0" name="fig07_baselines_versions.png"/>
                    <pic:cNvPicPr/>
                  </pic:nvPicPr>
                  <pic:blipFill>
                    <a:blip r:embed="rId18"/>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8.6: SCREENSHOT 13: WEB APPLICATION — BASELINES &amp; SEMANTIC VERSIONS REGISTER</w:t>
      </w:r>
    </w:p>
    <w:p>
      <w:pPr>
        <w:spacing w:line="324" w:lineRule="auto" w:after="200"/>
        <w:jc w:val="both"/>
      </w:pPr>
      <w:r>
        <w:rPr>
          <w:rFonts w:ascii="Times New Roman" w:hAnsi="Times New Roman"/>
          <w:b/>
          <w:color w:val="0F172A"/>
          <w:sz w:val="24"/>
        </w:rPr>
        <w:t xml:space="preserve">Figure 8.6 Technical Analysis &amp; Evaluation Evidence: </w:t>
      </w:r>
      <w:r>
        <w:rPr>
          <w:rFonts w:ascii="Times New Roman" w:hAnsi="Times New Roman"/>
          <w:color w:val="1E293B"/>
          <w:sz w:val="24"/>
        </w:rPr>
        <w:t>Figure 8.6 displays the Baselines and Version Management interface within the CommitSleuth web portal. Approved baselines BL-01 through BL-05 are registered with semantic version identifiers, Git release tags, target commit hashes, CCB authorization dates, and configuration comparison tools that show CI deltas between historical development baselines and production release candidates.</w:t>
      </w:r>
    </w:p>
    <w:p>
      <w:pPr>
        <w:pStyle w:val="Heading1"/>
        <w:keepNext/>
        <w:spacing w:before="360" w:after="120"/>
      </w:pPr>
      <w:r>
        <w:rPr>
          <w:rFonts w:ascii="Times New Roman" w:hAnsi="Times New Roman"/>
          <w:b/>
          <w:color w:val="0F172A"/>
          <w:sz w:val="30"/>
        </w:rPr>
        <w:t>Section 9 — Change Management</w:t>
      </w:r>
    </w:p>
    <w:p>
      <w:pPr>
        <w:spacing w:line="324" w:lineRule="auto" w:after="120"/>
        <w:jc w:val="both"/>
      </w:pPr>
      <w:r>
        <w:rPr>
          <w:rFonts w:ascii="Times New Roman" w:hAnsi="Times New Roman"/>
          <w:color w:val="1E293B"/>
          <w:sz w:val="24"/>
        </w:rPr>
        <w:t>Change Management provides a disciplined, formal mechanism for requesting, evaluating, authorizing, implementing, and verifying modifications to controlled configuration items. Uncontrolled changes lead to configuration drift, untracked bugs, and broken builds. In CommitSleuth, all modifications are initiated through formal Change Requests (CR) submitted to the Configuration Control Board (CCB).</w:t>
      </w:r>
    </w:p>
    <w:p>
      <w:pPr>
        <w:spacing w:line="324" w:lineRule="auto" w:after="120"/>
        <w:jc w:val="both"/>
      </w:pPr>
      <w:r>
        <w:rPr>
          <w:rFonts w:ascii="Times New Roman" w:hAnsi="Times New Roman"/>
          <w:color w:val="1E293B"/>
          <w:sz w:val="24"/>
        </w:rPr>
        <w:t>The project tracks sixteen formal Change Requests (CR-001 through CR-016). Each change request record documents the unique CR identifier, descriptive title, requester, technical rationale, affected configuration items, priority, target branch, and CCB decision status (Raised, Under Review, Approved, Implemented, or Rejected). For example, CR-009 represents Karthik's modification in ReportService.java on feature/reports, while CR-010 represents the subsequent corrective fix restoring build health. The web interface enables authorized developers to register new change requests while enforcing role permissions so that only CCB administrators can record official approval decisions.</w:t>
      </w:r>
    </w:p>
    <w:p>
      <w:pPr>
        <w:keepNext/>
        <w:spacing w:before="160" w:after="80"/>
        <w:jc w:val="center"/>
      </w:pPr>
      <w:r>
        <w:drawing>
          <wp:inline xmlns:a="http://schemas.openxmlformats.org/drawingml/2006/main" xmlns:pic="http://schemas.openxmlformats.org/drawingml/2006/picture">
            <wp:extent cx="5486400" cy="3114278"/>
            <wp:docPr id="9" name="Picture 9"/>
            <wp:cNvGraphicFramePr>
              <a:graphicFrameLocks noChangeAspect="1"/>
            </wp:cNvGraphicFramePr>
            <a:graphic>
              <a:graphicData uri="http://schemas.openxmlformats.org/drawingml/2006/picture">
                <pic:pic>
                  <pic:nvPicPr>
                    <pic:cNvPr id="0" name="fig05_change_management.png"/>
                    <pic:cNvPicPr/>
                  </pic:nvPicPr>
                  <pic:blipFill>
                    <a:blip r:embed="rId19"/>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9.1: SCREENSHOT 11: WEB APPLICATION — CHANGE MANAGEMENT (CR-001..CR-016)</w:t>
      </w:r>
    </w:p>
    <w:p>
      <w:pPr>
        <w:spacing w:line="324" w:lineRule="auto" w:after="200"/>
        <w:jc w:val="both"/>
      </w:pPr>
      <w:r>
        <w:rPr>
          <w:rFonts w:ascii="Times New Roman" w:hAnsi="Times New Roman"/>
          <w:b/>
          <w:color w:val="0F172A"/>
          <w:sz w:val="24"/>
        </w:rPr>
        <w:t xml:space="preserve">Figure 9.1 Technical Analysis &amp; Evaluation Evidence: </w:t>
      </w:r>
      <w:r>
        <w:rPr>
          <w:rFonts w:ascii="Times New Roman" w:hAnsi="Times New Roman"/>
          <w:color w:val="1E293B"/>
          <w:sz w:val="24"/>
        </w:rPr>
        <w:t>Figure 9.1 displays the SCM Change Management Register and CCB review interface. The ledger documents the sixteen formal Change Requests, detailing unique CR codes, requester identities, impacted modules, priority classifications (Critical, High, Medium, Low), CCB review decisions, target branches, and bound Git commit hashes. This proves that every code modification is preceded by authorized change control documentation.</w:t>
      </w:r>
    </w:p>
    <w:p>
      <w:pPr>
        <w:pStyle w:val="Heading1"/>
        <w:keepNext/>
        <w:spacing w:before="360" w:after="120"/>
      </w:pPr>
      <w:r>
        <w:rPr>
          <w:rFonts w:ascii="Times New Roman" w:hAnsi="Times New Roman"/>
          <w:b/>
          <w:color w:val="0F172A"/>
          <w:sz w:val="30"/>
        </w:rPr>
        <w:t>Section 10 — Problem Tracking</w:t>
      </w:r>
    </w:p>
    <w:p>
      <w:pPr>
        <w:spacing w:line="324" w:lineRule="auto" w:after="120"/>
        <w:jc w:val="both"/>
      </w:pPr>
      <w:r>
        <w:rPr>
          <w:rFonts w:ascii="Times New Roman" w:hAnsi="Times New Roman"/>
          <w:color w:val="1E293B"/>
          <w:sz w:val="24"/>
        </w:rPr>
        <w:t>Problem Tracking automates the identification, recording, investigation, and resolution of software defects arising during automated build and test cycles. When an automated Maven test fails in Jenkins, CommitSleuth intercepts the Surefire test report and console output, extracts the exact assertion failure and line number, and automatically generates an incident record in the problems register.</w:t>
      </w:r>
    </w:p>
    <w:p>
      <w:pPr>
        <w:spacing w:line="324" w:lineRule="auto" w:after="120"/>
        <w:jc w:val="both"/>
      </w:pPr>
      <w:r>
        <w:rPr>
          <w:rFonts w:ascii="Times New Roman" w:hAnsi="Times New Roman"/>
          <w:color w:val="1E293B"/>
          <w:sz w:val="24"/>
        </w:rPr>
        <w:t>In the central demonstration scenario, Build #128 fails due to an intentional defect introduced in Calculator.java, causing CalculatorTest to fail with an AssertionFailedError. CommitSleuth attributes this failure to candidate commit 9297e33 with 88.5% confidence and automatically creates problem record BUG-024. The problem record progresses through a formal SCM lifecycle: Open ➔ Investigating ➔ Fix Submitted ➔ Verification Pending ➔ Resolved. A defect cannot be prematurely closed by simple assertion; it transitions to Resolved only after a subsequent verification build (Build #129) successfully compiles and passes all unit tests.</w:t>
      </w:r>
    </w:p>
    <w:p>
      <w:pPr>
        <w:keepNext/>
        <w:spacing w:before="160" w:after="80"/>
        <w:jc w:val="center"/>
      </w:pPr>
      <w:r>
        <w:drawing>
          <wp:inline xmlns:a="http://schemas.openxmlformats.org/drawingml/2006/main" xmlns:pic="http://schemas.openxmlformats.org/drawingml/2006/picture">
            <wp:extent cx="5486400" cy="3550024"/>
            <wp:docPr id="10" name="Picture 10"/>
            <wp:cNvGraphicFramePr>
              <a:graphicFrameLocks noChangeAspect="1"/>
            </wp:cNvGraphicFramePr>
            <a:graphic>
              <a:graphicData uri="http://schemas.openxmlformats.org/drawingml/2006/picture">
                <pic:pic>
                  <pic:nvPicPr>
                    <pic:cNvPr id="0" name="git_07_failure_tracking_roadmap.png"/>
                    <pic:cNvPicPr/>
                  </pic:nvPicPr>
                  <pic:blipFill>
                    <a:blip r:embed="rId20"/>
                    <a:stretch>
                      <a:fillRect/>
                    </a:stretch>
                  </pic:blipFill>
                  <pic:spPr>
                    <a:xfrm>
                      <a:off x="0" y="0"/>
                      <a:ext cx="5486400" cy="3550024"/>
                    </a:xfrm>
                    <a:prstGeom prst="rect"/>
                  </pic:spPr>
                </pic:pic>
              </a:graphicData>
            </a:graphic>
          </wp:inline>
        </w:drawing>
      </w:r>
    </w:p>
    <w:p>
      <w:pPr>
        <w:keepNext/>
        <w:spacing w:before="40" w:after="120"/>
        <w:jc w:val="center"/>
      </w:pPr>
      <w:r>
        <w:rPr>
          <w:rFonts w:ascii="Times New Roman" w:hAnsi="Times New Roman"/>
          <w:b/>
          <w:i/>
          <w:color w:val="334155"/>
          <w:sz w:val="21"/>
        </w:rPr>
        <w:t>Figure 10.1: SCM ROADMAP: END-TO-END BUILD FAILURE TRACKING &amp; ROOT-CAUSE RESOLUTION</w:t>
      </w:r>
    </w:p>
    <w:p>
      <w:pPr>
        <w:spacing w:line="324" w:lineRule="auto" w:after="200"/>
        <w:jc w:val="both"/>
      </w:pPr>
      <w:r>
        <w:rPr>
          <w:rFonts w:ascii="Times New Roman" w:hAnsi="Times New Roman"/>
          <w:b/>
          <w:color w:val="0F172A"/>
          <w:sz w:val="24"/>
        </w:rPr>
        <w:t xml:space="preserve">Figure 10.1 Technical Analysis &amp; Evaluation Evidence: </w:t>
      </w:r>
      <w:r>
        <w:rPr>
          <w:rFonts w:ascii="Times New Roman" w:hAnsi="Times New Roman"/>
          <w:color w:val="1E293B"/>
          <w:sz w:val="24"/>
        </w:rPr>
        <w:t>Figure 10.1 illustrates the comprehensive 9-stage failure tracking roadmap implemented in CommitSleuth. It maps how code transitions from local developer commits through automated CI execution, failure capture, heuristic blame attribution (88.5% confidence for BUG-024), real-time alerts, developer root-cause diagnosis, verified corrective commits (Build #129), and formal SCM promotional gate clearance.</w:t>
      </w:r>
    </w:p>
    <w:p>
      <w:pPr>
        <w:keepNext/>
        <w:spacing w:before="160" w:after="80"/>
        <w:jc w:val="center"/>
      </w:pPr>
      <w:r>
        <w:drawing>
          <wp:inline xmlns:a="http://schemas.openxmlformats.org/drawingml/2006/main" xmlns:pic="http://schemas.openxmlformats.org/drawingml/2006/picture">
            <wp:extent cx="5486400" cy="3114278"/>
            <wp:docPr id="11" name="Picture 11"/>
            <wp:cNvGraphicFramePr>
              <a:graphicFrameLocks noChangeAspect="1"/>
            </wp:cNvGraphicFramePr>
            <a:graphic>
              <a:graphicData uri="http://schemas.openxmlformats.org/drawingml/2006/picture">
                <pic:pic>
                  <pic:nvPicPr>
                    <pic:cNvPr id="0" name="fig03_problem_tracking.png"/>
                    <pic:cNvPicPr/>
                  </pic:nvPicPr>
                  <pic:blipFill>
                    <a:blip r:embed="rId21"/>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10.2: SCREENSHOT 10: WEB APPLICATION — PROBLEM TRACKING REGISTER (BUG-024)</w:t>
      </w:r>
    </w:p>
    <w:p>
      <w:pPr>
        <w:spacing w:line="324" w:lineRule="auto" w:after="200"/>
        <w:jc w:val="both"/>
      </w:pPr>
      <w:r>
        <w:rPr>
          <w:rFonts w:ascii="Times New Roman" w:hAnsi="Times New Roman"/>
          <w:b/>
          <w:color w:val="0F172A"/>
          <w:sz w:val="24"/>
        </w:rPr>
        <w:t xml:space="preserve">Figure 10.2 Technical Analysis &amp; Evaluation Evidence: </w:t>
      </w:r>
      <w:r>
        <w:rPr>
          <w:rFonts w:ascii="Times New Roman" w:hAnsi="Times New Roman"/>
          <w:color w:val="1E293B"/>
          <w:sz w:val="24"/>
        </w:rPr>
        <w:t>Figure 10.2 illustrates the automated Problem Tracking register. The ledger records problem record BUG-024, displaying the failing build number (#128), failure category (JUnit assertion error), suspect commit hash (9297e33), attribution confidence score (88.5%), assigned developer (Prakash Raj), and real-time lifecycle progression states. This proves automated defect incident generation directly from CI pipeline breakages.</w:t>
      </w:r>
    </w:p>
    <w:p>
      <w:pPr>
        <w:keepNext/>
        <w:spacing w:before="160" w:after="80"/>
        <w:jc w:val="center"/>
      </w:pPr>
      <w:r>
        <w:drawing>
          <wp:inline xmlns:a="http://schemas.openxmlformats.org/drawingml/2006/main" xmlns:pic="http://schemas.openxmlformats.org/drawingml/2006/picture">
            <wp:extent cx="5486400" cy="3114278"/>
            <wp:docPr id="12" name="Picture 12"/>
            <wp:cNvGraphicFramePr>
              <a:graphicFrameLocks noChangeAspect="1"/>
            </wp:cNvGraphicFramePr>
            <a:graphic>
              <a:graphicData uri="http://schemas.openxmlformats.org/drawingml/2006/picture">
                <pic:pic>
                  <pic:nvPicPr>
                    <pic:cNvPr id="0" name="fig04_failure_attribution.png"/>
                    <pic:cNvPicPr/>
                  </pic:nvPicPr>
                  <pic:blipFill>
                    <a:blip r:embed="rId22"/>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10.3: SCREENSHOT 8: WEB APPLICATION — ROOT-CAUSE INVESTIGATION &amp; FAILURE ATTRIBUTION</w:t>
      </w:r>
    </w:p>
    <w:p>
      <w:pPr>
        <w:spacing w:line="324" w:lineRule="auto" w:after="200"/>
        <w:jc w:val="both"/>
      </w:pPr>
      <w:r>
        <w:rPr>
          <w:rFonts w:ascii="Times New Roman" w:hAnsi="Times New Roman"/>
          <w:b/>
          <w:color w:val="0F172A"/>
          <w:sz w:val="24"/>
        </w:rPr>
        <w:t xml:space="preserve">Figure 10.3 Technical Analysis &amp; Evaluation Evidence: </w:t>
      </w:r>
      <w:r>
        <w:rPr>
          <w:rFonts w:ascii="Times New Roman" w:hAnsi="Times New Roman"/>
          <w:color w:val="1E293B"/>
          <w:sz w:val="24"/>
        </w:rPr>
        <w:t>Figure 10.3 illustrates the interactive Failure Attribution and Root-Cause Diagnostics interface for Build #128. The view provides a syntax-highlighted terminal log viewer showing exact JUnit assertions in red, a structured Root Cause Card, an evidence breakdown showing mathematical score contributions across candidate commits, and a recommended code diff showing the precise fix required in Calculator.java. This proves explainable heuristic scoring and rapid developer remediation.</w:t>
      </w:r>
    </w:p>
    <w:p>
      <w:pPr>
        <w:pStyle w:val="Heading1"/>
        <w:keepNext/>
        <w:spacing w:before="360" w:after="120"/>
      </w:pPr>
      <w:r>
        <w:rPr>
          <w:rFonts w:ascii="Times New Roman" w:hAnsi="Times New Roman"/>
          <w:b/>
          <w:color w:val="0F172A"/>
          <w:sz w:val="30"/>
        </w:rPr>
        <w:t>Section 11 — Promotional Management</w:t>
      </w:r>
    </w:p>
    <w:p>
      <w:pPr>
        <w:spacing w:line="324" w:lineRule="auto" w:after="120"/>
        <w:jc w:val="both"/>
      </w:pPr>
      <w:r>
        <w:rPr>
          <w:rFonts w:ascii="Times New Roman" w:hAnsi="Times New Roman"/>
          <w:color w:val="1E293B"/>
          <w:sz w:val="24"/>
        </w:rPr>
        <w:t>Promotional Management controls the staged migration of software configuration baselines across progressive operational environments: Development ➔ Testing ➔ Release Candidate ➔ Production. Each environment transition represents an increased level of verification, stability, and organizational commitment.</w:t>
      </w:r>
    </w:p>
    <w:p>
      <w:pPr>
        <w:spacing w:line="324" w:lineRule="auto" w:after="120"/>
        <w:jc w:val="both"/>
      </w:pPr>
      <w:r>
        <w:rPr>
          <w:rFonts w:ascii="Times New Roman" w:hAnsi="Times New Roman"/>
          <w:color w:val="1E293B"/>
          <w:sz w:val="24"/>
        </w:rPr>
        <w:t>CommitSleuth enforces strict promotional quality gates. A failing build (such as Build #128) is strictly BLOCKED from advancing to higher environments, and the blocking justification (e.g., 'Automated unit tests did not pass') is permanently logged. Only when a verified passing build (Build #129) is achieved, accompanied by an approved Change Request (CR-010) and passing configuration audits, does the promotion gate evaluate to PASSED. The promotion ledger permanently records the transition date, source and target levels, authorizing authority (CCB), gate decision, and associated release tag.</w:t>
      </w:r>
    </w:p>
    <w:p>
      <w:pPr>
        <w:keepNext/>
        <w:spacing w:before="160" w:after="80"/>
        <w:jc w:val="center"/>
      </w:pPr>
      <w:r>
        <w:drawing>
          <wp:inline xmlns:a="http://schemas.openxmlformats.org/drawingml/2006/main" xmlns:pic="http://schemas.openxmlformats.org/drawingml/2006/picture">
            <wp:extent cx="5486400" cy="3114278"/>
            <wp:docPr id="13" name="Picture 13"/>
            <wp:cNvGraphicFramePr>
              <a:graphicFrameLocks noChangeAspect="1"/>
            </wp:cNvGraphicFramePr>
            <a:graphic>
              <a:graphicData uri="http://schemas.openxmlformats.org/drawingml/2006/picture">
                <pic:pic>
                  <pic:nvPicPr>
                    <pic:cNvPr id="0" name="fig08_promotions.png"/>
                    <pic:cNvPicPr/>
                  </pic:nvPicPr>
                  <pic:blipFill>
                    <a:blip r:embed="rId23"/>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11.1: SCREENSHOT 14: WEB APPLICATION — PROMOTIONAL GATING &amp; ENVIRONMENT ADVANCEMENT</w:t>
      </w:r>
    </w:p>
    <w:p>
      <w:pPr>
        <w:spacing w:line="324" w:lineRule="auto" w:after="200"/>
        <w:jc w:val="both"/>
      </w:pPr>
      <w:r>
        <w:rPr>
          <w:rFonts w:ascii="Times New Roman" w:hAnsi="Times New Roman"/>
          <w:b/>
          <w:color w:val="0F172A"/>
          <w:sz w:val="24"/>
        </w:rPr>
        <w:t xml:space="preserve">Figure 11.1 Technical Analysis &amp; Evaluation Evidence: </w:t>
      </w:r>
      <w:r>
        <w:rPr>
          <w:rFonts w:ascii="Times New Roman" w:hAnsi="Times New Roman"/>
          <w:color w:val="1E293B"/>
          <w:sz w:val="24"/>
        </w:rPr>
        <w:t>Figure 11.1 demonstrates the Promotional Gate Ledger and quality gate evaluation interface. The ledger records successful environment promotions (PASSED) alongside blocked transitions (BLOCKED) with explicit verification rationales, ensuring unverified or defective code cannot reach production baselines.</w:t>
      </w:r>
    </w:p>
    <w:p>
      <w:pPr>
        <w:pStyle w:val="Heading1"/>
        <w:keepNext/>
        <w:spacing w:before="360" w:after="120"/>
      </w:pPr>
      <w:r>
        <w:rPr>
          <w:rFonts w:ascii="Times New Roman" w:hAnsi="Times New Roman"/>
          <w:b/>
          <w:color w:val="0F172A"/>
          <w:sz w:val="30"/>
        </w:rPr>
        <w:t>Section 12 — System Accounting</w:t>
      </w:r>
    </w:p>
    <w:p>
      <w:pPr>
        <w:spacing w:line="324" w:lineRule="auto" w:after="120"/>
        <w:jc w:val="both"/>
      </w:pPr>
      <w:r>
        <w:rPr>
          <w:rFonts w:ascii="Times New Roman" w:hAnsi="Times New Roman"/>
          <w:color w:val="1E293B"/>
          <w:sz w:val="24"/>
        </w:rPr>
        <w:t>System Accounting, or Configuration Status Accounting (CSA), provides an auditable, centralized record of the status, history, and traceability of all configuration items comprising the software system. It answers critical engineering questions regarding what configuration baseline is currently active, which changes have been approved and implemented, and what quality verification results correspond to each release.</w:t>
      </w:r>
    </w:p>
    <w:p>
      <w:pPr>
        <w:spacing w:line="324" w:lineRule="auto" w:after="120"/>
        <w:jc w:val="both"/>
      </w:pPr>
      <w:r>
        <w:rPr>
          <w:rFonts w:ascii="Times New Roman" w:hAnsi="Times New Roman"/>
          <w:color w:val="1E293B"/>
          <w:sz w:val="24"/>
        </w:rPr>
        <w:t>In CommitSleuth, CSA tracks 20 identified Configuration Items (CIs) categorized into Documentation (SRS, SCM Plan, Design Document), Source Code (Java services, Python analyzers), Build Configurations (pom.xml, Jenkinsfile), Database Components, and Release Packages. The system includes an automated status reporting engine (status_reporter.py) that generates structured Configuration Status Accounting Reports (CSAR) directly from the relational database and provides live CSV export capabilities (/report/csv) for external compliance audits.</w:t>
      </w:r>
    </w:p>
    <w:p>
      <w:pPr>
        <w:keepNext/>
        <w:spacing w:before="160" w:after="80"/>
        <w:jc w:val="center"/>
      </w:pPr>
      <w:r>
        <w:drawing>
          <wp:inline xmlns:a="http://schemas.openxmlformats.org/drawingml/2006/main" xmlns:pic="http://schemas.openxmlformats.org/drawingml/2006/picture">
            <wp:extent cx="5486400" cy="3114278"/>
            <wp:docPr id="14" name="Picture 14"/>
            <wp:cNvGraphicFramePr>
              <a:graphicFrameLocks noChangeAspect="1"/>
            </wp:cNvGraphicFramePr>
            <a:graphic>
              <a:graphicData uri="http://schemas.openxmlformats.org/drawingml/2006/picture">
                <pic:pic>
                  <pic:nvPicPr>
                    <pic:cNvPr id="0" name="fig06_ci_register.png"/>
                    <pic:cNvPicPr/>
                  </pic:nvPicPr>
                  <pic:blipFill>
                    <a:blip r:embed="rId24"/>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12.1: SCREENSHOT 12: WEB APPLICATION — CONFIGURATION ITEM (CI) REGISTER</w:t>
      </w:r>
    </w:p>
    <w:p>
      <w:pPr>
        <w:spacing w:line="324" w:lineRule="auto" w:after="200"/>
        <w:jc w:val="both"/>
      </w:pPr>
      <w:r>
        <w:rPr>
          <w:rFonts w:ascii="Times New Roman" w:hAnsi="Times New Roman"/>
          <w:b/>
          <w:color w:val="0F172A"/>
          <w:sz w:val="24"/>
        </w:rPr>
        <w:t xml:space="preserve">Figure 12.1 Technical Analysis &amp; Evaluation Evidence: </w:t>
      </w:r>
      <w:r>
        <w:rPr>
          <w:rFonts w:ascii="Times New Roman" w:hAnsi="Times New Roman"/>
          <w:color w:val="1E293B"/>
          <w:sz w:val="24"/>
        </w:rPr>
        <w:t>Figure 12.1 displays the Configuration Item Register documenting 20 formally controlled CIs. The table details CI codes (CI-01 through CI-20), semantic versions, lifecycle statuses (Baselined BL-01 to BL-05), assigned owners, approval authorities, categories, and modification timestamps.</w:t>
      </w:r>
    </w:p>
    <w:p>
      <w:pPr>
        <w:keepNext/>
        <w:spacing w:before="160" w:after="80"/>
        <w:jc w:val="center"/>
      </w:pPr>
      <w:r>
        <w:drawing>
          <wp:inline xmlns:a="http://schemas.openxmlformats.org/drawingml/2006/main" xmlns:pic="http://schemas.openxmlformats.org/drawingml/2006/picture">
            <wp:extent cx="5486400" cy="3114278"/>
            <wp:docPr id="15" name="Picture 15"/>
            <wp:cNvGraphicFramePr>
              <a:graphicFrameLocks noChangeAspect="1"/>
            </wp:cNvGraphicFramePr>
            <a:graphic>
              <a:graphicData uri="http://schemas.openxmlformats.org/drawingml/2006/picture">
                <pic:pic>
                  <pic:nvPicPr>
                    <pic:cNvPr id="0" name="fig10_csar_report.png"/>
                    <pic:cNvPicPr/>
                  </pic:nvPicPr>
                  <pic:blipFill>
                    <a:blip r:embed="rId25"/>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12.2: SCREENSHOT 16: WEB APPLICATION — CONFIGURATION STATUS ACCOUNTING REPORT (CSAR)</w:t>
      </w:r>
    </w:p>
    <w:p>
      <w:pPr>
        <w:spacing w:line="324" w:lineRule="auto" w:after="200"/>
        <w:jc w:val="both"/>
      </w:pPr>
      <w:r>
        <w:rPr>
          <w:rFonts w:ascii="Times New Roman" w:hAnsi="Times New Roman"/>
          <w:b/>
          <w:color w:val="0F172A"/>
          <w:sz w:val="24"/>
        </w:rPr>
        <w:t xml:space="preserve">Figure 12.2 Technical Analysis &amp; Evaluation Evidence: </w:t>
      </w:r>
      <w:r>
        <w:rPr>
          <w:rFonts w:ascii="Times New Roman" w:hAnsi="Times New Roman"/>
          <w:color w:val="1E293B"/>
          <w:sz w:val="24"/>
        </w:rPr>
        <w:t>Figure 12.2 displays the generated Configuration Status Accounting Report output. The report provides aggregate metrics including total controlled CIs, Change Request approval ratios, CI/CD pipeline pass/fail statistics, open versus resolved problem counts, and cryptographic release tag references.</w:t>
      </w:r>
    </w:p>
    <w:p>
      <w:pPr>
        <w:pStyle w:val="Heading1"/>
        <w:keepNext/>
        <w:spacing w:before="360" w:after="120"/>
      </w:pPr>
      <w:r>
        <w:rPr>
          <w:rFonts w:ascii="Times New Roman" w:hAnsi="Times New Roman"/>
          <w:b/>
          <w:color w:val="0F172A"/>
          <w:sz w:val="30"/>
        </w:rPr>
        <w:t>Section 13 — CAS (Configuration Auditing System)</w:t>
      </w:r>
    </w:p>
    <w:p>
      <w:pPr>
        <w:spacing w:line="324" w:lineRule="auto" w:after="120"/>
        <w:jc w:val="both"/>
      </w:pPr>
      <w:r>
        <w:rPr>
          <w:rFonts w:ascii="Times New Roman" w:hAnsi="Times New Roman"/>
          <w:color w:val="1E293B"/>
          <w:sz w:val="24"/>
        </w:rPr>
        <w:t>The Configuration Auditing System (CAS) performs independent, objective evaluations to verify that the software product satisfies its documented functional requirements and that its physical implementation precisely mirrors approved baselines. CommitSleuth implements both categories of formal SCM audits:</w:t>
      </w:r>
    </w:p>
    <w:p>
      <w:pPr>
        <w:spacing w:line="324" w:lineRule="auto" w:after="120"/>
        <w:jc w:val="both"/>
      </w:pPr>
      <w:r>
        <w:rPr>
          <w:rFonts w:ascii="Times New Roman" w:hAnsi="Times New Roman"/>
          <w:color w:val="1E293B"/>
          <w:sz w:val="24"/>
        </w:rPr>
        <w:t>1. Functional Configuration Audit (FCA): Verifies that all documented functional requirements (FR-01 through FR-14) have been implemented and satisfied through unit and integration testing. This includes auditing test assertion logs, branch naming compliance, and ranking engine accuracy.</w:t>
        <w:br/>
        <w:t>2. Physical Configuration Audit (PCA): Verifies the physical presence, packaging, and version integrity of approved configuration items. This includes auditing pinned Maven dependencies in pom.xml, deployment documentation in README.md, database schema parity, and cryptographic SHA-256 checksums of compiled release packages.</w:t>
        <w:br/>
        <w:t>All audit observations (AO-01 through AO-07) are formally tracked in the database with severity classifications (Critical, Major, Minor, Conforming), assigned owners, and verified closure dates.</w:t>
      </w:r>
    </w:p>
    <w:p>
      <w:pPr>
        <w:keepNext/>
        <w:spacing w:before="160" w:after="80"/>
        <w:jc w:val="center"/>
      </w:pPr>
      <w:r>
        <w:drawing>
          <wp:inline xmlns:a="http://schemas.openxmlformats.org/drawingml/2006/main" xmlns:pic="http://schemas.openxmlformats.org/drawingml/2006/picture">
            <wp:extent cx="5486400" cy="3114278"/>
            <wp:docPr id="16" name="Picture 16"/>
            <wp:cNvGraphicFramePr>
              <a:graphicFrameLocks noChangeAspect="1"/>
            </wp:cNvGraphicFramePr>
            <a:graphic>
              <a:graphicData uri="http://schemas.openxmlformats.org/drawingml/2006/picture">
                <pic:pic>
                  <pic:nvPicPr>
                    <pic:cNvPr id="0" name="fig09_auditing_fca_pca.png"/>
                    <pic:cNvPicPr/>
                  </pic:nvPicPr>
                  <pic:blipFill>
                    <a:blip r:embed="rId26"/>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13.1: SCREENSHOT 15: WEB APPLICATION — CONFIGURATION AUDITING (FCA &amp; PCA LEDGER)</w:t>
      </w:r>
    </w:p>
    <w:p>
      <w:pPr>
        <w:spacing w:line="324" w:lineRule="auto" w:after="200"/>
        <w:jc w:val="both"/>
      </w:pPr>
      <w:r>
        <w:rPr>
          <w:rFonts w:ascii="Times New Roman" w:hAnsi="Times New Roman"/>
          <w:b/>
          <w:color w:val="0F172A"/>
          <w:sz w:val="24"/>
        </w:rPr>
        <w:t xml:space="preserve">Figure 13.1 Technical Analysis &amp; Evaluation Evidence: </w:t>
      </w:r>
      <w:r>
        <w:rPr>
          <w:rFonts w:ascii="Times New Roman" w:hAnsi="Times New Roman"/>
          <w:color w:val="1E293B"/>
          <w:sz w:val="24"/>
        </w:rPr>
        <w:t>Figure 13.1 shows the Configuration Auditing interface displaying recorded audit observations AO-01 through AO-07. Each check details audit category (FCA or PCA), checklist criteria, findings, verification evidence, severity ratings, designated owners, and closure statuses.</w:t>
      </w:r>
    </w:p>
    <w:p>
      <w:pPr>
        <w:pStyle w:val="Heading1"/>
        <w:keepNext/>
        <w:spacing w:before="360" w:after="120"/>
      </w:pPr>
      <w:r>
        <w:rPr>
          <w:rFonts w:ascii="Times New Roman" w:hAnsi="Times New Roman"/>
          <w:b/>
          <w:color w:val="0F172A"/>
          <w:sz w:val="30"/>
        </w:rPr>
        <w:t>Section 14 — Access and Security</w:t>
      </w:r>
    </w:p>
    <w:p>
      <w:pPr>
        <w:spacing w:line="324" w:lineRule="auto" w:after="120"/>
        <w:jc w:val="both"/>
      </w:pPr>
      <w:r>
        <w:rPr>
          <w:rFonts w:ascii="Times New Roman" w:hAnsi="Times New Roman"/>
          <w:color w:val="1E293B"/>
          <w:sz w:val="24"/>
        </w:rPr>
        <w:t>Access and Security safeguards software configuration items, audit records, and deployment gates from unauthorized modification. CommitSleuth implements Role-Based Access Control (RBAC) enforced at both the Flask backend route level and user session tier.</w:t>
      </w:r>
    </w:p>
    <w:p>
      <w:pPr>
        <w:spacing w:line="324" w:lineRule="auto" w:after="120"/>
        <w:jc w:val="both"/>
      </w:pPr>
      <w:r>
        <w:rPr>
          <w:rFonts w:ascii="Times New Roman" w:hAnsi="Times New Roman"/>
          <w:color w:val="1E293B"/>
          <w:sz w:val="24"/>
        </w:rPr>
        <w:t>The system defines three distinct operational roles: Administrator (full control over scoring weights, CR approvals, and promotion gates), Maintainer/Developer (authorized to view builds, investigate failures, submit CRs, and push fixes), and Viewer/Auditor (restricted to read-only views of dashboards and status reports). Additionally, an immutable audit trail table (audit_trail) automatically logs every user authentication, role switch, promotion gate evaluation, and configuration edit with precise timestamps and usernames.</w:t>
      </w:r>
    </w:p>
    <w:p>
      <w:pPr>
        <w:keepNext/>
        <w:spacing w:before="160" w:after="80"/>
        <w:jc w:val="center"/>
      </w:pPr>
      <w:r>
        <w:drawing>
          <wp:inline xmlns:a="http://schemas.openxmlformats.org/drawingml/2006/main" xmlns:pic="http://schemas.openxmlformats.org/drawingml/2006/picture">
            <wp:extent cx="5486400" cy="3114278"/>
            <wp:docPr id="17" name="Picture 17"/>
            <wp:cNvGraphicFramePr>
              <a:graphicFrameLocks noChangeAspect="1"/>
            </wp:cNvGraphicFramePr>
            <a:graphic>
              <a:graphicData uri="http://schemas.openxmlformats.org/drawingml/2006/picture">
                <pic:pic>
                  <pic:nvPicPr>
                    <pic:cNvPr id="0" name="fig12_access_security_audit.png"/>
                    <pic:cNvPicPr/>
                  </pic:nvPicPr>
                  <pic:blipFill>
                    <a:blip r:embed="rId27"/>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14.1: SCREENSHOT 18: WEB APPLICATION — ACCESS CONTROL &amp; SECURITY AUDIT TRAIL</w:t>
      </w:r>
    </w:p>
    <w:p>
      <w:pPr>
        <w:spacing w:line="324" w:lineRule="auto" w:after="200"/>
        <w:jc w:val="both"/>
      </w:pPr>
      <w:r>
        <w:rPr>
          <w:rFonts w:ascii="Times New Roman" w:hAnsi="Times New Roman"/>
          <w:b/>
          <w:color w:val="0F172A"/>
          <w:sz w:val="24"/>
        </w:rPr>
        <w:t xml:space="preserve">Figure 14.1 Technical Analysis &amp; Evaluation Evidence: </w:t>
      </w:r>
      <w:r>
        <w:rPr>
          <w:rFonts w:ascii="Times New Roman" w:hAnsi="Times New Roman"/>
          <w:color w:val="1E293B"/>
          <w:sz w:val="24"/>
        </w:rPr>
        <w:t>Figure 14.1 displays the immutable SCM Audit Trail interface. The chronological ledger logs user session authentications, role switches, promotion gate evaluations, and configuration modifications with precise timestamps, acting personas, and operational details.</w:t>
      </w:r>
    </w:p>
    <w:p>
      <w:pPr>
        <w:pStyle w:val="Heading1"/>
        <w:keepNext/>
        <w:spacing w:before="360" w:after="120"/>
      </w:pPr>
      <w:r>
        <w:rPr>
          <w:rFonts w:ascii="Times New Roman" w:hAnsi="Times New Roman"/>
          <w:b/>
          <w:color w:val="0F172A"/>
          <w:sz w:val="30"/>
        </w:rPr>
        <w:t>Section 15 — Customization</w:t>
      </w:r>
    </w:p>
    <w:p>
      <w:pPr>
        <w:spacing w:line="324" w:lineRule="auto" w:after="120"/>
        <w:jc w:val="both"/>
      </w:pPr>
      <w:r>
        <w:rPr>
          <w:rFonts w:ascii="Times New Roman" w:hAnsi="Times New Roman"/>
          <w:color w:val="1E293B"/>
          <w:sz w:val="24"/>
        </w:rPr>
        <w:t>Customization addresses the need for an SCM tool to adapt to diverse organizational workflows, project sizes, and failure characteristics without modifying core application code. In CommitSleuth, failure attribution relies on a multi-factor weighted scoring model whose weights are externalized in scoring_config.yaml.</w:t>
      </w:r>
    </w:p>
    <w:p>
      <w:pPr>
        <w:spacing w:line="324" w:lineRule="auto" w:after="120"/>
        <w:jc w:val="both"/>
      </w:pPr>
      <w:r>
        <w:rPr>
          <w:rFonts w:ascii="Times New Roman" w:hAnsi="Times New Roman"/>
          <w:color w:val="1E293B"/>
          <w:sz w:val="24"/>
        </w:rPr>
        <w:t>The heuristic engine evaluates candidate commits against four configurable factors:</w:t>
        <w:br/>
        <w:t>1. File Match Weight (default 0.55): Evaluates direct name matching between candidate changeset files and classes referenced in failing test traces.</w:t>
        <w:br/>
        <w:t>2. Dependency Change Weight (default 0.25): Assigns weight to pom.xml modifications when a dependency resolution failure occurs.</w:t>
        <w:br/>
        <w:t>3. Recency Weight (default 0.10): Applies linear decay based on commit chronological order in the candidate batch.</w:t>
        <w:br/>
        <w:t>4. Change Size Weight (default 0.10): Evaluates the breadth and isolation of files altered in the commit.</w:t>
        <w:br/>
        <w:t>Through the web customization portal, project leads can adjust these weights dynamically, update repository endpoints, and modify Jenkins webhook URLs. All updates are persisted directly to scoring_config.yaml and take immediate effect.</w:t>
      </w:r>
    </w:p>
    <w:p>
      <w:pPr>
        <w:keepNext/>
        <w:spacing w:before="160" w:after="80"/>
        <w:jc w:val="center"/>
      </w:pPr>
      <w:r>
        <w:drawing>
          <wp:inline xmlns:a="http://schemas.openxmlformats.org/drawingml/2006/main" xmlns:pic="http://schemas.openxmlformats.org/drawingml/2006/picture">
            <wp:extent cx="5486400" cy="3114278"/>
            <wp:docPr id="18" name="Picture 18"/>
            <wp:cNvGraphicFramePr>
              <a:graphicFrameLocks noChangeAspect="1"/>
            </wp:cNvGraphicFramePr>
            <a:graphic>
              <a:graphicData uri="http://schemas.openxmlformats.org/drawingml/2006/picture">
                <pic:pic>
                  <pic:nvPicPr>
                    <pic:cNvPr id="0" name="fig11_customization_config.png"/>
                    <pic:cNvPicPr/>
                  </pic:nvPicPr>
                  <pic:blipFill>
                    <a:blip r:embed="rId28"/>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15.1: SCREENSHOT 17: WEB APPLICATION — CUSTOMIZATION &amp; HEURISTIC WEIGHT CONFIGURATION</w:t>
      </w:r>
    </w:p>
    <w:p>
      <w:pPr>
        <w:spacing w:line="324" w:lineRule="auto" w:after="200"/>
        <w:jc w:val="both"/>
      </w:pPr>
      <w:r>
        <w:rPr>
          <w:rFonts w:ascii="Times New Roman" w:hAnsi="Times New Roman"/>
          <w:b/>
          <w:color w:val="0F172A"/>
          <w:sz w:val="24"/>
        </w:rPr>
        <w:t xml:space="preserve">Figure 15.1 Technical Analysis &amp; Evaluation Evidence: </w:t>
      </w:r>
      <w:r>
        <w:rPr>
          <w:rFonts w:ascii="Times New Roman" w:hAnsi="Times New Roman"/>
          <w:color w:val="1E293B"/>
          <w:sz w:val="24"/>
        </w:rPr>
        <w:t>Figure 15.1 displays the Customization interface. Project administrators can adjust attribution scoring weights, configure rollback thresholds, update GitHub repository URLs, and modify Jenkins CI webhook endpoints without code alterations or server restarts.</w:t>
      </w:r>
    </w:p>
    <w:p>
      <w:pPr>
        <w:pStyle w:val="Heading1"/>
        <w:keepNext/>
        <w:spacing w:before="360" w:after="120"/>
      </w:pPr>
      <w:r>
        <w:rPr>
          <w:rFonts w:ascii="Times New Roman" w:hAnsi="Times New Roman"/>
          <w:b/>
          <w:color w:val="0F172A"/>
          <w:sz w:val="30"/>
        </w:rPr>
        <w:t>Section 16 — Web Enabling</w:t>
      </w:r>
    </w:p>
    <w:p>
      <w:pPr>
        <w:spacing w:line="324" w:lineRule="auto" w:after="120"/>
        <w:jc w:val="both"/>
      </w:pPr>
      <w:r>
        <w:rPr>
          <w:rFonts w:ascii="Times New Roman" w:hAnsi="Times New Roman"/>
          <w:color w:val="1E293B"/>
          <w:sz w:val="24"/>
        </w:rPr>
        <w:t>Web Enabling delivers all SCM capabilities, metrics, and failure investigations through an intuitive, universally accessible web browser interface. Rather than requiring developers to inspect raw command-line logs or navigate disparate tool consoles, CommitSleuth consolidates all project status information into a single responsive web portal.</w:t>
      </w:r>
    </w:p>
    <w:p>
      <w:pPr>
        <w:spacing w:line="324" w:lineRule="auto" w:after="120"/>
        <w:jc w:val="both"/>
      </w:pPr>
      <w:r>
        <w:rPr>
          <w:rFonts w:ascii="Times New Roman" w:hAnsi="Times New Roman"/>
          <w:color w:val="1E293B"/>
          <w:sz w:val="24"/>
        </w:rPr>
        <w:t>Operating as a Flask WSGI service on port 5000, CommitSleuth provides thirteen responsive views covering the entire SCM lifecycle. In particular, the CI/CD build history module (/builds) offers an interactive build matrix detailing pipeline executions across branches, commit authors, test outcomes, and attribution links. Authenticated REST APIs (/api/builds, /api/demo/run-failure, /api/demo/run-fix) further web-enable the platform for automated integration with CI servers.</w:t>
      </w:r>
    </w:p>
    <w:p>
      <w:pPr>
        <w:keepNext/>
        <w:spacing w:before="160" w:after="80"/>
        <w:jc w:val="center"/>
      </w:pPr>
      <w:r>
        <w:drawing>
          <wp:inline xmlns:a="http://schemas.openxmlformats.org/drawingml/2006/main" xmlns:pic="http://schemas.openxmlformats.org/drawingml/2006/picture">
            <wp:extent cx="5486400" cy="3114278"/>
            <wp:docPr id="19" name="Picture 19"/>
            <wp:cNvGraphicFramePr>
              <a:graphicFrameLocks noChangeAspect="1"/>
            </wp:cNvGraphicFramePr>
            <a:graphic>
              <a:graphicData uri="http://schemas.openxmlformats.org/drawingml/2006/picture">
                <pic:pic>
                  <pic:nvPicPr>
                    <pic:cNvPr id="0" name="fig02_build_history.png"/>
                    <pic:cNvPicPr/>
                  </pic:nvPicPr>
                  <pic:blipFill>
                    <a:blip r:embed="rId29"/>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16.1: SCREENSHOT 9: WEB APPLICATION — CI/CD BUILD HISTORY &amp; FAILURE MATRIX</w:t>
      </w:r>
    </w:p>
    <w:p>
      <w:pPr>
        <w:spacing w:line="324" w:lineRule="auto" w:after="200"/>
        <w:jc w:val="both"/>
      </w:pPr>
      <w:r>
        <w:rPr>
          <w:rFonts w:ascii="Times New Roman" w:hAnsi="Times New Roman"/>
          <w:b/>
          <w:color w:val="0F172A"/>
          <w:sz w:val="24"/>
        </w:rPr>
        <w:t xml:space="preserve">Figure 16.1 Technical Analysis &amp; Evaluation Evidence: </w:t>
      </w:r>
      <w:r>
        <w:rPr>
          <w:rFonts w:ascii="Times New Roman" w:hAnsi="Times New Roman"/>
          <w:color w:val="1E293B"/>
          <w:sz w:val="24"/>
        </w:rPr>
        <w:t>Figure 16.1 illustrates the CI/CD Build History interface. The view details historical pipeline executions across main, develop, and feature branches, displaying commit SHAs, author badges, execution durations, test pass/fail counts, and direct links to automated failure attribution cards.</w:t>
      </w:r>
    </w:p>
    <w:p>
      <w:pPr>
        <w:pStyle w:val="Heading1"/>
        <w:keepNext/>
        <w:spacing w:before="360" w:after="120"/>
      </w:pPr>
      <w:r>
        <w:rPr>
          <w:rFonts w:ascii="Times New Roman" w:hAnsi="Times New Roman"/>
          <w:b/>
          <w:color w:val="0F172A"/>
          <w:sz w:val="30"/>
        </w:rPr>
        <w:t>Section 17 — Results, Testing, and Demonstration</w:t>
      </w:r>
    </w:p>
    <w:p>
      <w:pPr>
        <w:spacing w:line="324" w:lineRule="auto" w:after="120"/>
        <w:jc w:val="both"/>
      </w:pPr>
      <w:r>
        <w:rPr>
          <w:rFonts w:ascii="Times New Roman" w:hAnsi="Times New Roman"/>
          <w:color w:val="1E293B"/>
          <w:sz w:val="24"/>
        </w:rPr>
        <w:t>CommitSleuth has been rigorously validated through automated unit test suites, integration test suites, client-side git hook verifications, and interactive failure/fix demonstration sequences. Across all test executions, the platform achieved a 100% pass rate (20/20 Java JUnit 5 tests passed, 22/22 Python pytest tests passed).</w:t>
      </w:r>
    </w:p>
    <w:p>
      <w:pPr>
        <w:pStyle w:val="Heading2"/>
        <w:keepNext/>
        <w:spacing w:before="240" w:after="80"/>
      </w:pPr>
      <w:r>
        <w:rPr>
          <w:rFonts w:ascii="Times New Roman" w:hAnsi="Times New Roman"/>
          <w:b/>
          <w:color w:val="1E3A8A"/>
          <w:sz w:val="26"/>
        </w:rPr>
        <w:t>17.1 Automated Test Execution Results Matrix</w:t>
      </w:r>
    </w:p>
    <w:p>
      <w:pPr>
        <w:spacing w:line="324" w:lineRule="auto" w:after="120"/>
        <w:jc w:val="both"/>
      </w:pPr>
      <w:r>
        <w:rPr>
          <w:rFonts w:ascii="Times New Roman" w:hAnsi="Times New Roman"/>
          <w:color w:val="1E293B"/>
          <w:sz w:val="24"/>
        </w:rPr>
        <w:t>The following test-case table documents the verified execution results for core system modules, failure detection heuristics, promotional quality gates, and configuration auditing criteria:</w:t>
      </w:r>
    </w:p>
    <w:tbl>
      <w:tblPr>
        <w:tblW w:type="auto" w:w="0"/>
        <w:jc w:val="center"/>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1290"/>
        <w:gridCol w:w="1290"/>
        <w:gridCol w:w="1290"/>
        <w:gridCol w:w="1290"/>
        <w:gridCol w:w="1290"/>
        <w:gridCol w:w="1290"/>
        <w:gridCol w:w="1290"/>
      </w:tblGrid>
      <w:tr>
        <w:tc>
          <w:tcPr>
            <w:tcW w:type="dxa" w:w="1152"/>
            <w:tcMar>
              <w:top w:w="60" w:type="dxa"/>
              <w:bottom w:w="60" w:type="dxa"/>
              <w:left w:w="70" w:type="dxa"/>
              <w:right w:w="70" w:type="dxa"/>
            </w:tcMar>
            <w:shd w:val="clear" w:color="auto" w:fill="D9E1F2"/>
          </w:tcPr>
          <w:p>
            <w:r>
              <w:rPr>
                <w:rFonts w:ascii="Times New Roman" w:hAnsi="Times New Roman"/>
                <w:b/>
                <w:sz w:val="19"/>
              </w:rPr>
              <w:t>Test ID</w:t>
            </w:r>
          </w:p>
        </w:tc>
        <w:tc>
          <w:tcPr>
            <w:tcW w:type="dxa" w:w="1584"/>
            <w:tcMar>
              <w:top w:w="60" w:type="dxa"/>
              <w:bottom w:w="60" w:type="dxa"/>
              <w:left w:w="70" w:type="dxa"/>
              <w:right w:w="70" w:type="dxa"/>
            </w:tcMar>
            <w:shd w:val="clear" w:color="auto" w:fill="D9E1F2"/>
          </w:tcPr>
          <w:p>
            <w:r>
              <w:rPr>
                <w:rFonts w:ascii="Times New Roman" w:hAnsi="Times New Roman"/>
                <w:b/>
                <w:sz w:val="19"/>
              </w:rPr>
              <w:t>Module</w:t>
            </w:r>
          </w:p>
        </w:tc>
        <w:tc>
          <w:tcPr>
            <w:tcW w:type="dxa" w:w="2016"/>
            <w:tcMar>
              <w:top w:w="60" w:type="dxa"/>
              <w:bottom w:w="60" w:type="dxa"/>
              <w:left w:w="70" w:type="dxa"/>
              <w:right w:w="70" w:type="dxa"/>
            </w:tcMar>
            <w:shd w:val="clear" w:color="auto" w:fill="D9E1F2"/>
          </w:tcPr>
          <w:p>
            <w:r>
              <w:rPr>
                <w:rFonts w:ascii="Times New Roman" w:hAnsi="Times New Roman"/>
                <w:b/>
                <w:sz w:val="19"/>
              </w:rPr>
              <w:t>Test Scenario</w:t>
            </w:r>
          </w:p>
        </w:tc>
        <w:tc>
          <w:tcPr>
            <w:tcW w:type="dxa" w:w="1872"/>
            <w:tcMar>
              <w:top w:w="60" w:type="dxa"/>
              <w:bottom w:w="60" w:type="dxa"/>
              <w:left w:w="70" w:type="dxa"/>
              <w:right w:w="70" w:type="dxa"/>
            </w:tcMar>
            <w:shd w:val="clear" w:color="auto" w:fill="D9E1F2"/>
          </w:tcPr>
          <w:p>
            <w:r>
              <w:rPr>
                <w:rFonts w:ascii="Times New Roman" w:hAnsi="Times New Roman"/>
                <w:b/>
                <w:sz w:val="19"/>
              </w:rPr>
              <w:t>Expected Result</w:t>
            </w:r>
          </w:p>
        </w:tc>
        <w:tc>
          <w:tcPr>
            <w:tcW w:type="dxa" w:w="1872"/>
            <w:tcMar>
              <w:top w:w="60" w:type="dxa"/>
              <w:bottom w:w="60" w:type="dxa"/>
              <w:left w:w="70" w:type="dxa"/>
              <w:right w:w="70" w:type="dxa"/>
            </w:tcMar>
            <w:shd w:val="clear" w:color="auto" w:fill="D9E1F2"/>
          </w:tcPr>
          <w:p>
            <w:r>
              <w:rPr>
                <w:rFonts w:ascii="Times New Roman" w:hAnsi="Times New Roman"/>
                <w:b/>
                <w:sz w:val="19"/>
              </w:rPr>
              <w:t>Actual Result</w:t>
            </w:r>
          </w:p>
        </w:tc>
        <w:tc>
          <w:tcPr>
            <w:tcW w:type="dxa" w:w="1008"/>
            <w:tcMar>
              <w:top w:w="60" w:type="dxa"/>
              <w:bottom w:w="60" w:type="dxa"/>
              <w:left w:w="70" w:type="dxa"/>
              <w:right w:w="70" w:type="dxa"/>
            </w:tcMar>
            <w:shd w:val="clear" w:color="auto" w:fill="D9E1F2"/>
          </w:tcPr>
          <w:p>
            <w:r>
              <w:rPr>
                <w:rFonts w:ascii="Times New Roman" w:hAnsi="Times New Roman"/>
                <w:b/>
                <w:sz w:val="19"/>
              </w:rPr>
              <w:t>Status</w:t>
            </w:r>
          </w:p>
        </w:tc>
        <w:tc>
          <w:tcPr>
            <w:tcW w:type="dxa" w:w="1584"/>
            <w:tcMar>
              <w:top w:w="60" w:type="dxa"/>
              <w:bottom w:w="60" w:type="dxa"/>
              <w:left w:w="70" w:type="dxa"/>
              <w:right w:w="70" w:type="dxa"/>
            </w:tcMar>
            <w:shd w:val="clear" w:color="auto" w:fill="D9E1F2"/>
          </w:tcPr>
          <w:p>
            <w:r>
              <w:rPr>
                <w:rFonts w:ascii="Times New Roman" w:hAnsi="Times New Roman"/>
                <w:b/>
                <w:sz w:val="19"/>
              </w:rPr>
              <w:t>Evidence</w:t>
            </w:r>
          </w:p>
        </w:tc>
      </w:tr>
      <w:tr>
        <w:tc>
          <w:tcPr>
            <w:tcW w:type="dxa" w:w="1152"/>
            <w:tcMar>
              <w:top w:w="40" w:type="dxa"/>
              <w:bottom w:w="40" w:type="dxa"/>
              <w:left w:w="70" w:type="dxa"/>
              <w:right w:w="70" w:type="dxa"/>
            </w:tcMar>
            <w:shd w:val="clear" w:color="auto" w:fill="FFFFFF"/>
          </w:tcPr>
          <w:p>
            <w:pPr>
              <w:spacing w:line="276" w:lineRule="auto"/>
            </w:pPr>
            <w:r>
              <w:rPr>
                <w:rFonts w:ascii="Times New Roman" w:hAnsi="Times New Roman"/>
                <w:b/>
                <w:sz w:val="18"/>
              </w:rPr>
              <w:t>TC-001</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Git Version Control</w:t>
            </w:r>
          </w:p>
        </w:tc>
        <w:tc>
          <w:tcPr>
            <w:tcW w:type="dxa" w:w="2016"/>
            <w:tcMar>
              <w:top w:w="40" w:type="dxa"/>
              <w:bottom w:w="40" w:type="dxa"/>
              <w:left w:w="70" w:type="dxa"/>
              <w:right w:w="70" w:type="dxa"/>
            </w:tcMar>
            <w:shd w:val="clear" w:color="auto" w:fill="FFFFFF"/>
          </w:tcPr>
          <w:p>
            <w:pPr>
              <w:spacing w:line="276" w:lineRule="auto"/>
            </w:pPr>
            <w:r>
              <w:rPr>
                <w:rFonts w:ascii="Times New Roman" w:hAnsi="Times New Roman"/>
                <w:sz w:val="18"/>
              </w:rPr>
              <w:t>Commit message validation with CR prefix</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Commit accepted if 'CR-xxx:' present</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Commit accepted successfully</w:t>
            </w:r>
          </w:p>
        </w:tc>
        <w:tc>
          <w:tcPr>
            <w:tcW w:type="dxa" w:w="1008"/>
            <w:tcMar>
              <w:top w:w="40" w:type="dxa"/>
              <w:bottom w:w="40" w:type="dxa"/>
              <w:left w:w="70" w:type="dxa"/>
              <w:right w:w="70" w:type="dxa"/>
            </w:tcMar>
            <w:shd w:val="clear" w:color="auto" w:fill="FFFFFF"/>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git_02_commit_history.png</w:t>
            </w:r>
          </w:p>
        </w:tc>
      </w:tr>
      <w:tr>
        <w:tc>
          <w:tcPr>
            <w:tcW w:type="dxa" w:w="1152"/>
            <w:tcMar>
              <w:top w:w="40" w:type="dxa"/>
              <w:bottom w:w="40" w:type="dxa"/>
              <w:left w:w="70" w:type="dxa"/>
              <w:right w:w="70" w:type="dxa"/>
            </w:tcMar>
            <w:shd w:val="clear" w:color="auto" w:fill="F8FAFC"/>
          </w:tcPr>
          <w:p>
            <w:pPr>
              <w:spacing w:line="276" w:lineRule="auto"/>
            </w:pPr>
            <w:r>
              <w:rPr>
                <w:rFonts w:ascii="Times New Roman" w:hAnsi="Times New Roman"/>
                <w:b/>
                <w:sz w:val="18"/>
              </w:rPr>
              <w:t>TC-002</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Git Version Control</w:t>
            </w:r>
          </w:p>
        </w:tc>
        <w:tc>
          <w:tcPr>
            <w:tcW w:type="dxa" w:w="2016"/>
            <w:tcMar>
              <w:top w:w="40" w:type="dxa"/>
              <w:bottom w:w="40" w:type="dxa"/>
              <w:left w:w="70" w:type="dxa"/>
              <w:right w:w="70" w:type="dxa"/>
            </w:tcMar>
            <w:shd w:val="clear" w:color="auto" w:fill="F8FAFC"/>
          </w:tcPr>
          <w:p>
            <w:pPr>
              <w:spacing w:line="276" w:lineRule="auto"/>
            </w:pPr>
            <w:r>
              <w:rPr>
                <w:rFonts w:ascii="Times New Roman" w:hAnsi="Times New Roman"/>
                <w:sz w:val="18"/>
              </w:rPr>
              <w:t>Commit message rejection without CR prefix</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Commit blocked by hooks/commit-msg</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Blocked with non-zero exit code</w:t>
            </w:r>
          </w:p>
        </w:tc>
        <w:tc>
          <w:tcPr>
            <w:tcW w:type="dxa" w:w="1008"/>
            <w:tcMar>
              <w:top w:w="40" w:type="dxa"/>
              <w:bottom w:w="40" w:type="dxa"/>
              <w:left w:w="70" w:type="dxa"/>
              <w:right w:w="70" w:type="dxa"/>
            </w:tcMar>
            <w:shd w:val="clear" w:color="auto" w:fill="F8FAFC"/>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hooks/commit-msg</w:t>
            </w:r>
          </w:p>
        </w:tc>
      </w:tr>
      <w:tr>
        <w:tc>
          <w:tcPr>
            <w:tcW w:type="dxa" w:w="1152"/>
            <w:tcMar>
              <w:top w:w="40" w:type="dxa"/>
              <w:bottom w:w="40" w:type="dxa"/>
              <w:left w:w="70" w:type="dxa"/>
              <w:right w:w="70" w:type="dxa"/>
            </w:tcMar>
            <w:shd w:val="clear" w:color="auto" w:fill="FFFFFF"/>
          </w:tcPr>
          <w:p>
            <w:pPr>
              <w:spacing w:line="276" w:lineRule="auto"/>
            </w:pPr>
            <w:r>
              <w:rPr>
                <w:rFonts w:ascii="Times New Roman" w:hAnsi="Times New Roman"/>
                <w:b/>
                <w:sz w:val="18"/>
              </w:rPr>
              <w:t>TC-003</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CI/CD Pipeline</w:t>
            </w:r>
          </w:p>
        </w:tc>
        <w:tc>
          <w:tcPr>
            <w:tcW w:type="dxa" w:w="2016"/>
            <w:tcMar>
              <w:top w:w="40" w:type="dxa"/>
              <w:bottom w:w="40" w:type="dxa"/>
              <w:left w:w="70" w:type="dxa"/>
              <w:right w:w="70" w:type="dxa"/>
            </w:tcMar>
            <w:shd w:val="clear" w:color="auto" w:fill="FFFFFF"/>
          </w:tcPr>
          <w:p>
            <w:pPr>
              <w:spacing w:line="276" w:lineRule="auto"/>
            </w:pPr>
            <w:r>
              <w:rPr>
                <w:rFonts w:ascii="Times New Roman" w:hAnsi="Times New Roman"/>
                <w:sz w:val="18"/>
              </w:rPr>
              <w:t>Execute clean Maven compilation and test suite</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All 20 Java unit tests pass</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20/20 tests passed in 4.42s</w:t>
            </w:r>
          </w:p>
        </w:tc>
        <w:tc>
          <w:tcPr>
            <w:tcW w:type="dxa" w:w="1008"/>
            <w:tcMar>
              <w:top w:w="40" w:type="dxa"/>
              <w:bottom w:w="40" w:type="dxa"/>
              <w:left w:w="70" w:type="dxa"/>
              <w:right w:w="70" w:type="dxa"/>
            </w:tcMar>
            <w:shd w:val="clear" w:color="auto" w:fill="FFFFFF"/>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mvn -B test output</w:t>
            </w:r>
          </w:p>
        </w:tc>
      </w:tr>
      <w:tr>
        <w:tc>
          <w:tcPr>
            <w:tcW w:type="dxa" w:w="1152"/>
            <w:tcMar>
              <w:top w:w="40" w:type="dxa"/>
              <w:bottom w:w="40" w:type="dxa"/>
              <w:left w:w="70" w:type="dxa"/>
              <w:right w:w="70" w:type="dxa"/>
            </w:tcMar>
            <w:shd w:val="clear" w:color="auto" w:fill="F8FAFC"/>
          </w:tcPr>
          <w:p>
            <w:pPr>
              <w:spacing w:line="276" w:lineRule="auto"/>
            </w:pPr>
            <w:r>
              <w:rPr>
                <w:rFonts w:ascii="Times New Roman" w:hAnsi="Times New Roman"/>
                <w:b/>
                <w:sz w:val="18"/>
              </w:rPr>
              <w:t>TC-004</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Fault Injection</w:t>
            </w:r>
          </w:p>
        </w:tc>
        <w:tc>
          <w:tcPr>
            <w:tcW w:type="dxa" w:w="2016"/>
            <w:tcMar>
              <w:top w:w="40" w:type="dxa"/>
              <w:bottom w:w="40" w:type="dxa"/>
              <w:left w:w="70" w:type="dxa"/>
              <w:right w:w="70" w:type="dxa"/>
            </w:tcMar>
            <w:shd w:val="clear" w:color="auto" w:fill="F8FAFC"/>
          </w:tcPr>
          <w:p>
            <w:pPr>
              <w:spacing w:line="276" w:lineRule="auto"/>
            </w:pPr>
            <w:r>
              <w:rPr>
                <w:rFonts w:ascii="Times New Roman" w:hAnsi="Times New Roman"/>
                <w:sz w:val="18"/>
              </w:rPr>
              <w:t>Inject intentional defect in Calculator add method</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JUnit assertion fails on Build #128</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AssertionFailedError recorded</w:t>
            </w:r>
          </w:p>
        </w:tc>
        <w:tc>
          <w:tcPr>
            <w:tcW w:type="dxa" w:w="1008"/>
            <w:tcMar>
              <w:top w:w="40" w:type="dxa"/>
              <w:bottom w:w="40" w:type="dxa"/>
              <w:left w:w="70" w:type="dxa"/>
              <w:right w:w="70" w:type="dxa"/>
            </w:tcMar>
            <w:shd w:val="clear" w:color="auto" w:fill="F8FAFC"/>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fig04_failure_attribution.png</w:t>
            </w:r>
          </w:p>
        </w:tc>
      </w:tr>
      <w:tr>
        <w:tc>
          <w:tcPr>
            <w:tcW w:type="dxa" w:w="1152"/>
            <w:tcMar>
              <w:top w:w="40" w:type="dxa"/>
              <w:bottom w:w="40" w:type="dxa"/>
              <w:left w:w="70" w:type="dxa"/>
              <w:right w:w="70" w:type="dxa"/>
            </w:tcMar>
            <w:shd w:val="clear" w:color="auto" w:fill="FFFFFF"/>
          </w:tcPr>
          <w:p>
            <w:pPr>
              <w:spacing w:line="276" w:lineRule="auto"/>
            </w:pPr>
            <w:r>
              <w:rPr>
                <w:rFonts w:ascii="Times New Roman" w:hAnsi="Times New Roman"/>
                <w:b/>
                <w:sz w:val="18"/>
              </w:rPr>
              <w:t>TC-005</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Log Ingestion</w:t>
            </w:r>
          </w:p>
        </w:tc>
        <w:tc>
          <w:tcPr>
            <w:tcW w:type="dxa" w:w="2016"/>
            <w:tcMar>
              <w:top w:w="40" w:type="dxa"/>
              <w:bottom w:w="40" w:type="dxa"/>
              <w:left w:w="70" w:type="dxa"/>
              <w:right w:w="70" w:type="dxa"/>
            </w:tcMar>
            <w:shd w:val="clear" w:color="auto" w:fill="FFFFFF"/>
          </w:tcPr>
          <w:p>
            <w:pPr>
              <w:spacing w:line="276" w:lineRule="auto"/>
            </w:pPr>
            <w:r>
              <w:rPr>
                <w:rFonts w:ascii="Times New Roman" w:hAnsi="Times New Roman"/>
                <w:sz w:val="18"/>
              </w:rPr>
              <w:t>Parse Surefire test log for error signature</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Extracts failing class &amp; line number</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Parsed CalculatorTest &amp; assertion</w:t>
            </w:r>
          </w:p>
        </w:tc>
        <w:tc>
          <w:tcPr>
            <w:tcW w:type="dxa" w:w="1008"/>
            <w:tcMar>
              <w:top w:w="40" w:type="dxa"/>
              <w:bottom w:w="40" w:type="dxa"/>
              <w:left w:w="70" w:type="dxa"/>
              <w:right w:w="70" w:type="dxa"/>
            </w:tcMar>
            <w:shd w:val="clear" w:color="auto" w:fill="FFFFFF"/>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tests/test_log_parser.py</w:t>
            </w:r>
          </w:p>
        </w:tc>
      </w:tr>
      <w:tr>
        <w:tc>
          <w:tcPr>
            <w:tcW w:type="dxa" w:w="1152"/>
            <w:tcMar>
              <w:top w:w="40" w:type="dxa"/>
              <w:bottom w:w="40" w:type="dxa"/>
              <w:left w:w="70" w:type="dxa"/>
              <w:right w:w="70" w:type="dxa"/>
            </w:tcMar>
            <w:shd w:val="clear" w:color="auto" w:fill="F8FAFC"/>
          </w:tcPr>
          <w:p>
            <w:pPr>
              <w:spacing w:line="276" w:lineRule="auto"/>
            </w:pPr>
            <w:r>
              <w:rPr>
                <w:rFonts w:ascii="Times New Roman" w:hAnsi="Times New Roman"/>
                <w:b/>
                <w:sz w:val="18"/>
              </w:rPr>
              <w:t>TC-006</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Blame Attribution</w:t>
            </w:r>
          </w:p>
        </w:tc>
        <w:tc>
          <w:tcPr>
            <w:tcW w:type="dxa" w:w="2016"/>
            <w:tcMar>
              <w:top w:w="40" w:type="dxa"/>
              <w:bottom w:w="40" w:type="dxa"/>
              <w:left w:w="70" w:type="dxa"/>
              <w:right w:w="70" w:type="dxa"/>
            </w:tcMar>
            <w:shd w:val="clear" w:color="auto" w:fill="F8FAFC"/>
          </w:tcPr>
          <w:p>
            <w:pPr>
              <w:spacing w:line="276" w:lineRule="auto"/>
            </w:pPr>
            <w:r>
              <w:rPr>
                <w:rFonts w:ascii="Times New Roman" w:hAnsi="Times New Roman"/>
                <w:sz w:val="18"/>
              </w:rPr>
              <w:t>Compute attribution scores for Build #128</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Attributes blame to commit 9297e33</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88.5% confidence score calculated</w:t>
            </w:r>
          </w:p>
        </w:tc>
        <w:tc>
          <w:tcPr>
            <w:tcW w:type="dxa" w:w="1008"/>
            <w:tcMar>
              <w:top w:w="40" w:type="dxa"/>
              <w:bottom w:w="40" w:type="dxa"/>
              <w:left w:w="70" w:type="dxa"/>
              <w:right w:w="70" w:type="dxa"/>
            </w:tcMar>
            <w:shd w:val="clear" w:color="auto" w:fill="F8FAFC"/>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tests/test_scorer.py</w:t>
            </w:r>
          </w:p>
        </w:tc>
      </w:tr>
      <w:tr>
        <w:tc>
          <w:tcPr>
            <w:tcW w:type="dxa" w:w="1152"/>
            <w:tcMar>
              <w:top w:w="40" w:type="dxa"/>
              <w:bottom w:w="40" w:type="dxa"/>
              <w:left w:w="70" w:type="dxa"/>
              <w:right w:w="70" w:type="dxa"/>
            </w:tcMar>
            <w:shd w:val="clear" w:color="auto" w:fill="FFFFFF"/>
          </w:tcPr>
          <w:p>
            <w:pPr>
              <w:spacing w:line="276" w:lineRule="auto"/>
            </w:pPr>
            <w:r>
              <w:rPr>
                <w:rFonts w:ascii="Times New Roman" w:hAnsi="Times New Roman"/>
                <w:b/>
                <w:sz w:val="18"/>
              </w:rPr>
              <w:t>TC-007</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Problem Tracking</w:t>
            </w:r>
          </w:p>
        </w:tc>
        <w:tc>
          <w:tcPr>
            <w:tcW w:type="dxa" w:w="2016"/>
            <w:tcMar>
              <w:top w:w="40" w:type="dxa"/>
              <w:bottom w:w="40" w:type="dxa"/>
              <w:left w:w="70" w:type="dxa"/>
              <w:right w:w="70" w:type="dxa"/>
            </w:tcMar>
            <w:shd w:val="clear" w:color="auto" w:fill="FFFFFF"/>
          </w:tcPr>
          <w:p>
            <w:pPr>
              <w:spacing w:line="276" w:lineRule="auto"/>
            </w:pPr>
            <w:r>
              <w:rPr>
                <w:rFonts w:ascii="Times New Roman" w:hAnsi="Times New Roman"/>
                <w:sz w:val="18"/>
              </w:rPr>
              <w:t>Auto-create defect record for broken build</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Problem BUG-024 created in Open status</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BUG-024 recorded in SQLite DB</w:t>
            </w:r>
          </w:p>
        </w:tc>
        <w:tc>
          <w:tcPr>
            <w:tcW w:type="dxa" w:w="1008"/>
            <w:tcMar>
              <w:top w:w="40" w:type="dxa"/>
              <w:bottom w:w="40" w:type="dxa"/>
              <w:left w:w="70" w:type="dxa"/>
              <w:right w:w="70" w:type="dxa"/>
            </w:tcMar>
            <w:shd w:val="clear" w:color="auto" w:fill="FFFFFF"/>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fig03_problem_tracking.png</w:t>
            </w:r>
          </w:p>
        </w:tc>
      </w:tr>
      <w:tr>
        <w:tc>
          <w:tcPr>
            <w:tcW w:type="dxa" w:w="1152"/>
            <w:tcMar>
              <w:top w:w="40" w:type="dxa"/>
              <w:bottom w:w="40" w:type="dxa"/>
              <w:left w:w="70" w:type="dxa"/>
              <w:right w:w="70" w:type="dxa"/>
            </w:tcMar>
            <w:shd w:val="clear" w:color="auto" w:fill="F8FAFC"/>
          </w:tcPr>
          <w:p>
            <w:pPr>
              <w:spacing w:line="276" w:lineRule="auto"/>
            </w:pPr>
            <w:r>
              <w:rPr>
                <w:rFonts w:ascii="Times New Roman" w:hAnsi="Times New Roman"/>
                <w:b/>
                <w:sz w:val="18"/>
              </w:rPr>
              <w:t>TC-008</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Developer Alerts</w:t>
            </w:r>
          </w:p>
        </w:tc>
        <w:tc>
          <w:tcPr>
            <w:tcW w:type="dxa" w:w="2016"/>
            <w:tcMar>
              <w:top w:w="40" w:type="dxa"/>
              <w:bottom w:w="40" w:type="dxa"/>
              <w:left w:w="70" w:type="dxa"/>
              <w:right w:w="70" w:type="dxa"/>
            </w:tcMar>
            <w:shd w:val="clear" w:color="auto" w:fill="F8FAFC"/>
          </w:tcPr>
          <w:p>
            <w:pPr>
              <w:spacing w:line="276" w:lineRule="auto"/>
            </w:pPr>
            <w:r>
              <w:rPr>
                <w:rFonts w:ascii="Times New Roman" w:hAnsi="Times New Roman"/>
                <w:sz w:val="18"/>
              </w:rPr>
              <w:t>Dispatch real-time notification to commit author</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Alert ALT-001 generated with unread badge</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Alert displayed on web portal</w:t>
            </w:r>
          </w:p>
        </w:tc>
        <w:tc>
          <w:tcPr>
            <w:tcW w:type="dxa" w:w="1008"/>
            <w:tcMar>
              <w:top w:w="40" w:type="dxa"/>
              <w:bottom w:w="40" w:type="dxa"/>
              <w:left w:w="70" w:type="dxa"/>
              <w:right w:w="70" w:type="dxa"/>
            </w:tcMar>
            <w:shd w:val="clear" w:color="auto" w:fill="F8FAFC"/>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fig01_dashboard.png</w:t>
            </w:r>
          </w:p>
        </w:tc>
      </w:tr>
      <w:tr>
        <w:tc>
          <w:tcPr>
            <w:tcW w:type="dxa" w:w="1152"/>
            <w:tcMar>
              <w:top w:w="40" w:type="dxa"/>
              <w:bottom w:w="40" w:type="dxa"/>
              <w:left w:w="70" w:type="dxa"/>
              <w:right w:w="70" w:type="dxa"/>
            </w:tcMar>
            <w:shd w:val="clear" w:color="auto" w:fill="FFFFFF"/>
          </w:tcPr>
          <w:p>
            <w:pPr>
              <w:spacing w:line="276" w:lineRule="auto"/>
            </w:pPr>
            <w:r>
              <w:rPr>
                <w:rFonts w:ascii="Times New Roman" w:hAnsi="Times New Roman"/>
                <w:b/>
                <w:sz w:val="18"/>
              </w:rPr>
              <w:t>TC-009</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Change Management</w:t>
            </w:r>
          </w:p>
        </w:tc>
        <w:tc>
          <w:tcPr>
            <w:tcW w:type="dxa" w:w="2016"/>
            <w:tcMar>
              <w:top w:w="40" w:type="dxa"/>
              <w:bottom w:w="40" w:type="dxa"/>
              <w:left w:w="70" w:type="dxa"/>
              <w:right w:w="70" w:type="dxa"/>
            </w:tcMar>
            <w:shd w:val="clear" w:color="auto" w:fill="FFFFFF"/>
          </w:tcPr>
          <w:p>
            <w:pPr>
              <w:spacing w:line="276" w:lineRule="auto"/>
            </w:pPr>
            <w:r>
              <w:rPr>
                <w:rFonts w:ascii="Times New Roman" w:hAnsi="Times New Roman"/>
                <w:sz w:val="18"/>
              </w:rPr>
              <w:t>Submit and record formal Change Request</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CR-009 registered with affected CIs</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CR-009 logged in change register</w:t>
            </w:r>
          </w:p>
        </w:tc>
        <w:tc>
          <w:tcPr>
            <w:tcW w:type="dxa" w:w="1008"/>
            <w:tcMar>
              <w:top w:w="40" w:type="dxa"/>
              <w:bottom w:w="40" w:type="dxa"/>
              <w:left w:w="70" w:type="dxa"/>
              <w:right w:w="70" w:type="dxa"/>
            </w:tcMar>
            <w:shd w:val="clear" w:color="auto" w:fill="FFFFFF"/>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fig05_change_management.png</w:t>
            </w:r>
          </w:p>
        </w:tc>
      </w:tr>
      <w:tr>
        <w:tc>
          <w:tcPr>
            <w:tcW w:type="dxa" w:w="1152"/>
            <w:tcMar>
              <w:top w:w="40" w:type="dxa"/>
              <w:bottom w:w="40" w:type="dxa"/>
              <w:left w:w="70" w:type="dxa"/>
              <w:right w:w="70" w:type="dxa"/>
            </w:tcMar>
            <w:shd w:val="clear" w:color="auto" w:fill="F8FAFC"/>
          </w:tcPr>
          <w:p>
            <w:pPr>
              <w:spacing w:line="276" w:lineRule="auto"/>
            </w:pPr>
            <w:r>
              <w:rPr>
                <w:rFonts w:ascii="Times New Roman" w:hAnsi="Times New Roman"/>
                <w:b/>
                <w:sz w:val="18"/>
              </w:rPr>
              <w:t>TC-010</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Bugfix Verification</w:t>
            </w:r>
          </w:p>
        </w:tc>
        <w:tc>
          <w:tcPr>
            <w:tcW w:type="dxa" w:w="2016"/>
            <w:tcMar>
              <w:top w:w="40" w:type="dxa"/>
              <w:bottom w:w="40" w:type="dxa"/>
              <w:left w:w="70" w:type="dxa"/>
              <w:right w:w="70" w:type="dxa"/>
            </w:tcMar>
            <w:shd w:val="clear" w:color="auto" w:fill="F8FAFC"/>
          </w:tcPr>
          <w:p>
            <w:pPr>
              <w:spacing w:line="276" w:lineRule="auto"/>
            </w:pPr>
            <w:r>
              <w:rPr>
                <w:rFonts w:ascii="Times New Roman" w:hAnsi="Times New Roman"/>
                <w:sz w:val="18"/>
              </w:rPr>
              <w:t>Apply fix commit e789c77 and re-run build</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Build #129 passes; BUG-024 resolved</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Build #129 SUCCESS; BUG-024 closed</w:t>
            </w:r>
          </w:p>
        </w:tc>
        <w:tc>
          <w:tcPr>
            <w:tcW w:type="dxa" w:w="1008"/>
            <w:tcMar>
              <w:top w:w="40" w:type="dxa"/>
              <w:bottom w:w="40" w:type="dxa"/>
              <w:left w:w="70" w:type="dxa"/>
              <w:right w:w="70" w:type="dxa"/>
            </w:tcMar>
            <w:shd w:val="clear" w:color="auto" w:fill="F8FAFC"/>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fig02_build_history.png</w:t>
            </w:r>
          </w:p>
        </w:tc>
      </w:tr>
      <w:tr>
        <w:tc>
          <w:tcPr>
            <w:tcW w:type="dxa" w:w="1152"/>
            <w:tcMar>
              <w:top w:w="40" w:type="dxa"/>
              <w:bottom w:w="40" w:type="dxa"/>
              <w:left w:w="70" w:type="dxa"/>
              <w:right w:w="70" w:type="dxa"/>
            </w:tcMar>
            <w:shd w:val="clear" w:color="auto" w:fill="FFFFFF"/>
          </w:tcPr>
          <w:p>
            <w:pPr>
              <w:spacing w:line="276" w:lineRule="auto"/>
            </w:pPr>
            <w:r>
              <w:rPr>
                <w:rFonts w:ascii="Times New Roman" w:hAnsi="Times New Roman"/>
                <w:b/>
                <w:sz w:val="18"/>
              </w:rPr>
              <w:t>TC-011</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Promotion Gate</w:t>
            </w:r>
          </w:p>
        </w:tc>
        <w:tc>
          <w:tcPr>
            <w:tcW w:type="dxa" w:w="2016"/>
            <w:tcMar>
              <w:top w:w="40" w:type="dxa"/>
              <w:bottom w:w="40" w:type="dxa"/>
              <w:left w:w="70" w:type="dxa"/>
              <w:right w:w="70" w:type="dxa"/>
            </w:tcMar>
            <w:shd w:val="clear" w:color="auto" w:fill="FFFFFF"/>
          </w:tcPr>
          <w:p>
            <w:pPr>
              <w:spacing w:line="276" w:lineRule="auto"/>
            </w:pPr>
            <w:r>
              <w:rPr>
                <w:rFonts w:ascii="Times New Roman" w:hAnsi="Times New Roman"/>
                <w:sz w:val="18"/>
              </w:rPr>
              <w:t>Evaluate promotion gate on failing Build #128</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Promotion gate BLOCKED</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BLOCKED with logged rationale</w:t>
            </w:r>
          </w:p>
        </w:tc>
        <w:tc>
          <w:tcPr>
            <w:tcW w:type="dxa" w:w="1008"/>
            <w:tcMar>
              <w:top w:w="40" w:type="dxa"/>
              <w:bottom w:w="40" w:type="dxa"/>
              <w:left w:w="70" w:type="dxa"/>
              <w:right w:w="70" w:type="dxa"/>
            </w:tcMar>
            <w:shd w:val="clear" w:color="auto" w:fill="FFFFFF"/>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tests/test_promote.py</w:t>
            </w:r>
          </w:p>
        </w:tc>
      </w:tr>
      <w:tr>
        <w:tc>
          <w:tcPr>
            <w:tcW w:type="dxa" w:w="1152"/>
            <w:tcMar>
              <w:top w:w="40" w:type="dxa"/>
              <w:bottom w:w="40" w:type="dxa"/>
              <w:left w:w="70" w:type="dxa"/>
              <w:right w:w="70" w:type="dxa"/>
            </w:tcMar>
            <w:shd w:val="clear" w:color="auto" w:fill="F8FAFC"/>
          </w:tcPr>
          <w:p>
            <w:pPr>
              <w:spacing w:line="276" w:lineRule="auto"/>
            </w:pPr>
            <w:r>
              <w:rPr>
                <w:rFonts w:ascii="Times New Roman" w:hAnsi="Times New Roman"/>
                <w:b/>
                <w:sz w:val="18"/>
              </w:rPr>
              <w:t>TC-012</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Promotion Gate</w:t>
            </w:r>
          </w:p>
        </w:tc>
        <w:tc>
          <w:tcPr>
            <w:tcW w:type="dxa" w:w="2016"/>
            <w:tcMar>
              <w:top w:w="40" w:type="dxa"/>
              <w:bottom w:w="40" w:type="dxa"/>
              <w:left w:w="70" w:type="dxa"/>
              <w:right w:w="70" w:type="dxa"/>
            </w:tcMar>
            <w:shd w:val="clear" w:color="auto" w:fill="F8FAFC"/>
          </w:tcPr>
          <w:p>
            <w:pPr>
              <w:spacing w:line="276" w:lineRule="auto"/>
            </w:pPr>
            <w:r>
              <w:rPr>
                <w:rFonts w:ascii="Times New Roman" w:hAnsi="Times New Roman"/>
                <w:sz w:val="18"/>
              </w:rPr>
              <w:t>Evaluate promotion gate on passing Build #129</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Promotion gate PASSED</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PASSED; promoted to Production</w:t>
            </w:r>
          </w:p>
        </w:tc>
        <w:tc>
          <w:tcPr>
            <w:tcW w:type="dxa" w:w="1008"/>
            <w:tcMar>
              <w:top w:w="40" w:type="dxa"/>
              <w:bottom w:w="40" w:type="dxa"/>
              <w:left w:w="70" w:type="dxa"/>
              <w:right w:w="70" w:type="dxa"/>
            </w:tcMar>
            <w:shd w:val="clear" w:color="auto" w:fill="F8FAFC"/>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fig08_promotions.png</w:t>
            </w:r>
          </w:p>
        </w:tc>
      </w:tr>
      <w:tr>
        <w:tc>
          <w:tcPr>
            <w:tcW w:type="dxa" w:w="1152"/>
            <w:tcMar>
              <w:top w:w="40" w:type="dxa"/>
              <w:bottom w:w="40" w:type="dxa"/>
              <w:left w:w="70" w:type="dxa"/>
              <w:right w:w="70" w:type="dxa"/>
            </w:tcMar>
            <w:shd w:val="clear" w:color="auto" w:fill="FFFFFF"/>
          </w:tcPr>
          <w:p>
            <w:pPr>
              <w:spacing w:line="276" w:lineRule="auto"/>
            </w:pPr>
            <w:r>
              <w:rPr>
                <w:rFonts w:ascii="Times New Roman" w:hAnsi="Times New Roman"/>
                <w:b/>
                <w:sz w:val="18"/>
              </w:rPr>
              <w:t>TC-013</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System Accounting</w:t>
            </w:r>
          </w:p>
        </w:tc>
        <w:tc>
          <w:tcPr>
            <w:tcW w:type="dxa" w:w="2016"/>
            <w:tcMar>
              <w:top w:w="40" w:type="dxa"/>
              <w:bottom w:w="40" w:type="dxa"/>
              <w:left w:w="70" w:type="dxa"/>
              <w:right w:w="70" w:type="dxa"/>
            </w:tcMar>
            <w:shd w:val="clear" w:color="auto" w:fill="FFFFFF"/>
          </w:tcPr>
          <w:p>
            <w:pPr>
              <w:spacing w:line="276" w:lineRule="auto"/>
            </w:pPr>
            <w:r>
              <w:rPr>
                <w:rFonts w:ascii="Times New Roman" w:hAnsi="Times New Roman"/>
                <w:sz w:val="18"/>
              </w:rPr>
              <w:t>Generate CSAR report and CSV export</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CSAR generated with 20 CIs and metrics</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CSAR report &amp; CSV exported</w:t>
            </w:r>
          </w:p>
        </w:tc>
        <w:tc>
          <w:tcPr>
            <w:tcW w:type="dxa" w:w="1008"/>
            <w:tcMar>
              <w:top w:w="40" w:type="dxa"/>
              <w:bottom w:w="40" w:type="dxa"/>
              <w:left w:w="70" w:type="dxa"/>
              <w:right w:w="70" w:type="dxa"/>
            </w:tcMar>
            <w:shd w:val="clear" w:color="auto" w:fill="FFFFFF"/>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fig10_csar_report.png</w:t>
            </w:r>
          </w:p>
        </w:tc>
      </w:tr>
      <w:tr>
        <w:tc>
          <w:tcPr>
            <w:tcW w:type="dxa" w:w="1152"/>
            <w:tcMar>
              <w:top w:w="40" w:type="dxa"/>
              <w:bottom w:w="40" w:type="dxa"/>
              <w:left w:w="70" w:type="dxa"/>
              <w:right w:w="70" w:type="dxa"/>
            </w:tcMar>
            <w:shd w:val="clear" w:color="auto" w:fill="F8FAFC"/>
          </w:tcPr>
          <w:p>
            <w:pPr>
              <w:spacing w:line="276" w:lineRule="auto"/>
            </w:pPr>
            <w:r>
              <w:rPr>
                <w:rFonts w:ascii="Times New Roman" w:hAnsi="Times New Roman"/>
                <w:b/>
                <w:sz w:val="18"/>
              </w:rPr>
              <w:t>TC-014</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CAS Auditing</w:t>
            </w:r>
          </w:p>
        </w:tc>
        <w:tc>
          <w:tcPr>
            <w:tcW w:type="dxa" w:w="2016"/>
            <w:tcMar>
              <w:top w:w="40" w:type="dxa"/>
              <w:bottom w:w="40" w:type="dxa"/>
              <w:left w:w="70" w:type="dxa"/>
              <w:right w:w="70" w:type="dxa"/>
            </w:tcMar>
            <w:shd w:val="clear" w:color="auto" w:fill="F8FAFC"/>
          </w:tcPr>
          <w:p>
            <w:pPr>
              <w:spacing w:line="276" w:lineRule="auto"/>
            </w:pPr>
            <w:r>
              <w:rPr>
                <w:rFonts w:ascii="Times New Roman" w:hAnsi="Times New Roman"/>
                <w:sz w:val="18"/>
              </w:rPr>
              <w:t>Perform Functional Configuration Audit (FCA)</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14 Functional Requirements verified</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100% FCA compliance recorded</w:t>
            </w:r>
          </w:p>
        </w:tc>
        <w:tc>
          <w:tcPr>
            <w:tcW w:type="dxa" w:w="1008"/>
            <w:tcMar>
              <w:top w:w="40" w:type="dxa"/>
              <w:bottom w:w="40" w:type="dxa"/>
              <w:left w:w="70" w:type="dxa"/>
              <w:right w:w="70" w:type="dxa"/>
            </w:tcMar>
            <w:shd w:val="clear" w:color="auto" w:fill="F8FAFC"/>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fig09_auditing_fca_pca.png</w:t>
            </w:r>
          </w:p>
        </w:tc>
      </w:tr>
      <w:tr>
        <w:tc>
          <w:tcPr>
            <w:tcW w:type="dxa" w:w="1152"/>
            <w:tcMar>
              <w:top w:w="40" w:type="dxa"/>
              <w:bottom w:w="40" w:type="dxa"/>
              <w:left w:w="70" w:type="dxa"/>
              <w:right w:w="70" w:type="dxa"/>
            </w:tcMar>
            <w:shd w:val="clear" w:color="auto" w:fill="FFFFFF"/>
          </w:tcPr>
          <w:p>
            <w:pPr>
              <w:spacing w:line="276" w:lineRule="auto"/>
            </w:pPr>
            <w:r>
              <w:rPr>
                <w:rFonts w:ascii="Times New Roman" w:hAnsi="Times New Roman"/>
                <w:b/>
                <w:sz w:val="18"/>
              </w:rPr>
              <w:t>TC-015</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CAS Auditing</w:t>
            </w:r>
          </w:p>
        </w:tc>
        <w:tc>
          <w:tcPr>
            <w:tcW w:type="dxa" w:w="2016"/>
            <w:tcMar>
              <w:top w:w="40" w:type="dxa"/>
              <w:bottom w:w="40" w:type="dxa"/>
              <w:left w:w="70" w:type="dxa"/>
              <w:right w:w="70" w:type="dxa"/>
            </w:tcMar>
            <w:shd w:val="clear" w:color="auto" w:fill="FFFFFF"/>
          </w:tcPr>
          <w:p>
            <w:pPr>
              <w:spacing w:line="276" w:lineRule="auto"/>
            </w:pPr>
            <w:r>
              <w:rPr>
                <w:rFonts w:ascii="Times New Roman" w:hAnsi="Times New Roman"/>
                <w:sz w:val="18"/>
              </w:rPr>
              <w:t>Perform Physical Configuration Audit (PCA)</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SHA-256 release checksums verified</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PCA baseline match confirmed</w:t>
            </w:r>
          </w:p>
        </w:tc>
        <w:tc>
          <w:tcPr>
            <w:tcW w:type="dxa" w:w="1008"/>
            <w:tcMar>
              <w:top w:w="40" w:type="dxa"/>
              <w:bottom w:w="40" w:type="dxa"/>
              <w:left w:w="70" w:type="dxa"/>
              <w:right w:w="70" w:type="dxa"/>
            </w:tcMar>
            <w:shd w:val="clear" w:color="auto" w:fill="FFFFFF"/>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release-manifest.json</w:t>
            </w:r>
          </w:p>
        </w:tc>
      </w:tr>
      <w:tr>
        <w:tc>
          <w:tcPr>
            <w:tcW w:type="dxa" w:w="1152"/>
            <w:tcMar>
              <w:top w:w="40" w:type="dxa"/>
              <w:bottom w:w="40" w:type="dxa"/>
              <w:left w:w="70" w:type="dxa"/>
              <w:right w:w="70" w:type="dxa"/>
            </w:tcMar>
            <w:shd w:val="clear" w:color="auto" w:fill="F8FAFC"/>
          </w:tcPr>
          <w:p>
            <w:pPr>
              <w:spacing w:line="276" w:lineRule="auto"/>
            </w:pPr>
            <w:r>
              <w:rPr>
                <w:rFonts w:ascii="Times New Roman" w:hAnsi="Times New Roman"/>
                <w:b/>
                <w:sz w:val="18"/>
              </w:rPr>
              <w:t>TC-016</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Access Security</w:t>
            </w:r>
          </w:p>
        </w:tc>
        <w:tc>
          <w:tcPr>
            <w:tcW w:type="dxa" w:w="2016"/>
            <w:tcMar>
              <w:top w:w="40" w:type="dxa"/>
              <w:bottom w:w="40" w:type="dxa"/>
              <w:left w:w="70" w:type="dxa"/>
              <w:right w:w="70" w:type="dxa"/>
            </w:tcMar>
            <w:shd w:val="clear" w:color="auto" w:fill="F8FAFC"/>
          </w:tcPr>
          <w:p>
            <w:pPr>
              <w:spacing w:line="276" w:lineRule="auto"/>
            </w:pPr>
            <w:r>
              <w:rPr>
                <w:rFonts w:ascii="Times New Roman" w:hAnsi="Times New Roman"/>
                <w:sz w:val="18"/>
              </w:rPr>
              <w:t>Verify RBAC permission restrictions</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Viewer denied CR creation and promotion</w:t>
            </w:r>
          </w:p>
        </w:tc>
        <w:tc>
          <w:tcPr>
            <w:tcW w:type="dxa" w:w="1872"/>
            <w:tcMar>
              <w:top w:w="40" w:type="dxa"/>
              <w:bottom w:w="40" w:type="dxa"/>
              <w:left w:w="70" w:type="dxa"/>
              <w:right w:w="70" w:type="dxa"/>
            </w:tcMar>
            <w:shd w:val="clear" w:color="auto" w:fill="F8FAFC"/>
          </w:tcPr>
          <w:p>
            <w:pPr>
              <w:spacing w:line="276" w:lineRule="auto"/>
            </w:pPr>
            <w:r>
              <w:rPr>
                <w:rFonts w:ascii="Times New Roman" w:hAnsi="Times New Roman"/>
                <w:sz w:val="18"/>
              </w:rPr>
              <w:t>HTTP 403 Forbidden enforced</w:t>
            </w:r>
          </w:p>
        </w:tc>
        <w:tc>
          <w:tcPr>
            <w:tcW w:type="dxa" w:w="1008"/>
            <w:tcMar>
              <w:top w:w="40" w:type="dxa"/>
              <w:bottom w:w="40" w:type="dxa"/>
              <w:left w:w="70" w:type="dxa"/>
              <w:right w:w="70" w:type="dxa"/>
            </w:tcMar>
            <w:shd w:val="clear" w:color="auto" w:fill="F8FAFC"/>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8FAFC"/>
          </w:tcPr>
          <w:p>
            <w:pPr>
              <w:spacing w:line="276" w:lineRule="auto"/>
            </w:pPr>
            <w:r>
              <w:rPr>
                <w:rFonts w:ascii="Times New Roman" w:hAnsi="Times New Roman"/>
                <w:sz w:val="18"/>
              </w:rPr>
              <w:t>tests/test_dashboard.py</w:t>
            </w:r>
          </w:p>
        </w:tc>
      </w:tr>
      <w:tr>
        <w:tc>
          <w:tcPr>
            <w:tcW w:type="dxa" w:w="1152"/>
            <w:tcMar>
              <w:top w:w="40" w:type="dxa"/>
              <w:bottom w:w="40" w:type="dxa"/>
              <w:left w:w="70" w:type="dxa"/>
              <w:right w:w="70" w:type="dxa"/>
            </w:tcMar>
            <w:shd w:val="clear" w:color="auto" w:fill="FFFFFF"/>
          </w:tcPr>
          <w:p>
            <w:pPr>
              <w:spacing w:line="276" w:lineRule="auto"/>
            </w:pPr>
            <w:r>
              <w:rPr>
                <w:rFonts w:ascii="Times New Roman" w:hAnsi="Times New Roman"/>
                <w:b/>
                <w:sz w:val="18"/>
              </w:rPr>
              <w:t>TC-017</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Customization</w:t>
            </w:r>
          </w:p>
        </w:tc>
        <w:tc>
          <w:tcPr>
            <w:tcW w:type="dxa" w:w="2016"/>
            <w:tcMar>
              <w:top w:w="40" w:type="dxa"/>
              <w:bottom w:w="40" w:type="dxa"/>
              <w:left w:w="70" w:type="dxa"/>
              <w:right w:w="70" w:type="dxa"/>
            </w:tcMar>
            <w:shd w:val="clear" w:color="auto" w:fill="FFFFFF"/>
          </w:tcPr>
          <w:p>
            <w:pPr>
              <w:spacing w:line="276" w:lineRule="auto"/>
            </w:pPr>
            <w:r>
              <w:rPr>
                <w:rFonts w:ascii="Times New Roman" w:hAnsi="Times New Roman"/>
                <w:sz w:val="18"/>
              </w:rPr>
              <w:t>Update scoring weights via YAML configuration</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Weights updated dynamically without restart</w:t>
            </w:r>
          </w:p>
        </w:tc>
        <w:tc>
          <w:tcPr>
            <w:tcW w:type="dxa" w:w="1872"/>
            <w:tcMar>
              <w:top w:w="40" w:type="dxa"/>
              <w:bottom w:w="40" w:type="dxa"/>
              <w:left w:w="70" w:type="dxa"/>
              <w:right w:w="70" w:type="dxa"/>
            </w:tcMar>
            <w:shd w:val="clear" w:color="auto" w:fill="FFFFFF"/>
          </w:tcPr>
          <w:p>
            <w:pPr>
              <w:spacing w:line="276" w:lineRule="auto"/>
            </w:pPr>
            <w:r>
              <w:rPr>
                <w:rFonts w:ascii="Times New Roman" w:hAnsi="Times New Roman"/>
                <w:sz w:val="18"/>
              </w:rPr>
              <w:t>Updated weights applied to engine</w:t>
            </w:r>
          </w:p>
        </w:tc>
        <w:tc>
          <w:tcPr>
            <w:tcW w:type="dxa" w:w="1008"/>
            <w:tcMar>
              <w:top w:w="40" w:type="dxa"/>
              <w:bottom w:w="40" w:type="dxa"/>
              <w:left w:w="70" w:type="dxa"/>
              <w:right w:w="70" w:type="dxa"/>
            </w:tcMar>
            <w:shd w:val="clear" w:color="auto" w:fill="FFFFFF"/>
          </w:tcPr>
          <w:p>
            <w:pPr>
              <w:spacing w:line="276" w:lineRule="auto"/>
            </w:pPr>
            <w:r>
              <w:rPr>
                <w:rFonts w:ascii="Times New Roman" w:hAnsi="Times New Roman"/>
                <w:b/>
                <w:color w:val="166534"/>
                <w:sz w:val="18"/>
              </w:rPr>
              <w:t>Passed</w:t>
            </w:r>
          </w:p>
        </w:tc>
        <w:tc>
          <w:tcPr>
            <w:tcW w:type="dxa" w:w="1584"/>
            <w:tcMar>
              <w:top w:w="40" w:type="dxa"/>
              <w:bottom w:w="40" w:type="dxa"/>
              <w:left w:w="70" w:type="dxa"/>
              <w:right w:w="70" w:type="dxa"/>
            </w:tcMar>
            <w:shd w:val="clear" w:color="auto" w:fill="FFFFFF"/>
          </w:tcPr>
          <w:p>
            <w:pPr>
              <w:spacing w:line="276" w:lineRule="auto"/>
            </w:pPr>
            <w:r>
              <w:rPr>
                <w:rFonts w:ascii="Times New Roman" w:hAnsi="Times New Roman"/>
                <w:sz w:val="18"/>
              </w:rPr>
              <w:t>fig11_customization_config.png</w:t>
            </w:r>
          </w:p>
        </w:tc>
      </w:tr>
    </w:tbl>
    <w:p>
      <w:pPr>
        <w:spacing w:line="324" w:lineRule="auto" w:after="120"/>
        <w:jc w:val="both"/>
      </w:pPr>
      <w:r>
        <w:rPr>
          <w:rFonts w:ascii="Times New Roman" w:hAnsi="Times New Roman"/>
          <w:color w:val="1E293B"/>
          <w:sz w:val="24"/>
        </w:rPr>
      </w:r>
    </w:p>
    <w:p>
      <w:pPr>
        <w:pStyle w:val="Heading2"/>
        <w:keepNext/>
        <w:spacing w:before="240" w:after="80"/>
      </w:pPr>
      <w:r>
        <w:rPr>
          <w:rFonts w:ascii="Times New Roman" w:hAnsi="Times New Roman"/>
          <w:b/>
          <w:color w:val="1E3A8A"/>
          <w:sz w:val="26"/>
        </w:rPr>
        <w:t>17.2 Final Tool Demonstration Walkthrough Sequence</w:t>
      </w:r>
    </w:p>
    <w:p>
      <w:pPr>
        <w:spacing w:line="324" w:lineRule="auto" w:after="120"/>
        <w:jc w:val="both"/>
      </w:pPr>
      <w:r>
        <w:rPr>
          <w:rFonts w:ascii="Times New Roman" w:hAnsi="Times New Roman"/>
          <w:color w:val="1E293B"/>
          <w:sz w:val="24"/>
        </w:rPr>
        <w:t>The live demonstration sequence conducted for the Final Tool Evaluation proceeds as follows:</w:t>
        <w:br/>
        <w:t>1. Repository &amp; Branch Inspection: The evaluator inspects the GitHub repository (prakashumapathi07-spec/COMMITSLEUTHSCM), verifying the 5 active branches, release tags, and client-side commit-msg hook.</w:t>
        <w:br/>
        <w:t>2. Launching Web Portal: The Flask application is started on port 5000; the dashboard loads displaying 77.8% build health and 0 open defects.</w:t>
        <w:br/>
        <w:t>3. Simulating Failure (Build #128): In the sidebar, the presenter clicks '1. Karthik Defect (#128)' (or calls /api/demo/run-failure). Jenkins executes Maven test, failing on CalculatorTest. CommitSleuth parses the log, calculates 88.5% confidence against commit 9297e33, opens BUG-024, and dispatches Alert ALT-001.</w:t>
        <w:br/>
        <w:t>4. Developer Diagnostic View: The presenter navigates to /failures/128, demonstrating the syntax-colored terminal log, root-cause card, and suggested code fix.</w:t>
        <w:br/>
        <w:t>5. Corrective Action &amp; Verification (Build #129): The presenter clicks '2. Karthik Fix (#129)' (or calls /api/demo/run-fix). Corrective commit e789c77 is recorded. Build #129 succeeds with 20/20 green tests. BUG-024 automatically transitions to Resolved.</w:t>
        <w:br/>
        <w:t>6. Promotional Gate Clearance: The promotional management page demonstrates that Build #128 was strictly BLOCKED, while Build #129 PASSED and was promoted to Baseline BL-05 (Production Release v1.0.0).</w:t>
        <w:br/>
        <w:t>7. CSAR Export &amp; Audit Sign-Off: A Configuration Status Accounting Report is generated and exported to CSV, confirming complete traceability.</w:t>
      </w:r>
    </w:p>
    <w:p>
      <w:pPr>
        <w:pStyle w:val="Heading1"/>
        <w:keepNext/>
        <w:spacing w:before="360" w:after="120"/>
      </w:pPr>
      <w:r>
        <w:rPr>
          <w:rFonts w:ascii="Times New Roman" w:hAnsi="Times New Roman"/>
          <w:b/>
          <w:color w:val="0F172A"/>
          <w:sz w:val="30"/>
        </w:rPr>
        <w:t>Section 18 — Conclusion and Future Enhancements</w:t>
      </w:r>
    </w:p>
    <w:p>
      <w:pPr>
        <w:spacing w:line="324" w:lineRule="auto" w:after="120"/>
        <w:jc w:val="both"/>
      </w:pPr>
      <w:r>
        <w:rPr>
          <w:rFonts w:ascii="Times New Roman" w:hAnsi="Times New Roman"/>
          <w:color w:val="1E293B"/>
          <w:sz w:val="24"/>
        </w:rPr>
        <w:t>CommitSleuth successfully demonstrates how Software Configuration Management principles, combined with automated continuous integration tooling, can resolve the batching problem in modern software engineering. By continuously monitoring Jenkins pipeline events, parsing Maven test outputs, ranking multi-developer candidate commits through explainable heuristics, and providing interactive root-cause diagnostics, CommitSleuth eliminates the naive 'blame the latest commit' heuristic and drastically reduces Mean Time to Resolution (MTTR).</w:t>
      </w:r>
    </w:p>
    <w:p>
      <w:pPr>
        <w:spacing w:line="324" w:lineRule="auto" w:after="120"/>
        <w:jc w:val="both"/>
      </w:pPr>
      <w:r>
        <w:rPr>
          <w:rFonts w:ascii="Times New Roman" w:hAnsi="Times New Roman"/>
          <w:color w:val="1E293B"/>
          <w:sz w:val="24"/>
        </w:rPr>
        <w:t>Throughout this project, Git and GitHub have proven indispensable as the foundational version control and configuration management infrastructure. Git provides rock-solid commit history, cryptographic SHA-1/SHA-256 change tracking, branch isolation, and client-side hook validation. GitHub extends these capabilities with remote team collaboration, pull request review workflows, automated webhook dispatching, and semantic release tagging. Across all ten evaluated SCM activities—from Tool Implementation and Baseline Versioning to Change Control, Problem Tracking, Promotional Quality Gates, Configuration Auditing, Access Security, Customization, and Web Enabling—CommitSleuth exemplifies an end-to-end, auditable, and resilient SCM platform.</w:t>
      </w:r>
    </w:p>
    <w:p>
      <w:pPr>
        <w:pStyle w:val="Heading2"/>
        <w:keepNext/>
        <w:spacing w:before="240" w:after="80"/>
      </w:pPr>
      <w:r>
        <w:rPr>
          <w:rFonts w:ascii="Times New Roman" w:hAnsi="Times New Roman"/>
          <w:b/>
          <w:color w:val="1E3A8A"/>
          <w:sz w:val="26"/>
        </w:rPr>
        <w:t>18.1 SCM Implementation Maturity Summary</w:t>
      </w:r>
    </w:p>
    <w:p>
      <w:pPr>
        <w:spacing w:line="324" w:lineRule="auto" w:after="120"/>
        <w:jc w:val="both"/>
      </w:pPr>
      <w:r>
        <w:rPr>
          <w:rFonts w:ascii="Times New Roman" w:hAnsi="Times New Roman"/>
          <w:color w:val="1E293B"/>
          <w:sz w:val="24"/>
        </w:rPr>
        <w:t>• Fully Implemented: Version Management (Git branches, commits, tags), Change Management (CR-001..CR-016), Problem Tracking (BUG-024 lifecycle), Promotional Management (staged quality gates), System Accounting (20 CIs &amp; CSAR), Configuration Auditing (FCA/PCA), Access &amp; Security (RBAC &amp; audit trail), Customization (YAML scoring weights), and Web Enabling (Flask portal).</w:t>
        <w:br/>
        <w:t>• Partially Implemented / Simulated: Full enterprise webhook integration with Jenkins (simulated via REST endpoints and live Maven Surefire execution).</w:t>
        <w:br/>
        <w:t>• Future Enhancements: Integration with distributed messaging services (Slack, Microsoft Teams), AI-driven NLP log summarization, and automated rollback pull request generation via GitHub API.</w:t>
      </w:r>
    </w:p>
    <w:p>
      <w:pPr>
        <w:pStyle w:val="Heading1"/>
        <w:keepNext/>
        <w:spacing w:before="360" w:after="120"/>
      </w:pPr>
      <w:r>
        <w:rPr>
          <w:rFonts w:ascii="Times New Roman" w:hAnsi="Times New Roman"/>
          <w:b/>
          <w:color w:val="0F172A"/>
          <w:sz w:val="30"/>
        </w:rPr>
        <w:t>Section 19 — References</w:t>
      </w:r>
    </w:p>
    <w:p>
      <w:pPr>
        <w:spacing w:line="324" w:lineRule="auto" w:after="80"/>
        <w:jc w:val="both"/>
      </w:pPr>
      <w:r>
        <w:rPr>
          <w:rFonts w:ascii="Times New Roman" w:hAnsi="Times New Roman"/>
          <w:color w:val="1E293B"/>
          <w:sz w:val="24"/>
        </w:rPr>
        <w:t>1. IEEE Std 828-2012, 'IEEE Standard for Configuration Management in Systems and Software Engineering', IEEE Computer Society, 2012.</w:t>
      </w:r>
    </w:p>
    <w:p>
      <w:pPr>
        <w:spacing w:line="324" w:lineRule="auto" w:after="80"/>
        <w:jc w:val="both"/>
      </w:pPr>
      <w:r>
        <w:rPr>
          <w:rFonts w:ascii="Times New Roman" w:hAnsi="Times New Roman"/>
          <w:color w:val="1E293B"/>
          <w:sz w:val="24"/>
        </w:rPr>
        <w:t>2. Chacon, S., &amp; Straub, B., 'Pro Git: Everything you need to know about Git', 2nd Edition, Apress, 2014. Available: https://git-scm.com/book/en/v2</w:t>
      </w:r>
    </w:p>
    <w:p>
      <w:pPr>
        <w:spacing w:line="324" w:lineRule="auto" w:after="80"/>
        <w:jc w:val="both"/>
      </w:pPr>
      <w:r>
        <w:rPr>
          <w:rFonts w:ascii="Times New Roman" w:hAnsi="Times New Roman"/>
          <w:color w:val="1E293B"/>
          <w:sz w:val="24"/>
        </w:rPr>
        <w:t>3. GitHub Documentation, 'About pull requests and protected branches', GitHub Docs, 2026. Available: https://docs.github.com/en/pull-requests</w:t>
      </w:r>
    </w:p>
    <w:p>
      <w:pPr>
        <w:spacing w:line="324" w:lineRule="auto" w:after="80"/>
        <w:jc w:val="both"/>
      </w:pPr>
      <w:r>
        <w:rPr>
          <w:rFonts w:ascii="Times New Roman" w:hAnsi="Times New Roman"/>
          <w:color w:val="1E293B"/>
          <w:sz w:val="24"/>
        </w:rPr>
        <w:t>4. Apache Maven Project, 'Maven Surefire Plugin — Running Unit Tests', Apache Software Foundation, 2024. Available: https://maven.apache.org/surefire/maven-surefire-plugin/</w:t>
      </w:r>
    </w:p>
    <w:p>
      <w:pPr>
        <w:spacing w:line="324" w:lineRule="auto" w:after="80"/>
        <w:jc w:val="both"/>
      </w:pPr>
      <w:r>
        <w:rPr>
          <w:rFonts w:ascii="Times New Roman" w:hAnsi="Times New Roman"/>
          <w:color w:val="1E293B"/>
          <w:sz w:val="24"/>
        </w:rPr>
        <w:t>5. Smart, J. F., 'Jenkins: The Definitive Guide', O'Reilly Media, 2011. Available: https://www.jenkins.io/doc/</w:t>
      </w:r>
    </w:p>
    <w:p>
      <w:pPr>
        <w:spacing w:line="324" w:lineRule="auto" w:after="80"/>
        <w:jc w:val="both"/>
      </w:pPr>
      <w:r>
        <w:rPr>
          <w:rFonts w:ascii="Times New Roman" w:hAnsi="Times New Roman"/>
          <w:color w:val="1E293B"/>
          <w:sz w:val="24"/>
        </w:rPr>
        <w:t>6. Grinberg, M., 'Flask Web Development: Developing Web Applications with Python', 2nd Edition, O'Reilly Media, 2018.</w:t>
      </w:r>
    </w:p>
    <w:p>
      <w:pPr>
        <w:spacing w:line="324" w:lineRule="auto" w:after="80"/>
        <w:jc w:val="both"/>
      </w:pPr>
      <w:r>
        <w:rPr>
          <w:rFonts w:ascii="Times New Roman" w:hAnsi="Times New Roman"/>
          <w:color w:val="1E293B"/>
          <w:sz w:val="24"/>
        </w:rPr>
        <w:t>7. JUnit Team, 'JUnit 5 User Guide', 2024. Available: https://junit.org/junit5/docs/current/user-guide/</w:t>
      </w:r>
    </w:p>
    <w:p>
      <w:pPr>
        <w:spacing w:line="324" w:lineRule="auto" w:after="80"/>
        <w:jc w:val="both"/>
      </w:pPr>
      <w:r>
        <w:rPr>
          <w:rFonts w:ascii="Times New Roman" w:hAnsi="Times New Roman"/>
          <w:color w:val="1E293B"/>
          <w:sz w:val="24"/>
        </w:rPr>
        <w:t>8. CommitSleuth Project Repository &amp; SCM Documentation: https://github.com/prakashumapathi07-spec/COMMITSLEUTHSCM.git</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CommitSleuth SCM Documentation | Page </w:t>
    </w:r>
    <w:r>
      <w:rPr>
        <w:rFonts w:ascii="Times New Roman" w:hAnsi="Times New Roman"/>
        <w:color w:val="646464"/>
        <w:sz w:val="19"/>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CommitSleuth — SCM Final Review (ISWE403L)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