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color w:val="0F172A"/>
          <w:sz w:val="30"/>
        </w:rPr>
        <w:t>VELLORE INSTITUTE OF TECHNOLOGY (VIT), VELLORE</w:t>
        <w:br/>
      </w:r>
      <w:r>
        <w:rPr>
          <w:rFonts w:ascii="Times New Roman" w:hAnsi="Times New Roman"/>
          <w:color w:val="475569"/>
          <w:sz w:val="24"/>
        </w:rPr>
        <w:t>School of Computer Science Engineering and Information Systems (SCOPE)</w:t>
        <w:br/>
      </w:r>
      <w:r>
        <w:rPr>
          <w:rFonts w:ascii="Times New Roman" w:hAnsi="Times New Roman"/>
          <w:b/>
          <w:color w:val="1E3A8A"/>
          <w:sz w:val="26"/>
        </w:rPr>
        <w:t>ISWE403L — SOFTWARE CONFIGURATION MANAGEMENT</w:t>
        <w:br/>
      </w:r>
    </w:p>
    <w:p>
      <w:pPr>
        <w:spacing w:before="80" w:after="360"/>
        <w:jc w:val="center"/>
      </w:pPr>
      <w:r>
        <w:rPr>
          <w:color w:val="CBD5E1"/>
        </w:rPr>
        <w:t>——————————————————————————————————————</w:t>
      </w:r>
    </w:p>
    <w:p>
      <w:pPr>
        <w:spacing w:before="200" w:after="120"/>
        <w:jc w:val="center"/>
      </w:pPr>
      <w:r>
        <w:rPr>
          <w:rFonts w:ascii="Times New Roman" w:hAnsi="Times New Roman"/>
          <w:b/>
          <w:color w:val="0F172A"/>
          <w:sz w:val="48"/>
        </w:rPr>
        <w:t>CommitSleuth</w:t>
        <w:br/>
      </w:r>
      <w:r>
        <w:rPr>
          <w:rFonts w:ascii="Times New Roman" w:hAnsi="Times New Roman"/>
          <w:i/>
          <w:color w:val="475569"/>
          <w:sz w:val="26"/>
        </w:rPr>
        <w:t>An Automated Build Failure Tracking and Developer Alert System Using Software Configuration Management</w:t>
        <w:br/>
      </w:r>
    </w:p>
    <w:p>
      <w:pPr>
        <w:spacing w:before="240" w:after="480"/>
        <w:jc w:val="center"/>
      </w:pPr>
      <w:r>
        <w:rPr>
          <w:rFonts w:ascii="Times New Roman" w:hAnsi="Times New Roman"/>
          <w:b/>
          <w:color w:val="DC2626"/>
          <w:sz w:val="26"/>
        </w:rPr>
        <w:t>FINAL TOOL DEMONSTRATION EVALUATION (REVIEW-III)</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70" w:type="dxa"/>
              <w:bottom w:w="70" w:type="dxa"/>
              <w:left w:w="100" w:type="dxa"/>
              <w:right w:w="100" w:type="dxa"/>
            </w:tcMar>
            <w:shd w:val="clear" w:color="auto" w:fill="F8FAFC"/>
          </w:tcPr>
          <w:p>
            <w:pPr>
              <w:spacing w:line="276" w:lineRule="auto"/>
            </w:pPr>
            <w:r>
              <w:rPr>
                <w:rFonts w:ascii="Times New Roman" w:hAnsi="Times New Roman"/>
                <w:b/>
                <w:color w:val="0F172A"/>
                <w:sz w:val="22"/>
              </w:rPr>
              <w:t>Course Details:</w:t>
            </w:r>
          </w:p>
        </w:tc>
        <w:tc>
          <w:tcPr>
            <w:tcW w:type="dxa" w:w="6048"/>
            <w:tcMar>
              <w:top w:w="70" w:type="dxa"/>
              <w:bottom w:w="70" w:type="dxa"/>
              <w:left w:w="100" w:type="dxa"/>
              <w:right w:w="100" w:type="dxa"/>
            </w:tcMar>
          </w:tcPr>
          <w:p>
            <w:pPr>
              <w:spacing w:line="276" w:lineRule="auto"/>
            </w:pPr>
            <w:r>
              <w:rPr>
                <w:rFonts w:ascii="Times New Roman" w:hAnsi="Times New Roman"/>
                <w:color w:val="1E293B"/>
                <w:sz w:val="22"/>
              </w:rPr>
              <w:t>ISWE403L — Software Configuration Management</w:t>
            </w:r>
          </w:p>
        </w:tc>
      </w:tr>
      <w:tr>
        <w:tc>
          <w:tcPr>
            <w:tcW w:type="dxa" w:w="3168"/>
            <w:tcMar>
              <w:top w:w="70" w:type="dxa"/>
              <w:bottom w:w="70" w:type="dxa"/>
              <w:left w:w="100" w:type="dxa"/>
              <w:right w:w="100" w:type="dxa"/>
            </w:tcMar>
            <w:shd w:val="clear" w:color="auto" w:fill="F8FAFC"/>
          </w:tcPr>
          <w:p>
            <w:pPr>
              <w:spacing w:line="276" w:lineRule="auto"/>
            </w:pPr>
            <w:r>
              <w:rPr>
                <w:rFonts w:ascii="Times New Roman" w:hAnsi="Times New Roman"/>
                <w:b/>
                <w:color w:val="0F172A"/>
                <w:sz w:val="22"/>
              </w:rPr>
              <w:t>Evaluation:</w:t>
            </w:r>
          </w:p>
        </w:tc>
        <w:tc>
          <w:tcPr>
            <w:tcW w:type="dxa" w:w="6048"/>
            <w:tcMar>
              <w:top w:w="70" w:type="dxa"/>
              <w:bottom w:w="70" w:type="dxa"/>
              <w:left w:w="100" w:type="dxa"/>
              <w:right w:w="100" w:type="dxa"/>
            </w:tcMar>
          </w:tcPr>
          <w:p>
            <w:pPr>
              <w:spacing w:line="276" w:lineRule="auto"/>
            </w:pPr>
            <w:r>
              <w:rPr>
                <w:rFonts w:ascii="Times New Roman" w:hAnsi="Times New Roman"/>
                <w:color w:val="1E293B"/>
                <w:sz w:val="22"/>
              </w:rPr>
              <w:t>Final Tool Demonstration Evaluation (Review-III)</w:t>
            </w:r>
          </w:p>
        </w:tc>
      </w:tr>
      <w:tr>
        <w:tc>
          <w:tcPr>
            <w:tcW w:type="dxa" w:w="3168"/>
            <w:tcMar>
              <w:top w:w="70" w:type="dxa"/>
              <w:bottom w:w="70" w:type="dxa"/>
              <w:left w:w="100" w:type="dxa"/>
              <w:right w:w="100" w:type="dxa"/>
            </w:tcMar>
            <w:shd w:val="clear" w:color="auto" w:fill="F8FAFC"/>
          </w:tcPr>
          <w:p>
            <w:pPr>
              <w:spacing w:line="276" w:lineRule="auto"/>
            </w:pPr>
            <w:r>
              <w:rPr>
                <w:rFonts w:ascii="Times New Roman" w:hAnsi="Times New Roman"/>
                <w:b/>
                <w:color w:val="0F172A"/>
                <w:sz w:val="22"/>
              </w:rPr>
              <w:t>Faculty Guide:</w:t>
            </w:r>
          </w:p>
        </w:tc>
        <w:tc>
          <w:tcPr>
            <w:tcW w:type="dxa" w:w="6048"/>
            <w:tcMar>
              <w:top w:w="70" w:type="dxa"/>
              <w:bottom w:w="70" w:type="dxa"/>
              <w:left w:w="100" w:type="dxa"/>
              <w:right w:w="100" w:type="dxa"/>
            </w:tcMar>
          </w:tcPr>
          <w:p>
            <w:pPr>
              <w:spacing w:line="276" w:lineRule="auto"/>
            </w:pPr>
            <w:r>
              <w:rPr>
                <w:rFonts w:ascii="Times New Roman" w:hAnsi="Times New Roman"/>
                <w:color w:val="1E293B"/>
                <w:sz w:val="22"/>
              </w:rPr>
              <w:t>Prof. Senthil Kumar P</w:t>
            </w:r>
          </w:p>
        </w:tc>
      </w:tr>
      <w:tr>
        <w:tc>
          <w:tcPr>
            <w:tcW w:type="dxa" w:w="3168"/>
            <w:tcMar>
              <w:top w:w="70" w:type="dxa"/>
              <w:bottom w:w="70" w:type="dxa"/>
              <w:left w:w="100" w:type="dxa"/>
              <w:right w:w="100" w:type="dxa"/>
            </w:tcMar>
            <w:shd w:val="clear" w:color="auto" w:fill="F8FAFC"/>
          </w:tcPr>
          <w:p>
            <w:pPr>
              <w:spacing w:line="276" w:lineRule="auto"/>
            </w:pPr>
            <w:r>
              <w:rPr>
                <w:rFonts w:ascii="Times New Roman" w:hAnsi="Times New Roman"/>
                <w:b/>
                <w:color w:val="0F172A"/>
                <w:sz w:val="22"/>
              </w:rPr>
              <w:t>Slot:</w:t>
            </w:r>
          </w:p>
        </w:tc>
        <w:tc>
          <w:tcPr>
            <w:tcW w:type="dxa" w:w="6048"/>
            <w:tcMar>
              <w:top w:w="70" w:type="dxa"/>
              <w:bottom w:w="70" w:type="dxa"/>
              <w:left w:w="100" w:type="dxa"/>
              <w:right w:w="100" w:type="dxa"/>
            </w:tcMar>
          </w:tcPr>
          <w:p>
            <w:pPr>
              <w:spacing w:line="276" w:lineRule="auto"/>
            </w:pPr>
            <w:r>
              <w:rPr>
                <w:rFonts w:ascii="Times New Roman" w:hAnsi="Times New Roman"/>
                <w:color w:val="1E293B"/>
                <w:sz w:val="22"/>
              </w:rPr>
              <w:t>E1 + TE1</w:t>
            </w:r>
          </w:p>
        </w:tc>
      </w:tr>
      <w:tr>
        <w:tc>
          <w:tcPr>
            <w:tcW w:type="dxa" w:w="3168"/>
            <w:tcMar>
              <w:top w:w="70" w:type="dxa"/>
              <w:bottom w:w="70" w:type="dxa"/>
              <w:left w:w="100" w:type="dxa"/>
              <w:right w:w="100" w:type="dxa"/>
            </w:tcMar>
            <w:shd w:val="clear" w:color="auto" w:fill="F8FAFC"/>
          </w:tcPr>
          <w:p>
            <w:pPr>
              <w:spacing w:line="276" w:lineRule="auto"/>
            </w:pPr>
            <w:r>
              <w:rPr>
                <w:rFonts w:ascii="Times New Roman" w:hAnsi="Times New Roman"/>
                <w:b/>
                <w:color w:val="0F172A"/>
                <w:sz w:val="22"/>
              </w:rPr>
              <w:t>SCM Tool Selected:</w:t>
            </w:r>
          </w:p>
        </w:tc>
        <w:tc>
          <w:tcPr>
            <w:tcW w:type="dxa" w:w="6048"/>
            <w:tcMar>
              <w:top w:w="70" w:type="dxa"/>
              <w:bottom w:w="70" w:type="dxa"/>
              <w:left w:w="100" w:type="dxa"/>
              <w:right w:w="100" w:type="dxa"/>
            </w:tcMar>
          </w:tcPr>
          <w:p>
            <w:pPr>
              <w:spacing w:line="276" w:lineRule="auto"/>
            </w:pPr>
            <w:r>
              <w:rPr>
                <w:rFonts w:ascii="Times New Roman" w:hAnsi="Times New Roman"/>
                <w:color w:val="1E293B"/>
                <w:sz w:val="22"/>
              </w:rPr>
              <w:t>Git &amp; GitHub (Primary SCM Toolchain)</w:t>
            </w:r>
          </w:p>
        </w:tc>
      </w:tr>
      <w:tr>
        <w:tc>
          <w:tcPr>
            <w:tcW w:type="dxa" w:w="3168"/>
            <w:tcMar>
              <w:top w:w="70" w:type="dxa"/>
              <w:bottom w:w="70" w:type="dxa"/>
              <w:left w:w="100" w:type="dxa"/>
              <w:right w:w="100" w:type="dxa"/>
            </w:tcMar>
            <w:shd w:val="clear" w:color="auto" w:fill="F8FAFC"/>
          </w:tcPr>
          <w:p>
            <w:pPr>
              <w:spacing w:line="276" w:lineRule="auto"/>
            </w:pPr>
            <w:r>
              <w:rPr>
                <w:rFonts w:ascii="Times New Roman" w:hAnsi="Times New Roman"/>
                <w:b/>
                <w:color w:val="0F172A"/>
                <w:sz w:val="22"/>
              </w:rPr>
              <w:t>GitHub Repository:</w:t>
            </w:r>
          </w:p>
        </w:tc>
        <w:tc>
          <w:tcPr>
            <w:tcW w:type="dxa" w:w="6048"/>
            <w:tcMar>
              <w:top w:w="70" w:type="dxa"/>
              <w:bottom w:w="70" w:type="dxa"/>
              <w:left w:w="100" w:type="dxa"/>
              <w:right w:w="100" w:type="dxa"/>
            </w:tcMar>
          </w:tcPr>
          <w:p>
            <w:pPr>
              <w:spacing w:line="276" w:lineRule="auto"/>
            </w:pPr>
            <w:r>
              <w:rPr>
                <w:rFonts w:ascii="Times New Roman" w:hAnsi="Times New Roman"/>
                <w:color w:val="1E293B"/>
                <w:sz w:val="22"/>
              </w:rPr>
              <w:t>https://github.com/prakashumapathi07-spec/COMMITSLEUTHSCM.git</w:t>
            </w:r>
          </w:p>
        </w:tc>
      </w:tr>
    </w:tbl>
    <w:p>
      <w:pPr>
        <w:spacing w:before="640" w:after="80"/>
        <w:jc w:val="center"/>
      </w:pPr>
      <w:r>
        <w:rPr>
          <w:rFonts w:ascii="Times New Roman" w:hAnsi="Times New Roman"/>
          <w:b/>
          <w:color w:val="0F172A"/>
          <w:sz w:val="24"/>
        </w:rPr>
        <w:t>Project Team Members:</w:t>
        <w:br/>
      </w:r>
    </w:p>
    <w:p>
      <w:pPr>
        <w:spacing w:before="80" w:line="300" w:lineRule="auto"/>
        <w:jc w:val="center"/>
      </w:pPr>
      <w:r>
        <w:rPr>
          <w:rFonts w:ascii="Times New Roman" w:hAnsi="Times New Roman"/>
          <w:b/>
          <w:color w:val="1E3A8A"/>
          <w:sz w:val="24"/>
        </w:rPr>
        <w:t>Prakash Raj U — Register No: 23MIS0180</w:t>
        <w:br/>
      </w:r>
      <w:r>
        <w:rPr>
          <w:rFonts w:ascii="Times New Roman" w:hAnsi="Times New Roman"/>
          <w:b/>
          <w:color w:val="1E3A8A"/>
          <w:sz w:val="24"/>
        </w:rPr>
        <w:t>Bharathwaraj K S — Register No: 23MIS0070</w:t>
        <w:br/>
      </w:r>
    </w:p>
    <w:p>
      <w:pPr>
        <w:spacing w:before="400"/>
        <w:jc w:val="center"/>
      </w:pPr>
      <w:r>
        <w:rPr>
          <w:rFonts w:ascii="Times New Roman" w:hAnsi="Times New Roman"/>
          <w:color w:val="64748B"/>
          <w:sz w:val="22"/>
        </w:rPr>
        <w:t>Academic Year: 2026 – 2027 | VIT Vellore</w:t>
      </w:r>
    </w:p>
    <w:p>
      <w:r>
        <w:br w:type="page"/>
      </w:r>
    </w:p>
    <w:p>
      <w:pPr>
        <w:keepNext/>
        <w:spacing w:before="360" w:after="120"/>
      </w:pPr>
      <w:r>
        <w:rPr>
          <w:rFonts w:ascii="Times New Roman" w:hAnsi="Times New Roman"/>
          <w:b/>
          <w:color w:val="0F172A"/>
          <w:sz w:val="28"/>
        </w:rPr>
        <w:t>1. Introduction</w:t>
      </w:r>
    </w:p>
    <w:p>
      <w:pPr>
        <w:spacing w:line="324" w:lineRule="auto" w:after="120"/>
        <w:jc w:val="both"/>
      </w:pPr>
      <w:r>
        <w:rPr>
          <w:rFonts w:ascii="Times New Roman" w:hAnsi="Times New Roman"/>
          <w:color w:val="1E293B"/>
          <w:sz w:val="24"/>
        </w:rPr>
        <w:t>CommitSleuth is an automated continuous integration build failure tracking, root-cause investigation, and developer alert platform grounded in Software Configuration Management (SCM) principles. In high-velocity software engineering environments, multiple developers continuously push code changes across separate feature branches. When automated pipelines fail after several commits are integrated, continuous integration engines such as Jenkins typically mark the entire pipeline as broken but cannot pinpoint which specific code change introduced the fault. This challenge is formally known as the batching problem. Common industry practice often resorts to an ad-hoc and error-prone heuristic—blaming the latest commit author (HEAD)—even when that commit represents a trivial or unrelated modification.</w:t>
      </w:r>
    </w:p>
    <w:p>
      <w:pPr>
        <w:spacing w:line="324" w:lineRule="auto" w:after="120"/>
        <w:jc w:val="both"/>
      </w:pPr>
      <w:r>
        <w:rPr>
          <w:rFonts w:ascii="Times New Roman" w:hAnsi="Times New Roman"/>
          <w:color w:val="1E293B"/>
          <w:sz w:val="24"/>
        </w:rPr>
        <w:t>To solve this problem, CommitSleuth integrates Git, GitHub, Jenkins, Apache Maven, and a centralized relational status database into an end-to-end SCM ecosystem. The platform automatically intercepts build execution failures, parses compiler and unit test error signatures, analyzes candidate commits introduced since the last successful baseline, and computes transparent, evidence-based confidence scores using a multi-factor attribution engine. The system subsequently generates incident problem records, dispatches actionable developer alerts, provides interactive fix suggestions, verifies subsequent corrective commits, and enforces strict promotional quality gates across deployment environments.</w:t>
      </w:r>
    </w:p>
    <w:p>
      <w:pPr>
        <w:spacing w:line="324" w:lineRule="auto" w:after="120"/>
        <w:jc w:val="both"/>
      </w:pPr>
      <w:r>
        <w:rPr>
          <w:rFonts w:ascii="Times New Roman" w:hAnsi="Times New Roman"/>
          <w:color w:val="1E293B"/>
          <w:sz w:val="24"/>
        </w:rPr>
        <w:t>Git and GitHub serve as the primary foundational pillars for Software Configuration Management in CommitSleuth. Git provides distributed version control, atomic commits, commit SHA integrity, and local branch isolation. GitHub acts as the remote authoritative repository, facilitating multi-developer collaboration, feature-branch pull requests, code reviews, automated webhook triggers, and immutable release tagging. Together with client-side commit message hooks and automated pipeline hooks, Git and GitHub ensure rigorous configuration identification, baseline stability, and comprehensive traceability across the entire software development lifecycle.</w:t>
      </w:r>
    </w:p>
    <w:p>
      <w:pPr>
        <w:keepNext/>
        <w:spacing w:before="360" w:after="120"/>
      </w:pPr>
      <w:r>
        <w:rPr>
          <w:rFonts w:ascii="Times New Roman" w:hAnsi="Times New Roman"/>
          <w:b/>
          <w:color w:val="0F172A"/>
          <w:sz w:val="28"/>
        </w:rPr>
        <w:t>2. Tool Implementation</w:t>
      </w:r>
    </w:p>
    <w:p>
      <w:pPr>
        <w:spacing w:line="324" w:lineRule="auto" w:after="120"/>
        <w:jc w:val="both"/>
      </w:pPr>
      <w:r>
        <w:rPr>
          <w:rFonts w:ascii="Times New Roman" w:hAnsi="Times New Roman"/>
          <w:color w:val="1E293B"/>
          <w:sz w:val="24"/>
        </w:rPr>
        <w:t>Tool Implementation represents the foundational SCM activity that unites the software toolchain into a cohesive, automated workflow. CommitSleuth establishes Git and GitHub as its primary, authoritative version management backbone, tightly integrated with Apache Maven for automated Java compilation and JUnit 5 Surefire test execution, Jenkins for declarative CI/CD pipeline orchestration, Python for failure parsing and heuristic attribution scoring, SQLite for persistent configuration status accounting, and Flask for an interactive, light-theme web dashboard.</w:t>
      </w:r>
    </w:p>
    <w:p>
      <w:pPr>
        <w:spacing w:line="324" w:lineRule="auto" w:after="120"/>
        <w:jc w:val="both"/>
      </w:pPr>
      <w:r>
        <w:rPr>
          <w:rFonts w:ascii="Times New Roman" w:hAnsi="Times New Roman"/>
          <w:color w:val="1E293B"/>
          <w:sz w:val="24"/>
        </w:rPr>
        <w:t>The authoritative GitHub repository (https://github.com/prakashumapathi07-spec/COMMITSLEUTHSCM.git) governs all controlled Configuration Items (CIs), branch topologies, code diffs, pull request gates, and cryptographic release tags. All project files—including build descriptors (pom.xml, Jenkinsfile), Python analysis engines (parser/, analyzer/, alerts/), database schemas, and documentation—are maintained under strict version control with enforced Change Request identifiers.</w:t>
      </w:r>
    </w:p>
    <w:p>
      <w:pPr>
        <w:keepNext/>
        <w:spacing w:before="160" w:after="80"/>
        <w:jc w:val="center"/>
      </w:pPr>
      <w:r>
        <w:drawing>
          <wp:inline xmlns:a="http://schemas.openxmlformats.org/drawingml/2006/main" xmlns:pic="http://schemas.openxmlformats.org/drawingml/2006/picture">
            <wp:extent cx="5486400" cy="3711388"/>
            <wp:docPr id="1" name="Picture 1"/>
            <wp:cNvGraphicFramePr>
              <a:graphicFrameLocks noChangeAspect="1"/>
            </wp:cNvGraphicFramePr>
            <a:graphic>
              <a:graphicData uri="http://schemas.openxmlformats.org/drawingml/2006/picture">
                <pic:pic>
                  <pic:nvPicPr>
                    <pic:cNvPr id="0" name="git_01_repo_overview.png"/>
                    <pic:cNvPicPr/>
                  </pic:nvPicPr>
                  <pic:blipFill>
                    <a:blip r:embed="rId10"/>
                    <a:stretch>
                      <a:fillRect/>
                    </a:stretch>
                  </pic:blipFill>
                  <pic:spPr>
                    <a:xfrm>
                      <a:off x="0" y="0"/>
                      <a:ext cx="5486400" cy="3711388"/>
                    </a:xfrm>
                    <a:prstGeom prst="rect"/>
                  </pic:spPr>
                </pic:pic>
              </a:graphicData>
            </a:graphic>
          </wp:inline>
        </w:drawing>
      </w:r>
    </w:p>
    <w:p>
      <w:pPr>
        <w:keepNext/>
        <w:spacing w:before="40" w:after="120"/>
        <w:jc w:val="center"/>
      </w:pPr>
      <w:r>
        <w:rPr>
          <w:rFonts w:ascii="Times New Roman" w:hAnsi="Times New Roman"/>
          <w:b/>
          <w:i/>
          <w:color w:val="334155"/>
          <w:sz w:val="21"/>
        </w:rPr>
        <w:t>Figure 1: GitHub Repository Overview &amp; File Tree Structure (COMMITSLEUTHSCM)</w:t>
      </w:r>
    </w:p>
    <w:p>
      <w:pPr>
        <w:spacing w:line="324" w:lineRule="auto" w:after="200"/>
        <w:jc w:val="both"/>
      </w:pPr>
      <w:r>
        <w:rPr>
          <w:rFonts w:ascii="Times New Roman" w:hAnsi="Times New Roman"/>
          <w:b/>
          <w:color w:val="0F172A"/>
          <w:sz w:val="24"/>
        </w:rPr>
        <w:t xml:space="preserve">Figure 1 Explanation: </w:t>
      </w:r>
      <w:r>
        <w:rPr>
          <w:rFonts w:ascii="Times New Roman" w:hAnsi="Times New Roman"/>
          <w:color w:val="1E293B"/>
          <w:sz w:val="24"/>
        </w:rPr>
        <w:t>The primary GitHub repository overview illustrates the controlled repository structure for CommitSleuth under 'prakashumapathi07-spec/COMMITSLEUTHSCM'. The interface displays active branches (main, develop, feature branches), official release baseline tags (v1.0.0 Latest), the verified commit teaser for commit 70d43eb, team contributor statistics across Prakash Raj U and Bharathwaraj K S, repository languages (Java 54.2%, Python 36.4%), and the hierarchical directory tree containing Maven configurations, Python modules, database scripts, and test suites.</w:t>
      </w:r>
    </w:p>
    <w:p>
      <w:pPr>
        <w:keepNext/>
        <w:spacing w:before="240" w:after="80"/>
      </w:pPr>
      <w:r>
        <w:rPr>
          <w:rFonts w:ascii="Times New Roman" w:hAnsi="Times New Roman"/>
          <w:b/>
          <w:color w:val="1E293B"/>
          <w:sz w:val="25"/>
        </w:rPr>
        <w:t>2.1 End-to-End Build Failure Tracking Roadmap</w:t>
      </w:r>
    </w:p>
    <w:p>
      <w:pPr>
        <w:spacing w:line="324" w:lineRule="auto" w:after="120"/>
        <w:jc w:val="both"/>
      </w:pPr>
      <w:r>
        <w:rPr>
          <w:rFonts w:ascii="Times New Roman" w:hAnsi="Times New Roman"/>
          <w:color w:val="1E293B"/>
          <w:sz w:val="24"/>
        </w:rPr>
        <w:t>To systematically eliminate the 'Blame HEAD' fallacy, CommitSleuth implements an automated 9-phase failure tracking and resolution roadmap. This roadmap coordinates developer commits, continuous integration triggers, stack trace parsing, multi-factor attribution, automated incident recording, real-time alert dispatch, interactive diagnostics, corrective commits, and promotional gating into a continuous feedback loop:</w:t>
      </w:r>
    </w:p>
    <w:p>
      <w:pPr>
        <w:spacing w:line="324" w:lineRule="auto" w:after="120"/>
        <w:jc w:val="both"/>
      </w:pPr>
      <w:r>
        <w:rPr>
          <w:rFonts w:ascii="Times New Roman" w:hAnsi="Times New Roman"/>
          <w:color w:val="1E293B"/>
          <w:sz w:val="24"/>
        </w:rPr>
        <w:t>• Phase 1 (Developer Code Push): A developer commits code changes on a feature branch. Client-side Git hook hooks/commit-msg intercepts the commit to verify mandatory Change Request (CR) traceability.</w:t>
        <w:br/>
        <w:t>• Phase 2 (CI Pipeline &amp; Test Execution): GitHub webhooks trigger the Jenkins declarative pipeline. Apache Maven compiles Java classes and executes JUnit 5 Surefire automated unit tests.</w:t>
        <w:br/>
        <w:t>• Phase 3 (Build Failure Interception): When a test assertion or compilation error occurs (e.g. Build #128), Jenkins post-build steps intercept the failure exit code and archive console output and Surefire XML reports.</w:t>
        <w:br/>
        <w:t>• Phase 4 (Log Parsing &amp; Error Signature Extraction): CommitSleuth's log ingestion engine parses stack traces, extracting the exact failing class (ReportServiceTest), method, assertion delta, and candidate commit batch.</w:t>
        <w:br/>
        <w:t>• Phase 5 (Multi-Factor Blame Attribution): The heuristic engine evaluates candidate commits across four factors (File Matching 55%, Dependency Changes 25%, Commit Recency 10%, Change Size 10%), calculating a Bayesian blame attribution score.</w:t>
        <w:br/>
        <w:t>• Phase 6 (SCM Incident Record &amp; Alert Dispatch): The system creates a formal problem record (BUG-024) in the database and dispatches instant notifications to the web portal, email, and notification bus.</w:t>
        <w:br/>
        <w:t>• Phase 7 (Developer Diagnostic Portal): The responsible developer navigates to the failure dashboard (/failures/128) to inspect syntax-highlighted console logs, culprit diffs, and recommended one-click code fixes.</w:t>
        <w:br/>
        <w:t>• Phase 8 (Bugfix Checkout &amp; Verification Re-test): The developer creates an isolated bugfix branch, implements the approved corrective commit (referencing CR-010), and triggers automated verification Build #129.</w:t>
        <w:br/>
        <w:t>• Phase 9 (Verification &amp; Promotional Gate): Upon clean compilation and 100% test pass, BUG-024 is automatically transitioned to RESOLVED. SCM promotion gates verify audit checklists and authorize baseline advancement to Production (BL-05).</w:t>
      </w:r>
    </w:p>
    <w:p>
      <w:pPr>
        <w:keepNext/>
        <w:spacing w:before="160" w:after="80"/>
        <w:jc w:val="center"/>
      </w:pPr>
      <w:r>
        <w:drawing>
          <wp:inline xmlns:a="http://schemas.openxmlformats.org/drawingml/2006/main" xmlns:pic="http://schemas.openxmlformats.org/drawingml/2006/picture">
            <wp:extent cx="5486400" cy="3550024"/>
            <wp:docPr id="2" name="Picture 2"/>
            <wp:cNvGraphicFramePr>
              <a:graphicFrameLocks noChangeAspect="1"/>
            </wp:cNvGraphicFramePr>
            <a:graphic>
              <a:graphicData uri="http://schemas.openxmlformats.org/drawingml/2006/picture">
                <pic:pic>
                  <pic:nvPicPr>
                    <pic:cNvPr id="0" name="git_07_failure_tracking_roadmap.png"/>
                    <pic:cNvPicPr/>
                  </pic:nvPicPr>
                  <pic:blipFill>
                    <a:blip r:embed="rId11"/>
                    <a:stretch>
                      <a:fillRect/>
                    </a:stretch>
                  </pic:blipFill>
                  <pic:spPr>
                    <a:xfrm>
                      <a:off x="0" y="0"/>
                      <a:ext cx="5486400" cy="3550024"/>
                    </a:xfrm>
                    <a:prstGeom prst="rect"/>
                  </pic:spPr>
                </pic:pic>
              </a:graphicData>
            </a:graphic>
          </wp:inline>
        </w:drawing>
      </w:r>
    </w:p>
    <w:p>
      <w:pPr>
        <w:keepNext/>
        <w:spacing w:before="40" w:after="120"/>
        <w:jc w:val="center"/>
      </w:pPr>
      <w:r>
        <w:rPr>
          <w:rFonts w:ascii="Times New Roman" w:hAnsi="Times New Roman"/>
          <w:b/>
          <w:i/>
          <w:color w:val="334155"/>
          <w:sz w:val="21"/>
        </w:rPr>
        <w:t>Figure 2: CommitSleuth Build Failure Tracking &amp; Root-Cause Resolution Roadmap</w:t>
      </w:r>
    </w:p>
    <w:p>
      <w:pPr>
        <w:spacing w:line="324" w:lineRule="auto" w:after="200"/>
        <w:jc w:val="both"/>
      </w:pPr>
      <w:r>
        <w:rPr>
          <w:rFonts w:ascii="Times New Roman" w:hAnsi="Times New Roman"/>
          <w:b/>
          <w:color w:val="0F172A"/>
          <w:sz w:val="24"/>
        </w:rPr>
        <w:t xml:space="preserve">Figure 2 Explanation: </w:t>
      </w:r>
      <w:r>
        <w:rPr>
          <w:rFonts w:ascii="Times New Roman" w:hAnsi="Times New Roman"/>
          <w:color w:val="1E293B"/>
          <w:sz w:val="24"/>
        </w:rPr>
        <w:t>The Failure Tracking Roadmap diagram illustrates the comprehensive 9-stage operational lifecycle implemented in CommitSleuth. It maps how code transitions from local developer commits through automated CI execution, failure capture, heuristic blame attribution (88.5% confidence for BUG-024), real-time alerts, developer root-cause diagnosis, verified corrective commits (Build #129), and formal SCM promotional gate clearance.</w:t>
      </w:r>
    </w:p>
    <w:p>
      <w:pPr>
        <w:keepNext/>
        <w:spacing w:before="160" w:after="80"/>
        <w:jc w:val="center"/>
      </w:pPr>
      <w:r>
        <w:drawing>
          <wp:inline xmlns:a="http://schemas.openxmlformats.org/drawingml/2006/main" xmlns:pic="http://schemas.openxmlformats.org/drawingml/2006/picture">
            <wp:extent cx="5486400" cy="3114278"/>
            <wp:docPr id="3" name="Picture 3"/>
            <wp:cNvGraphicFramePr>
              <a:graphicFrameLocks noChangeAspect="1"/>
            </wp:cNvGraphicFramePr>
            <a:graphic>
              <a:graphicData uri="http://schemas.openxmlformats.org/drawingml/2006/picture">
                <pic:pic>
                  <pic:nvPicPr>
                    <pic:cNvPr id="0" name="fig01_dashboard.png"/>
                    <pic:cNvPicPr/>
                  </pic:nvPicPr>
                  <pic:blipFill>
                    <a:blip r:embed="rId12"/>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3: CommitSleuth Executive SCM Web Dashboard</w:t>
      </w:r>
    </w:p>
    <w:p>
      <w:pPr>
        <w:spacing w:line="324" w:lineRule="auto" w:after="200"/>
        <w:jc w:val="both"/>
      </w:pPr>
      <w:r>
        <w:rPr>
          <w:rFonts w:ascii="Times New Roman" w:hAnsi="Times New Roman"/>
          <w:b/>
          <w:color w:val="0F172A"/>
          <w:sz w:val="24"/>
        </w:rPr>
        <w:t xml:space="preserve">Figure 3 Explanation: </w:t>
      </w:r>
      <w:r>
        <w:rPr>
          <w:rFonts w:ascii="Times New Roman" w:hAnsi="Times New Roman"/>
          <w:color w:val="1E293B"/>
          <w:sz w:val="24"/>
        </w:rPr>
        <w:t>The Executive SCM Dashboard provides an integrated high-level view of continuous integration pipeline health, displaying calculated metrics such as total builds, build success rate (77.8%), open problem records, and unread alerts. It includes interactive visualizations of 30-day build trends, build status across the four TechNova modules, a collaborative developer activity panel, and recent pipeline executions.</w:t>
      </w:r>
    </w:p>
    <w:p>
      <w:pPr>
        <w:keepNext/>
        <w:spacing w:before="360" w:after="120"/>
      </w:pPr>
      <w:r>
        <w:rPr>
          <w:rFonts w:ascii="Times New Roman" w:hAnsi="Times New Roman"/>
          <w:b/>
          <w:color w:val="0F172A"/>
          <w:sz w:val="28"/>
        </w:rPr>
        <w:t>3. Version Management</w:t>
      </w:r>
    </w:p>
    <w:p>
      <w:pPr>
        <w:spacing w:line="324" w:lineRule="auto" w:after="120"/>
        <w:jc w:val="both"/>
      </w:pPr>
      <w:r>
        <w:rPr>
          <w:rFonts w:ascii="Times New Roman" w:hAnsi="Times New Roman"/>
          <w:color w:val="1E293B"/>
          <w:sz w:val="24"/>
        </w:rPr>
        <w:t>Version Management governs how revisions, branch evolutions, and baseline snapshots are identified, controlled, and recorded throughout the project lifecycle. In CommitSleuth, Git is utilized as the absolute source of truth for repository history. A structured branching model separates production code (main) from active integration and feature modules (feature/employee, feature/login, feature/reports, and feature/database). This guarantees that unstable feature developments remain completely isolated from stable production baselines.</w:t>
      </w:r>
    </w:p>
    <w:p>
      <w:pPr>
        <w:spacing w:line="324" w:lineRule="auto" w:after="120"/>
        <w:jc w:val="both"/>
      </w:pPr>
      <w:r>
        <w:rPr>
          <w:rFonts w:ascii="Times New Roman" w:hAnsi="Times New Roman"/>
          <w:color w:val="1E293B"/>
          <w:sz w:val="24"/>
        </w:rPr>
        <w:t>To enforce traceability between source revisions and approved tasks, a Git commit message hook (hooks/commit-msg) validates that every commit message begins with an approved Change Request identifier (e.g., CR-009). Furthermore, formal configuration baselines are established and tracked in the database: BL-01 (Requirements Baseline, v0.1.0-req), BL-02 (Design Baseline, v0.1.0), BL-03 (CI/Build Baseline, v0.1.0), BL-04 (Analysis Module Baseline, v0.2.0), and BL-05 (Final Release Baseline, v1.0.0). Each baseline associates approved configuration items with an immutable Git release tag, target commit hash, and CCB authorization record.</w:t>
      </w:r>
    </w:p>
    <w:p>
      <w:pPr>
        <w:keepNext/>
        <w:spacing w:before="160" w:after="80"/>
        <w:jc w:val="center"/>
      </w:pPr>
      <w:r>
        <w:drawing>
          <wp:inline xmlns:a="http://schemas.openxmlformats.org/drawingml/2006/main" xmlns:pic="http://schemas.openxmlformats.org/drawingml/2006/picture">
            <wp:extent cx="5486400" cy="3550024"/>
            <wp:docPr id="4" name="Picture 4"/>
            <wp:cNvGraphicFramePr>
              <a:graphicFrameLocks noChangeAspect="1"/>
            </wp:cNvGraphicFramePr>
            <a:graphic>
              <a:graphicData uri="http://schemas.openxmlformats.org/drawingml/2006/picture">
                <pic:pic>
                  <pic:nvPicPr>
                    <pic:cNvPr id="0" name="git_02_commit_history.png"/>
                    <pic:cNvPicPr/>
                  </pic:nvPicPr>
                  <pic:blipFill>
                    <a:blip r:embed="rId13"/>
                    <a:stretch>
                      <a:fillRect/>
                    </a:stretch>
                  </pic:blipFill>
                  <pic:spPr>
                    <a:xfrm>
                      <a:off x="0" y="0"/>
                      <a:ext cx="5486400" cy="3550024"/>
                    </a:xfrm>
                    <a:prstGeom prst="rect"/>
                  </pic:spPr>
                </pic:pic>
              </a:graphicData>
            </a:graphic>
          </wp:inline>
        </w:drawing>
      </w:r>
    </w:p>
    <w:p>
      <w:pPr>
        <w:keepNext/>
        <w:spacing w:before="40" w:after="120"/>
        <w:jc w:val="center"/>
      </w:pPr>
      <w:r>
        <w:rPr>
          <w:rFonts w:ascii="Times New Roman" w:hAnsi="Times New Roman"/>
          <w:b/>
          <w:i/>
          <w:color w:val="334155"/>
          <w:sz w:val="21"/>
        </w:rPr>
        <w:t>Figure 4: Git Commit History &amp; SCM Change Traceability Log</w:t>
      </w:r>
    </w:p>
    <w:p>
      <w:pPr>
        <w:spacing w:line="324" w:lineRule="auto" w:after="200"/>
        <w:jc w:val="both"/>
      </w:pPr>
      <w:r>
        <w:rPr>
          <w:rFonts w:ascii="Times New Roman" w:hAnsi="Times New Roman"/>
          <w:b/>
          <w:color w:val="0F172A"/>
          <w:sz w:val="24"/>
        </w:rPr>
        <w:t xml:space="preserve">Figure 4 Explanation: </w:t>
      </w:r>
      <w:r>
        <w:rPr>
          <w:rFonts w:ascii="Times New Roman" w:hAnsi="Times New Roman"/>
          <w:color w:val="1E293B"/>
          <w:sz w:val="24"/>
        </w:rPr>
        <w:t>The Git Commit History log demonstrates strict SCM traceability across the project lifecycle. Each commit displays verified cryptographic commit hashes (70d43eb, fa4b2c5, 11b38f4, etc.), author signatures for Prakash Raj U and Bharathwaraj K S, timestamps, and mandatory CR-xxx prefixes validated by git hooks, alongside terminal git log output showing branch decorations and merge parents.</w:t>
      </w:r>
    </w:p>
    <w:p>
      <w:pPr>
        <w:keepNext/>
        <w:spacing w:before="240" w:after="80"/>
      </w:pPr>
      <w:r>
        <w:rPr>
          <w:rFonts w:ascii="Times New Roman" w:hAnsi="Times New Roman"/>
          <w:b/>
          <w:color w:val="1E293B"/>
          <w:sz w:val="25"/>
        </w:rPr>
        <w:t>3.1 Team Developer Commit Traceability Tabulation</w:t>
      </w:r>
    </w:p>
    <w:p>
      <w:pPr>
        <w:spacing w:line="324" w:lineRule="auto" w:after="120"/>
        <w:jc w:val="both"/>
      </w:pPr>
      <w:r>
        <w:rPr>
          <w:rFonts w:ascii="Times New Roman" w:hAnsi="Times New Roman"/>
          <w:color w:val="1E293B"/>
          <w:sz w:val="24"/>
        </w:rPr>
        <w:t>The following tabulation records the complete, verified commit ledger of the CommitSleuth project. It maps individual developer commits directly to calendar dates, project authors, formal Change Requests (CR-001 through CR-016), Configuration Baselines (BL-01 through BL-05), and affected Configuration Items (CIs), providing 100% bidirectional traceability between requirements, code modifications, and release artifacts:</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1806"/>
        <w:gridCol w:w="1806"/>
        <w:gridCol w:w="1806"/>
        <w:gridCol w:w="1806"/>
        <w:gridCol w:w="1806"/>
      </w:tblGrid>
      <w:tr>
        <w:tc>
          <w:tcPr>
            <w:tcW w:type="dxa" w:w="1440"/>
            <w:tcMar>
              <w:top w:w="80" w:type="dxa"/>
              <w:bottom w:w="80" w:type="dxa"/>
              <w:left w:w="100" w:type="dxa"/>
              <w:right w:w="100" w:type="dxa"/>
            </w:tcMar>
            <w:shd w:val="clear" w:color="auto" w:fill="D9E1F2"/>
          </w:tcPr>
          <w:p>
            <w:pPr>
              <w:jc w:val="left"/>
            </w:pPr>
            <w:r>
              <w:rPr>
                <w:rFonts w:ascii="Times New Roman" w:hAnsi="Times New Roman"/>
                <w:b/>
                <w:color w:val="000000"/>
                <w:sz w:val="21"/>
              </w:rPr>
              <w:t>Commit</w:t>
            </w:r>
          </w:p>
        </w:tc>
        <w:tc>
          <w:tcPr>
            <w:tcW w:type="dxa" w:w="1440"/>
            <w:tcMar>
              <w:top w:w="80" w:type="dxa"/>
              <w:bottom w:w="80" w:type="dxa"/>
              <w:left w:w="100" w:type="dxa"/>
              <w:right w:w="100" w:type="dxa"/>
            </w:tcMar>
            <w:shd w:val="clear" w:color="auto" w:fill="D9E1F2"/>
          </w:tcPr>
          <w:p>
            <w:pPr>
              <w:jc w:val="left"/>
            </w:pPr>
            <w:r>
              <w:rPr>
                <w:rFonts w:ascii="Times New Roman" w:hAnsi="Times New Roman"/>
                <w:b/>
                <w:color w:val="000000"/>
                <w:sz w:val="21"/>
              </w:rPr>
              <w:t>Date</w:t>
            </w:r>
          </w:p>
        </w:tc>
        <w:tc>
          <w:tcPr>
            <w:tcW w:type="dxa" w:w="1872"/>
            <w:tcMar>
              <w:top w:w="80" w:type="dxa"/>
              <w:bottom w:w="80" w:type="dxa"/>
              <w:left w:w="100" w:type="dxa"/>
              <w:right w:w="100" w:type="dxa"/>
            </w:tcMar>
            <w:shd w:val="clear" w:color="auto" w:fill="D9E1F2"/>
          </w:tcPr>
          <w:p>
            <w:pPr>
              <w:jc w:val="left"/>
            </w:pPr>
            <w:r>
              <w:rPr>
                <w:rFonts w:ascii="Times New Roman" w:hAnsi="Times New Roman"/>
                <w:b/>
                <w:color w:val="000000"/>
                <w:sz w:val="21"/>
              </w:rPr>
              <w:t>Author</w:t>
            </w:r>
          </w:p>
        </w:tc>
        <w:tc>
          <w:tcPr>
            <w:tcW w:type="dxa" w:w="3312"/>
            <w:tcMar>
              <w:top w:w="80" w:type="dxa"/>
              <w:bottom w:w="80" w:type="dxa"/>
              <w:left w:w="100" w:type="dxa"/>
              <w:right w:w="100" w:type="dxa"/>
            </w:tcMar>
            <w:shd w:val="clear" w:color="auto" w:fill="D9E1F2"/>
          </w:tcPr>
          <w:p>
            <w:pPr>
              <w:jc w:val="left"/>
            </w:pPr>
            <w:r>
              <w:rPr>
                <w:rFonts w:ascii="Times New Roman" w:hAnsi="Times New Roman"/>
                <w:b/>
                <w:color w:val="000000"/>
                <w:sz w:val="21"/>
              </w:rPr>
              <w:t>Commit Message &amp; SCM Association</w:t>
            </w:r>
          </w:p>
        </w:tc>
        <w:tc>
          <w:tcPr>
            <w:tcW w:type="dxa" w:w="1440"/>
            <w:tcMar>
              <w:top w:w="80" w:type="dxa"/>
              <w:bottom w:w="80" w:type="dxa"/>
              <w:left w:w="100" w:type="dxa"/>
              <w:right w:w="100" w:type="dxa"/>
            </w:tcMar>
            <w:shd w:val="clear" w:color="auto" w:fill="D9E1F2"/>
          </w:tcPr>
          <w:p>
            <w:pPr>
              <w:jc w:val="left"/>
            </w:pPr>
            <w:r>
              <w:rPr>
                <w:rFonts w:ascii="Times New Roman" w:hAnsi="Times New Roman"/>
                <w:b/>
                <w:color w:val="000000"/>
                <w:sz w:val="21"/>
              </w:rPr>
              <w:t>Affected CI</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a7b2a71</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2026-10-05</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docs(ci-01, ci-02): initialize requirements, SCM plan &amp; directory structure [Requirements Baseline]</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CI-01, CI-02</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99bbeb5</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2026-10-08</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design(ci-03, ci-04): establish heuristic blame scoring weights &amp; database schema [Design Baseline]</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CI-03, CI-04</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f0ad7d0</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2026-10-10</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Merge pull request #1 from feature/scoring-config: implement YAML configuration [Baseline BL-04]</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CI-03, CI-05</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f1127d0</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2026-10-12</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feat(ci-05): implement executive SCM dashboard &amp; build recorder controller [CR-002]</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CI-05</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9297e33</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2026-10-14</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feat(ci-09): introduce calculation failure in Calculator add method for fault injection [CR-009]</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CI-09</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63e1e5b</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2026-10-15</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test(ci-06): update regression test notes &amp; automated Surefire assertion check [CR-009]</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CI-06</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e789c77</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2026-10-16</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fix(ci-09): resolve Calculator calculation defect and restore passing build [CR-009]</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CI-09</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0814589</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2026-10-16</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Merge pull request #2 from bugfix/demo-calc-failure: resolve defect BUG-024 (CR-009)</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CI-06, CI-09</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6f147e3</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2026-10-17</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feat(ci-02): add multi-encoding log parser support for Jenkins build recorder [CR-007]</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CI-02</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d6b3be0</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2026-10-18</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feat(ci-09): add range validation logic to Validator service for employee module [CR-010]</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CI-09</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077e17c</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2026-10-19</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feat(ci-09): update calculation logic in Calculator add method for boundary testing [CR-011]</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CI-09</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4025917</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2026-10-20</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Arun Kumar</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tune(ci-03): refine attribution scoring weights &amp; Bayesian confidence thresholds [CR-012]</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CI-03</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5fbf9c0</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2026-10-20</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Kavya Sharma</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test(ci-06): add collaborative team workflow &amp; multi-developer CI test matrix [CR-013]</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CI-06</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74aa410</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2026-10-21</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Merge pull request #4 from feature/multi-developer-collab into develop (CR-014)</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CI-06, CI-09</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7e43c78</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2026-10-21</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Merge branch develop into main: Production Release Baseline v1.0.0 [Release v1.0.0]</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Release v1.0.0</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11b38f4</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2026-10-22</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release(ci-10): finalize official release manifest, FCA/PCA sign-off &amp; audit checklist [BL-05]</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CI-10, Release v1.0.0</w:t>
            </w:r>
          </w:p>
        </w:tc>
      </w:tr>
      <w:tr>
        <w:tc>
          <w:tcPr>
            <w:tcW w:type="dxa" w:w="1440"/>
            <w:tcMar>
              <w:top w:w="60" w:type="dxa"/>
              <w:bottom w:w="60" w:type="dxa"/>
              <w:left w:w="90" w:type="dxa"/>
              <w:right w:w="90" w:type="dxa"/>
            </w:tcMar>
            <w:shd w:val="clear" w:color="auto" w:fill="FFFFFF"/>
          </w:tcPr>
          <w:p>
            <w:pPr>
              <w:spacing w:line="276" w:lineRule="auto"/>
              <w:jc w:val="left"/>
            </w:pPr>
            <w:r>
              <w:rPr>
                <w:rFonts w:ascii="Consolas" w:hAnsi="Consolas"/>
                <w:b/>
                <w:color w:val="0F172A"/>
                <w:sz w:val="19"/>
              </w:rPr>
              <w:t>fa4b2c5</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2026-10-22</w:t>
            </w:r>
          </w:p>
        </w:tc>
        <w:tc>
          <w:tcPr>
            <w:tcW w:type="dxa" w:w="1872"/>
            <w:tcMar>
              <w:top w:w="60" w:type="dxa"/>
              <w:bottom w:w="60" w:type="dxa"/>
              <w:left w:w="90" w:type="dxa"/>
              <w:right w:w="90" w:type="dxa"/>
            </w:tcMar>
            <w:shd w:val="clear" w:color="auto" w:fill="FFFFFF"/>
          </w:tcPr>
          <w:p>
            <w:pPr>
              <w:spacing w:line="276" w:lineRule="auto"/>
              <w:jc w:val="left"/>
            </w:pPr>
            <w:r>
              <w:rPr>
                <w:rFonts w:ascii="Times New Roman" w:hAnsi="Times New Roman"/>
                <w:b/>
                <w:color w:val="1E293B"/>
                <w:sz w:val="19"/>
              </w:rPr>
              <w:t>Bharathwaraj K S</w:t>
            </w:r>
          </w:p>
        </w:tc>
        <w:tc>
          <w:tcPr>
            <w:tcW w:type="dxa" w:w="3312"/>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feat(ci-05): implement light-theme UI, TechNova 4-developer scenario &amp; SCM governance [CR-015]</w:t>
            </w:r>
          </w:p>
        </w:tc>
        <w:tc>
          <w:tcPr>
            <w:tcW w:type="dxa" w:w="1440"/>
            <w:tcMar>
              <w:top w:w="60" w:type="dxa"/>
              <w:bottom w:w="60" w:type="dxa"/>
              <w:left w:w="90" w:type="dxa"/>
              <w:right w:w="90" w:type="dxa"/>
            </w:tcMar>
            <w:shd w:val="clear" w:color="auto" w:fill="FFFFFF"/>
          </w:tcPr>
          <w:p>
            <w:pPr>
              <w:spacing w:line="276" w:lineRule="auto"/>
              <w:jc w:val="left"/>
            </w:pPr>
            <w:r>
              <w:rPr>
                <w:rFonts w:ascii="Times New Roman" w:hAnsi="Times New Roman"/>
                <w:color w:val="1E293B"/>
                <w:sz w:val="19"/>
              </w:rPr>
              <w:t>CI-05</w:t>
            </w:r>
          </w:p>
        </w:tc>
      </w:tr>
      <w:tr>
        <w:tc>
          <w:tcPr>
            <w:tcW w:type="dxa" w:w="1440"/>
            <w:tcMar>
              <w:top w:w="60" w:type="dxa"/>
              <w:bottom w:w="60" w:type="dxa"/>
              <w:left w:w="90" w:type="dxa"/>
              <w:right w:w="90" w:type="dxa"/>
            </w:tcMar>
            <w:shd w:val="clear" w:color="auto" w:fill="F8FAFC"/>
          </w:tcPr>
          <w:p>
            <w:pPr>
              <w:spacing w:line="276" w:lineRule="auto"/>
              <w:jc w:val="left"/>
            </w:pPr>
            <w:r>
              <w:rPr>
                <w:rFonts w:ascii="Consolas" w:hAnsi="Consolas"/>
                <w:b/>
                <w:color w:val="0F172A"/>
                <w:sz w:val="19"/>
              </w:rPr>
              <w:t>70d43eb</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2026-10-22</w:t>
            </w:r>
          </w:p>
        </w:tc>
        <w:tc>
          <w:tcPr>
            <w:tcW w:type="dxa" w:w="1872"/>
            <w:tcMar>
              <w:top w:w="60" w:type="dxa"/>
              <w:bottom w:w="60" w:type="dxa"/>
              <w:left w:w="90" w:type="dxa"/>
              <w:right w:w="90" w:type="dxa"/>
            </w:tcMar>
            <w:shd w:val="clear" w:color="auto" w:fill="F8FAFC"/>
          </w:tcPr>
          <w:p>
            <w:pPr>
              <w:spacing w:line="276" w:lineRule="auto"/>
              <w:jc w:val="left"/>
            </w:pPr>
            <w:r>
              <w:rPr>
                <w:rFonts w:ascii="Times New Roman" w:hAnsi="Times New Roman"/>
                <w:b/>
                <w:color w:val="1E293B"/>
                <w:sz w:val="19"/>
              </w:rPr>
              <w:t>Prakash Raj U</w:t>
            </w:r>
          </w:p>
        </w:tc>
        <w:tc>
          <w:tcPr>
            <w:tcW w:type="dxa" w:w="3312"/>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docs(ci-08): add CommitSleuth SCM Final Review Microsoft Word documentation [CR-016]</w:t>
            </w:r>
          </w:p>
        </w:tc>
        <w:tc>
          <w:tcPr>
            <w:tcW w:type="dxa" w:w="1440"/>
            <w:tcMar>
              <w:top w:w="60" w:type="dxa"/>
              <w:bottom w:w="60" w:type="dxa"/>
              <w:left w:w="90" w:type="dxa"/>
              <w:right w:w="90" w:type="dxa"/>
            </w:tcMar>
            <w:shd w:val="clear" w:color="auto" w:fill="F8FAFC"/>
          </w:tcPr>
          <w:p>
            <w:pPr>
              <w:spacing w:line="276" w:lineRule="auto"/>
              <w:jc w:val="left"/>
            </w:pPr>
            <w:r>
              <w:rPr>
                <w:rFonts w:ascii="Times New Roman" w:hAnsi="Times New Roman"/>
                <w:color w:val="1E293B"/>
                <w:sz w:val="19"/>
              </w:rPr>
              <w:t>CI-08, CI-10</w:t>
            </w:r>
          </w:p>
        </w:tc>
      </w:tr>
    </w:tbl>
    <w:p>
      <w:pPr>
        <w:spacing w:line="324" w:lineRule="auto" w:after="120"/>
        <w:jc w:val="both"/>
      </w:pPr>
      <w:r>
        <w:rPr>
          <w:rFonts w:ascii="Times New Roman" w:hAnsi="Times New Roman"/>
          <w:color w:val="1E293B"/>
          <w:sz w:val="24"/>
        </w:rPr>
      </w:r>
    </w:p>
    <w:p>
      <w:pPr>
        <w:keepNext/>
        <w:spacing w:before="160" w:after="80"/>
        <w:jc w:val="center"/>
      </w:pPr>
      <w:r>
        <w:drawing>
          <wp:inline xmlns:a="http://schemas.openxmlformats.org/drawingml/2006/main" xmlns:pic="http://schemas.openxmlformats.org/drawingml/2006/picture">
            <wp:extent cx="5486400" cy="3711388"/>
            <wp:docPr id="5" name="Picture 5"/>
            <wp:cNvGraphicFramePr>
              <a:graphicFrameLocks noChangeAspect="1"/>
            </wp:cNvGraphicFramePr>
            <a:graphic>
              <a:graphicData uri="http://schemas.openxmlformats.org/drawingml/2006/picture">
                <pic:pic>
                  <pic:nvPicPr>
                    <pic:cNvPr id="0" name="git_03_branches_gitflow.png"/>
                    <pic:cNvPicPr/>
                  </pic:nvPicPr>
                  <pic:blipFill>
                    <a:blip r:embed="rId14"/>
                    <a:stretch>
                      <a:fillRect/>
                    </a:stretch>
                  </pic:blipFill>
                  <pic:spPr>
                    <a:xfrm>
                      <a:off x="0" y="0"/>
                      <a:ext cx="5486400" cy="3711388"/>
                    </a:xfrm>
                    <a:prstGeom prst="rect"/>
                  </pic:spPr>
                </pic:pic>
              </a:graphicData>
            </a:graphic>
          </wp:inline>
        </w:drawing>
      </w:r>
    </w:p>
    <w:p>
      <w:pPr>
        <w:keepNext/>
        <w:spacing w:before="40" w:after="120"/>
        <w:jc w:val="center"/>
      </w:pPr>
      <w:r>
        <w:rPr>
          <w:rFonts w:ascii="Times New Roman" w:hAnsi="Times New Roman"/>
          <w:b/>
          <w:i/>
          <w:color w:val="334155"/>
          <w:sz w:val="21"/>
        </w:rPr>
        <w:t>Figure 5: Git Branches &amp; Gitflow Hierarchy Structure</w:t>
      </w:r>
    </w:p>
    <w:p>
      <w:pPr>
        <w:spacing w:line="324" w:lineRule="auto" w:after="200"/>
        <w:jc w:val="both"/>
      </w:pPr>
      <w:r>
        <w:rPr>
          <w:rFonts w:ascii="Times New Roman" w:hAnsi="Times New Roman"/>
          <w:b/>
          <w:color w:val="0F172A"/>
          <w:sz w:val="24"/>
        </w:rPr>
        <w:t xml:space="preserve">Figure 5 Explanation: </w:t>
      </w:r>
      <w:r>
        <w:rPr>
          <w:rFonts w:ascii="Times New Roman" w:hAnsi="Times New Roman"/>
          <w:color w:val="1E293B"/>
          <w:sz w:val="24"/>
        </w:rPr>
        <w:t>The Git Branches view displays the five active repository branches: main (production baseline), develop (continuous integration), feature/multi-developer-collab (4-member team module work), bugfix/demo-calc-failure (targeted defect isolation), and release/v1.0.0 (production candidate). It includes the visual Gitflow architectural diagram showing branch lane separation and promotional flow.</w:t>
      </w:r>
    </w:p>
    <w:p>
      <w:pPr>
        <w:keepNext/>
        <w:spacing w:before="160" w:after="80"/>
        <w:jc w:val="center"/>
      </w:pPr>
      <w:r>
        <w:drawing>
          <wp:inline xmlns:a="http://schemas.openxmlformats.org/drawingml/2006/main" xmlns:pic="http://schemas.openxmlformats.org/drawingml/2006/picture">
            <wp:extent cx="5486400" cy="3388659"/>
            <wp:docPr id="6" name="Picture 6"/>
            <wp:cNvGraphicFramePr>
              <a:graphicFrameLocks noChangeAspect="1"/>
            </wp:cNvGraphicFramePr>
            <a:graphic>
              <a:graphicData uri="http://schemas.openxmlformats.org/drawingml/2006/picture">
                <pic:pic>
                  <pic:nvPicPr>
                    <pic:cNvPr id="0" name="git_04_network_graph.png"/>
                    <pic:cNvPicPr/>
                  </pic:nvPicPr>
                  <pic:blipFill>
                    <a:blip r:embed="rId15"/>
                    <a:stretch>
                      <a:fillRect/>
                    </a:stretch>
                  </pic:blipFill>
                  <pic:spPr>
                    <a:xfrm>
                      <a:off x="0" y="0"/>
                      <a:ext cx="5486400" cy="3388659"/>
                    </a:xfrm>
                    <a:prstGeom prst="rect"/>
                  </pic:spPr>
                </pic:pic>
              </a:graphicData>
            </a:graphic>
          </wp:inline>
        </w:drawing>
      </w:r>
    </w:p>
    <w:p>
      <w:pPr>
        <w:keepNext/>
        <w:spacing w:before="40" w:after="120"/>
        <w:jc w:val="center"/>
      </w:pPr>
      <w:r>
        <w:rPr>
          <w:rFonts w:ascii="Times New Roman" w:hAnsi="Times New Roman"/>
          <w:b/>
          <w:i/>
          <w:color w:val="334155"/>
          <w:sz w:val="21"/>
        </w:rPr>
        <w:t>Figure 6: GitHub Visual Commit Tree &amp; Network Graph (DAG)</w:t>
      </w:r>
    </w:p>
    <w:p>
      <w:pPr>
        <w:spacing w:line="324" w:lineRule="auto" w:after="200"/>
        <w:jc w:val="both"/>
      </w:pPr>
      <w:r>
        <w:rPr>
          <w:rFonts w:ascii="Times New Roman" w:hAnsi="Times New Roman"/>
          <w:b/>
          <w:color w:val="0F172A"/>
          <w:sz w:val="24"/>
        </w:rPr>
        <w:t xml:space="preserve">Figure 6 Explanation: </w:t>
      </w:r>
      <w:r>
        <w:rPr>
          <w:rFonts w:ascii="Times New Roman" w:hAnsi="Times New Roman"/>
          <w:color w:val="1E293B"/>
          <w:sz w:val="24"/>
        </w:rPr>
        <w:t>The Visual Commit Network Graph displays the directed acyclic graph (DAG) of the repository. It illustrates parallel branch development, commit nodes from each developer, branch divergence from develop, bugfix branch isolation for defect BUG-024, merge commits (0814589, 74aa410, 7e43c78), and official release tags (v1.0.0).</w:t>
      </w:r>
    </w:p>
    <w:p>
      <w:pPr>
        <w:keepNext/>
        <w:spacing w:before="160" w:after="80"/>
        <w:jc w:val="center"/>
      </w:pPr>
      <w:r>
        <w:drawing>
          <wp:inline xmlns:a="http://schemas.openxmlformats.org/drawingml/2006/main" xmlns:pic="http://schemas.openxmlformats.org/drawingml/2006/picture">
            <wp:extent cx="5486400" cy="3469341"/>
            <wp:docPr id="7" name="Picture 7"/>
            <wp:cNvGraphicFramePr>
              <a:graphicFrameLocks noChangeAspect="1"/>
            </wp:cNvGraphicFramePr>
            <a:graphic>
              <a:graphicData uri="http://schemas.openxmlformats.org/drawingml/2006/picture">
                <pic:pic>
                  <pic:nvPicPr>
                    <pic:cNvPr id="0" name="git_05_pr_review_diff.png"/>
                    <pic:cNvPicPr/>
                  </pic:nvPicPr>
                  <pic:blipFill>
                    <a:blip r:embed="rId16"/>
                    <a:stretch>
                      <a:fillRect/>
                    </a:stretch>
                  </pic:blipFill>
                  <pic:spPr>
                    <a:xfrm>
                      <a:off x="0" y="0"/>
                      <a:ext cx="5486400" cy="3469341"/>
                    </a:xfrm>
                    <a:prstGeom prst="rect"/>
                  </pic:spPr>
                </pic:pic>
              </a:graphicData>
            </a:graphic>
          </wp:inline>
        </w:drawing>
      </w:r>
    </w:p>
    <w:p>
      <w:pPr>
        <w:keepNext/>
        <w:spacing w:before="40" w:after="120"/>
        <w:jc w:val="center"/>
      </w:pPr>
      <w:r>
        <w:rPr>
          <w:rFonts w:ascii="Times New Roman" w:hAnsi="Times New Roman"/>
          <w:b/>
          <w:i/>
          <w:color w:val="334155"/>
          <w:sz w:val="21"/>
        </w:rPr>
        <w:t>Figure 7: GitHub Pull Request Review, CI Gate Status &amp; Unified Code Diff</w:t>
      </w:r>
    </w:p>
    <w:p>
      <w:pPr>
        <w:spacing w:line="324" w:lineRule="auto" w:after="200"/>
        <w:jc w:val="both"/>
      </w:pPr>
      <w:r>
        <w:rPr>
          <w:rFonts w:ascii="Times New Roman" w:hAnsi="Times New Roman"/>
          <w:b/>
          <w:color w:val="0F172A"/>
          <w:sz w:val="24"/>
        </w:rPr>
        <w:t xml:space="preserve">Figure 7 Explanation: </w:t>
      </w:r>
      <w:r>
        <w:rPr>
          <w:rFonts w:ascii="Times New Roman" w:hAnsi="Times New Roman"/>
          <w:color w:val="1E293B"/>
          <w:sz w:val="24"/>
        </w:rPr>
        <w:t>The Pull Request interface for PR #4 demonstrates formal SCM gate enforcement. It showcases verified CI test pass status, peer code review approval from Bharathwaraj K S (CCB), and the unified code diff in Calculator.java and ReportService.java showing exact line additions (+) and deletions (-) resolving the defect.</w:t>
      </w:r>
    </w:p>
    <w:p>
      <w:pPr>
        <w:keepNext/>
        <w:spacing w:before="160" w:after="80"/>
        <w:jc w:val="center"/>
      </w:pPr>
      <w:r>
        <w:drawing>
          <wp:inline xmlns:a="http://schemas.openxmlformats.org/drawingml/2006/main" xmlns:pic="http://schemas.openxmlformats.org/drawingml/2006/picture">
            <wp:extent cx="5486400" cy="3550024"/>
            <wp:docPr id="8" name="Picture 8"/>
            <wp:cNvGraphicFramePr>
              <a:graphicFrameLocks noChangeAspect="1"/>
            </wp:cNvGraphicFramePr>
            <a:graphic>
              <a:graphicData uri="http://schemas.openxmlformats.org/drawingml/2006/picture">
                <pic:pic>
                  <pic:nvPicPr>
                    <pic:cNvPr id="0" name="git_06_release_tags.png"/>
                    <pic:cNvPicPr/>
                  </pic:nvPicPr>
                  <pic:blipFill>
                    <a:blip r:embed="rId17"/>
                    <a:stretch>
                      <a:fillRect/>
                    </a:stretch>
                  </pic:blipFill>
                  <pic:spPr>
                    <a:xfrm>
                      <a:off x="0" y="0"/>
                      <a:ext cx="5486400" cy="3550024"/>
                    </a:xfrm>
                    <a:prstGeom prst="rect"/>
                  </pic:spPr>
                </pic:pic>
              </a:graphicData>
            </a:graphic>
          </wp:inline>
        </w:drawing>
      </w:r>
    </w:p>
    <w:p>
      <w:pPr>
        <w:keepNext/>
        <w:spacing w:before="40" w:after="120"/>
        <w:jc w:val="center"/>
      </w:pPr>
      <w:r>
        <w:rPr>
          <w:rFonts w:ascii="Times New Roman" w:hAnsi="Times New Roman"/>
          <w:b/>
          <w:i/>
          <w:color w:val="334155"/>
          <w:sz w:val="21"/>
        </w:rPr>
        <w:t>Figure 8: GitHub Releases, Semantic Tags &amp; Official Baseline Manifests</w:t>
      </w:r>
    </w:p>
    <w:p>
      <w:pPr>
        <w:spacing w:line="324" w:lineRule="auto" w:after="200"/>
        <w:jc w:val="both"/>
      </w:pPr>
      <w:r>
        <w:rPr>
          <w:rFonts w:ascii="Times New Roman" w:hAnsi="Times New Roman"/>
          <w:b/>
          <w:color w:val="0F172A"/>
          <w:sz w:val="24"/>
        </w:rPr>
        <w:t xml:space="preserve">Figure 8 Explanation: </w:t>
      </w:r>
      <w:r>
        <w:rPr>
          <w:rFonts w:ascii="Times New Roman" w:hAnsi="Times New Roman"/>
          <w:color w:val="1E293B"/>
          <w:sz w:val="24"/>
        </w:rPr>
        <w:t>The GitHub Releases register documents official Configuration Baselines: Release v1.0.0 (Baseline BL-05), v0.2.0 (Baseline BL-04), and v0.1.0 (Baseline BL-01). It highlights signed release notes, commit hash bindings, FCA/PCA audit compliance, and packaged binary distribution assets (JAR, manifest JSON, and SHA-256 checksums).</w:t>
      </w:r>
    </w:p>
    <w:p>
      <w:pPr>
        <w:keepNext/>
        <w:spacing w:before="160" w:after="80"/>
        <w:jc w:val="center"/>
      </w:pPr>
      <w:r>
        <w:drawing>
          <wp:inline xmlns:a="http://schemas.openxmlformats.org/drawingml/2006/main" xmlns:pic="http://schemas.openxmlformats.org/drawingml/2006/picture">
            <wp:extent cx="5486400" cy="3114278"/>
            <wp:docPr id="9" name="Picture 9"/>
            <wp:cNvGraphicFramePr>
              <a:graphicFrameLocks noChangeAspect="1"/>
            </wp:cNvGraphicFramePr>
            <a:graphic>
              <a:graphicData uri="http://schemas.openxmlformats.org/drawingml/2006/picture">
                <pic:pic>
                  <pic:nvPicPr>
                    <pic:cNvPr id="0" name="fig07_baselines_versions.png"/>
                    <pic:cNvPicPr/>
                  </pic:nvPicPr>
                  <pic:blipFill>
                    <a:blip r:embed="rId18"/>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9: CommitSleuth Web Application Baselines Register</w:t>
      </w:r>
    </w:p>
    <w:p>
      <w:pPr>
        <w:spacing w:line="324" w:lineRule="auto" w:after="200"/>
        <w:jc w:val="both"/>
      </w:pPr>
      <w:r>
        <w:rPr>
          <w:rFonts w:ascii="Times New Roman" w:hAnsi="Times New Roman"/>
          <w:b/>
          <w:color w:val="0F172A"/>
          <w:sz w:val="24"/>
        </w:rPr>
        <w:t xml:space="preserve">Figure 9 Explanation: </w:t>
      </w:r>
      <w:r>
        <w:rPr>
          <w:rFonts w:ascii="Times New Roman" w:hAnsi="Times New Roman"/>
          <w:color w:val="1E293B"/>
          <w:sz w:val="24"/>
        </w:rPr>
        <w:t>The Baselines and Version Management interface in the CommitSleuth web portal displays approved configuration baselines (BL-01 through BL-05), their semantic versions, Git release tags, commit hashes, approval dates, and baseline comparison tools tracking configuration item deltas.</w:t>
      </w:r>
    </w:p>
    <w:p>
      <w:pPr>
        <w:keepNext/>
        <w:spacing w:before="360" w:after="120"/>
      </w:pPr>
      <w:r>
        <w:rPr>
          <w:rFonts w:ascii="Times New Roman" w:hAnsi="Times New Roman"/>
          <w:b/>
          <w:color w:val="0F172A"/>
          <w:sz w:val="28"/>
        </w:rPr>
        <w:t>4. Change Management</w:t>
      </w:r>
    </w:p>
    <w:p>
      <w:pPr>
        <w:spacing w:line="324" w:lineRule="auto" w:after="120"/>
        <w:jc w:val="both"/>
      </w:pPr>
      <w:r>
        <w:rPr>
          <w:rFonts w:ascii="Times New Roman" w:hAnsi="Times New Roman"/>
          <w:color w:val="1E293B"/>
          <w:sz w:val="24"/>
        </w:rPr>
        <w:t>Change Management provides a disciplined, formal mechanism for requesting, evaluating, authorizing, implementing, and verifying modifications to controlled configuration items. Uncontrolled changes lead to configuration drift, untracked bugs, and broken builds. In CommitSleuth, all modifications are initiated through formal Change Requests (CR) submitted to the Configuration Control Board (CCB).</w:t>
      </w:r>
    </w:p>
    <w:p>
      <w:pPr>
        <w:spacing w:line="324" w:lineRule="auto" w:after="120"/>
        <w:jc w:val="both"/>
      </w:pPr>
      <w:r>
        <w:rPr>
          <w:rFonts w:ascii="Times New Roman" w:hAnsi="Times New Roman"/>
          <w:color w:val="1E293B"/>
          <w:sz w:val="24"/>
        </w:rPr>
        <w:t>The project tracks sixteen formal Change Requests (CR-001 through CR-016). Each change request record documents the unique CR identifier, descriptive title, requester, technical rationale, affected configuration items, priority, target branch, and CCB decision status (Raised, Under Review, Approved, Implemented, or Rejected). For example, CR-009 represents the controlled defect injection and subsequent fix in Calculator.java on bugfix/demo-calc-failure, while CR-014 represents multi-developer collaborative integration. The web interface enables authorized developers to register new change requests while enforcing role permissions so that only CCB administrators can record official approval decisions.</w:t>
      </w:r>
    </w:p>
    <w:p>
      <w:pPr>
        <w:keepNext/>
        <w:spacing w:before="160" w:after="80"/>
        <w:jc w:val="center"/>
      </w:pPr>
      <w:r>
        <w:drawing>
          <wp:inline xmlns:a="http://schemas.openxmlformats.org/drawingml/2006/main" xmlns:pic="http://schemas.openxmlformats.org/drawingml/2006/picture">
            <wp:extent cx="5486400" cy="3114278"/>
            <wp:docPr id="10" name="Picture 10"/>
            <wp:cNvGraphicFramePr>
              <a:graphicFrameLocks noChangeAspect="1"/>
            </wp:cNvGraphicFramePr>
            <a:graphic>
              <a:graphicData uri="http://schemas.openxmlformats.org/drawingml/2006/picture">
                <pic:pic>
                  <pic:nvPicPr>
                    <pic:cNvPr id="0" name="fig05_change_management.png"/>
                    <pic:cNvPicPr/>
                  </pic:nvPicPr>
                  <pic:blipFill>
                    <a:blip r:embed="rId19"/>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10: SCM Change Management Register &amp; CCB Review Portal</w:t>
      </w:r>
    </w:p>
    <w:p>
      <w:pPr>
        <w:spacing w:line="324" w:lineRule="auto" w:after="200"/>
        <w:jc w:val="both"/>
      </w:pPr>
      <w:r>
        <w:rPr>
          <w:rFonts w:ascii="Times New Roman" w:hAnsi="Times New Roman"/>
          <w:b/>
          <w:color w:val="0F172A"/>
          <w:sz w:val="24"/>
        </w:rPr>
        <w:t xml:space="preserve">Figure 10 Explanation: </w:t>
      </w:r>
      <w:r>
        <w:rPr>
          <w:rFonts w:ascii="Times New Roman" w:hAnsi="Times New Roman"/>
          <w:color w:val="1E293B"/>
          <w:sz w:val="24"/>
        </w:rPr>
        <w:t>The Change Management register displays the formal ledger of Change Requests, including requester identities, scope of impact, priority levels, CCB review statuses, target branches, and associated Git commit hashes, ensuring complete auditability from requirement change to code commit.</w:t>
      </w:r>
    </w:p>
    <w:p>
      <w:pPr>
        <w:keepNext/>
        <w:spacing w:before="360" w:after="120"/>
      </w:pPr>
      <w:r>
        <w:rPr>
          <w:rFonts w:ascii="Times New Roman" w:hAnsi="Times New Roman"/>
          <w:b/>
          <w:color w:val="0F172A"/>
          <w:sz w:val="28"/>
        </w:rPr>
        <w:t>5. Problem Tracking</w:t>
      </w:r>
    </w:p>
    <w:p>
      <w:pPr>
        <w:spacing w:line="324" w:lineRule="auto" w:after="120"/>
        <w:jc w:val="both"/>
      </w:pPr>
      <w:r>
        <w:rPr>
          <w:rFonts w:ascii="Times New Roman" w:hAnsi="Times New Roman"/>
          <w:color w:val="1E293B"/>
          <w:sz w:val="24"/>
        </w:rPr>
        <w:t>Problem Tracking automates the identification, recording, investigation, and resolution of software defects arising during automated build and test cycles. When an automated Maven test fails in Jenkins, CommitSleuth intercepts the Surefire test report and console output, extracts the exact assertion failure and line number, and automatically generates an incident record in the problems register.</w:t>
      </w:r>
    </w:p>
    <w:p>
      <w:pPr>
        <w:spacing w:line="324" w:lineRule="auto" w:after="120"/>
        <w:jc w:val="both"/>
      </w:pPr>
      <w:r>
        <w:rPr>
          <w:rFonts w:ascii="Times New Roman" w:hAnsi="Times New Roman"/>
          <w:color w:val="1E293B"/>
          <w:sz w:val="24"/>
        </w:rPr>
        <w:t>In the central demonstration scenario, Build #128 fails due to a defect introduced in Calculator.java, causing CalculatorTest to fail with an AssertionFailedError. CommitSleuth attributes this failure to candidate commit 9297e33 with 88.5% confidence and automatically creates problem record BUG-024. The problem record progresses through a formal SCM lifecycle: Open -&gt; Investigating -&gt; Fix Submitted -&gt; Verification Pending -&gt; Resolved. A defect cannot be prematurely closed by simple assertion; it transitions to Resolved only after a subsequent verification build (Build #129) successfully compiles and passes all unit tests.</w:t>
      </w:r>
    </w:p>
    <w:p>
      <w:pPr>
        <w:keepNext/>
        <w:spacing w:before="160" w:after="80"/>
        <w:jc w:val="center"/>
      </w:pPr>
      <w:r>
        <w:drawing>
          <wp:inline xmlns:a="http://schemas.openxmlformats.org/drawingml/2006/main" xmlns:pic="http://schemas.openxmlformats.org/drawingml/2006/picture">
            <wp:extent cx="5486400" cy="3114278"/>
            <wp:docPr id="11" name="Picture 11"/>
            <wp:cNvGraphicFramePr>
              <a:graphicFrameLocks noChangeAspect="1"/>
            </wp:cNvGraphicFramePr>
            <a:graphic>
              <a:graphicData uri="http://schemas.openxmlformats.org/drawingml/2006/picture">
                <pic:pic>
                  <pic:nvPicPr>
                    <pic:cNvPr id="0" name="fig03_problem_tracking.png"/>
                    <pic:cNvPicPr/>
                  </pic:nvPicPr>
                  <pic:blipFill>
                    <a:blip r:embed="rId20"/>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11: Automated Problem Tracking Register &amp; BUG-024 Incident Ledger</w:t>
      </w:r>
    </w:p>
    <w:p>
      <w:pPr>
        <w:spacing w:line="324" w:lineRule="auto" w:after="200"/>
        <w:jc w:val="both"/>
      </w:pPr>
      <w:r>
        <w:rPr>
          <w:rFonts w:ascii="Times New Roman" w:hAnsi="Times New Roman"/>
          <w:b/>
          <w:color w:val="0F172A"/>
          <w:sz w:val="24"/>
        </w:rPr>
        <w:t xml:space="preserve">Figure 11 Explanation: </w:t>
      </w:r>
      <w:r>
        <w:rPr>
          <w:rFonts w:ascii="Times New Roman" w:hAnsi="Times New Roman"/>
          <w:color w:val="1E293B"/>
          <w:sz w:val="24"/>
        </w:rPr>
        <w:t>The Problem Tracking register illustrates the defect ledger, showing unique problem codes (e.g., BUG-024), associated failing build numbers, failure categories (test), suspect commit hashes, attribution confidence scores, assigned developers, and real-time lifecycle progression states.</w:t>
      </w:r>
    </w:p>
    <w:p>
      <w:pPr>
        <w:keepNext/>
        <w:spacing w:before="160" w:after="80"/>
        <w:jc w:val="center"/>
      </w:pPr>
      <w:r>
        <w:drawing>
          <wp:inline xmlns:a="http://schemas.openxmlformats.org/drawingml/2006/main" xmlns:pic="http://schemas.openxmlformats.org/drawingml/2006/picture">
            <wp:extent cx="5486400" cy="3114278"/>
            <wp:docPr id="12" name="Picture 12"/>
            <wp:cNvGraphicFramePr>
              <a:graphicFrameLocks noChangeAspect="1"/>
            </wp:cNvGraphicFramePr>
            <a:graphic>
              <a:graphicData uri="http://schemas.openxmlformats.org/drawingml/2006/picture">
                <pic:pic>
                  <pic:nvPicPr>
                    <pic:cNvPr id="0" name="fig04_failure_attribution.png"/>
                    <pic:cNvPicPr/>
                  </pic:nvPicPr>
                  <pic:blipFill>
                    <a:blip r:embed="rId21"/>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12: Web-Enabled Failure Attribution and Root-Cause Diagnostics Interface</w:t>
      </w:r>
    </w:p>
    <w:p>
      <w:pPr>
        <w:spacing w:line="324" w:lineRule="auto" w:after="200"/>
        <w:jc w:val="both"/>
      </w:pPr>
      <w:r>
        <w:rPr>
          <w:rFonts w:ascii="Times New Roman" w:hAnsi="Times New Roman"/>
          <w:b/>
          <w:color w:val="0F172A"/>
          <w:sz w:val="24"/>
        </w:rPr>
        <w:t xml:space="preserve">Figure 12 Explanation: </w:t>
      </w:r>
      <w:r>
        <w:rPr>
          <w:rFonts w:ascii="Times New Roman" w:hAnsi="Times New Roman"/>
          <w:color w:val="1E293B"/>
          <w:sz w:val="24"/>
        </w:rPr>
        <w:t>The Failure Attribution web interface demonstrates the interactive root-cause investigation view for Build #128, displaying parsed console output, failing JUnit test assertions, candidate commit ranking breakdown, and automated rollback recommendations.</w:t>
      </w:r>
    </w:p>
    <w:p>
      <w:pPr>
        <w:keepNext/>
        <w:spacing w:before="360" w:after="120"/>
      </w:pPr>
      <w:r>
        <w:rPr>
          <w:rFonts w:ascii="Times New Roman" w:hAnsi="Times New Roman"/>
          <w:b/>
          <w:color w:val="0F172A"/>
          <w:sz w:val="28"/>
        </w:rPr>
        <w:t>6. Promotional Management</w:t>
      </w:r>
    </w:p>
    <w:p>
      <w:pPr>
        <w:spacing w:line="324" w:lineRule="auto" w:after="120"/>
        <w:jc w:val="both"/>
      </w:pPr>
      <w:r>
        <w:rPr>
          <w:rFonts w:ascii="Times New Roman" w:hAnsi="Times New Roman"/>
          <w:color w:val="1E293B"/>
          <w:sz w:val="24"/>
        </w:rPr>
        <w:t>Promotional Management controls the staged migration of software configuration baselines across progressive operational environments: Development -&gt; Testing -&gt; Release Candidate -&gt; Production. Each environment transition represents an increased level of verification, stability, and organizational commitment.</w:t>
      </w:r>
    </w:p>
    <w:p>
      <w:pPr>
        <w:spacing w:line="324" w:lineRule="auto" w:after="120"/>
        <w:jc w:val="both"/>
      </w:pPr>
      <w:r>
        <w:rPr>
          <w:rFonts w:ascii="Times New Roman" w:hAnsi="Times New Roman"/>
          <w:color w:val="1E293B"/>
          <w:sz w:val="24"/>
        </w:rPr>
        <w:t>CommitSleuth enforces strict promotional quality gates. A failing build (such as Build #128) is strictly BLOCKED from advancing to higher environments, and the blocking justification (e.g., 'Automated unit tests did not pass') is permanently logged. Only when a verified passing build (Build #129) is achieved, accompanied by an approved Change Request (CR-010) and passing configuration audits, does the promotion gate evaluate to PASSED. The promotion ledger permanently records the transition date, source and target levels, authorizing authority (CCB), gate decision, and associated release tag.</w:t>
      </w:r>
    </w:p>
    <w:p>
      <w:pPr>
        <w:keepNext/>
        <w:spacing w:before="160" w:after="80"/>
        <w:jc w:val="center"/>
      </w:pPr>
      <w:r>
        <w:drawing>
          <wp:inline xmlns:a="http://schemas.openxmlformats.org/drawingml/2006/main" xmlns:pic="http://schemas.openxmlformats.org/drawingml/2006/picture">
            <wp:extent cx="5486400" cy="3114278"/>
            <wp:docPr id="13" name="Picture 13"/>
            <wp:cNvGraphicFramePr>
              <a:graphicFrameLocks noChangeAspect="1"/>
            </wp:cNvGraphicFramePr>
            <a:graphic>
              <a:graphicData uri="http://schemas.openxmlformats.org/drawingml/2006/picture">
                <pic:pic>
                  <pic:nvPicPr>
                    <pic:cNvPr id="0" name="fig08_promotions.png"/>
                    <pic:cNvPicPr/>
                  </pic:nvPicPr>
                  <pic:blipFill>
                    <a:blip r:embed="rId22"/>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13: Promotional Gate Ledger and Quality Gate Evaluation</w:t>
      </w:r>
    </w:p>
    <w:p>
      <w:pPr>
        <w:spacing w:line="324" w:lineRule="auto" w:after="200"/>
        <w:jc w:val="both"/>
      </w:pPr>
      <w:r>
        <w:rPr>
          <w:rFonts w:ascii="Times New Roman" w:hAnsi="Times New Roman"/>
          <w:b/>
          <w:color w:val="0F172A"/>
          <w:sz w:val="24"/>
        </w:rPr>
        <w:t xml:space="preserve">Figure 13 Explanation: </w:t>
      </w:r>
      <w:r>
        <w:rPr>
          <w:rFonts w:ascii="Times New Roman" w:hAnsi="Times New Roman"/>
          <w:color w:val="1E293B"/>
          <w:sz w:val="24"/>
        </w:rPr>
        <w:t>The Promotional Management ledger demonstrates the multi-environment promotion pipeline, recording successful environment advancements (PASSED) alongside blocked transitions (BLOCKED) with explicit verification rationales, ensuring unverified or defective code cannot reach production.</w:t>
      </w:r>
    </w:p>
    <w:p>
      <w:pPr>
        <w:keepNext/>
        <w:spacing w:before="360" w:after="120"/>
      </w:pPr>
      <w:r>
        <w:rPr>
          <w:rFonts w:ascii="Times New Roman" w:hAnsi="Times New Roman"/>
          <w:b/>
          <w:color w:val="0F172A"/>
          <w:sz w:val="28"/>
        </w:rPr>
        <w:t>7. System Accounting</w:t>
      </w:r>
    </w:p>
    <w:p>
      <w:pPr>
        <w:spacing w:line="324" w:lineRule="auto" w:after="120"/>
        <w:jc w:val="both"/>
      </w:pPr>
      <w:r>
        <w:rPr>
          <w:rFonts w:ascii="Times New Roman" w:hAnsi="Times New Roman"/>
          <w:color w:val="1E293B"/>
          <w:sz w:val="24"/>
        </w:rPr>
        <w:t>System Accounting, or Configuration Status Accounting (CSA), provides an auditable, centralized record of the status, history, and traceability of all configuration items comprising the software system. It answers critical engineering questions regarding what configuration baseline is currently active, which changes have been approved and implemented, and what quality verification results correspond to each release.</w:t>
      </w:r>
    </w:p>
    <w:p>
      <w:pPr>
        <w:spacing w:line="324" w:lineRule="auto" w:after="120"/>
        <w:jc w:val="both"/>
      </w:pPr>
      <w:r>
        <w:rPr>
          <w:rFonts w:ascii="Times New Roman" w:hAnsi="Times New Roman"/>
          <w:color w:val="1E293B"/>
          <w:sz w:val="24"/>
        </w:rPr>
        <w:t>In CommitSleuth, CSA tracks 20 identified Configuration Items (CIs) categorized into Documentation (SRS, SCM Plan, Design Document), Source Code (Java services, Python analyzers), Build Configurations (pom.xml, Jenkinsfile), Database Components, and Release Packages. The system includes an automated status reporting engine (status_reporter.py) that generates structured Configuration Status Accounting Reports (CSAR) directly from the relational database and provides live CSV export capabilities (/report/csv) for external compliance audits.</w:t>
      </w:r>
    </w:p>
    <w:p>
      <w:pPr>
        <w:keepNext/>
        <w:spacing w:before="160" w:after="80"/>
        <w:jc w:val="center"/>
      </w:pPr>
      <w:r>
        <w:drawing>
          <wp:inline xmlns:a="http://schemas.openxmlformats.org/drawingml/2006/main" xmlns:pic="http://schemas.openxmlformats.org/drawingml/2006/picture">
            <wp:extent cx="5486400" cy="3114278"/>
            <wp:docPr id="14" name="Picture 14"/>
            <wp:cNvGraphicFramePr>
              <a:graphicFrameLocks noChangeAspect="1"/>
            </wp:cNvGraphicFramePr>
            <a:graphic>
              <a:graphicData uri="http://schemas.openxmlformats.org/drawingml/2006/picture">
                <pic:pic>
                  <pic:nvPicPr>
                    <pic:cNvPr id="0" name="fig06_ci_register.png"/>
                    <pic:cNvPicPr/>
                  </pic:nvPicPr>
                  <pic:blipFill>
                    <a:blip r:embed="rId23"/>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14: Configuration Item (CI) Register &amp; Lifecycle Ledger</w:t>
      </w:r>
    </w:p>
    <w:p>
      <w:pPr>
        <w:spacing w:line="324" w:lineRule="auto" w:after="200"/>
        <w:jc w:val="both"/>
      </w:pPr>
      <w:r>
        <w:rPr>
          <w:rFonts w:ascii="Times New Roman" w:hAnsi="Times New Roman"/>
          <w:b/>
          <w:color w:val="0F172A"/>
          <w:sz w:val="24"/>
        </w:rPr>
        <w:t xml:space="preserve">Figure 14 Explanation: </w:t>
      </w:r>
      <w:r>
        <w:rPr>
          <w:rFonts w:ascii="Times New Roman" w:hAnsi="Times New Roman"/>
          <w:color w:val="1E293B"/>
          <w:sz w:val="24"/>
        </w:rPr>
        <w:t>The Configuration Item Register displays the 20 formally controlled CIs, their version identifiers, lifecycle states (e.g., Baselined BL-01 to BL-05), designated owners, approval statuses, categories, and timestamps of last modification.</w:t>
      </w:r>
    </w:p>
    <w:p>
      <w:pPr>
        <w:keepNext/>
        <w:spacing w:before="160" w:after="80"/>
        <w:jc w:val="center"/>
      </w:pPr>
      <w:r>
        <w:drawing>
          <wp:inline xmlns:a="http://schemas.openxmlformats.org/drawingml/2006/main" xmlns:pic="http://schemas.openxmlformats.org/drawingml/2006/picture">
            <wp:extent cx="5486400" cy="3114278"/>
            <wp:docPr id="15" name="Picture 15"/>
            <wp:cNvGraphicFramePr>
              <a:graphicFrameLocks noChangeAspect="1"/>
            </wp:cNvGraphicFramePr>
            <a:graphic>
              <a:graphicData uri="http://schemas.openxmlformats.org/drawingml/2006/picture">
                <pic:pic>
                  <pic:nvPicPr>
                    <pic:cNvPr id="0" name="fig10_csar_report.png"/>
                    <pic:cNvPicPr/>
                  </pic:nvPicPr>
                  <pic:blipFill>
                    <a:blip r:embed="rId24"/>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15: Configuration Status Accounting Report (CSAR) Output View</w:t>
      </w:r>
    </w:p>
    <w:p>
      <w:pPr>
        <w:spacing w:line="324" w:lineRule="auto" w:after="200"/>
        <w:jc w:val="both"/>
      </w:pPr>
      <w:r>
        <w:rPr>
          <w:rFonts w:ascii="Times New Roman" w:hAnsi="Times New Roman"/>
          <w:b/>
          <w:color w:val="0F172A"/>
          <w:sz w:val="24"/>
        </w:rPr>
        <w:t xml:space="preserve">Figure 15 Explanation: </w:t>
      </w:r>
      <w:r>
        <w:rPr>
          <w:rFonts w:ascii="Times New Roman" w:hAnsi="Times New Roman"/>
          <w:color w:val="1E293B"/>
          <w:sz w:val="24"/>
        </w:rPr>
        <w:t>The CSAR output view displays the generated configuration status accounting report summarizing total CIs under control, change request statistics, CI/CD pipeline pass/fail ratios, open versus resolved problem records, and cryptographic release tag references.</w:t>
      </w:r>
    </w:p>
    <w:p>
      <w:pPr>
        <w:keepNext/>
        <w:spacing w:before="360" w:after="120"/>
      </w:pPr>
      <w:r>
        <w:rPr>
          <w:rFonts w:ascii="Times New Roman" w:hAnsi="Times New Roman"/>
          <w:b/>
          <w:color w:val="0F172A"/>
          <w:sz w:val="28"/>
        </w:rPr>
        <w:t>8. CAS (Configuration Auditing System)</w:t>
      </w:r>
    </w:p>
    <w:p>
      <w:pPr>
        <w:spacing w:line="324" w:lineRule="auto" w:after="120"/>
        <w:jc w:val="both"/>
      </w:pPr>
      <w:r>
        <w:rPr>
          <w:rFonts w:ascii="Times New Roman" w:hAnsi="Times New Roman"/>
          <w:color w:val="1E293B"/>
          <w:sz w:val="24"/>
        </w:rPr>
        <w:t>The Configuration Auditing System (CAS) performs independent, objective evaluations to verify that the software product satisfies its documented functional requirements and that its physical implementation precisely mirrors approved baselines. CommitSleuth implements both categories of formal SCM audits:</w:t>
      </w:r>
    </w:p>
    <w:p>
      <w:pPr>
        <w:spacing w:line="324" w:lineRule="auto" w:after="120"/>
        <w:jc w:val="both"/>
      </w:pPr>
      <w:r>
        <w:rPr>
          <w:rFonts w:ascii="Times New Roman" w:hAnsi="Times New Roman"/>
          <w:color w:val="1E293B"/>
          <w:sz w:val="24"/>
        </w:rPr>
        <w:t>1. Functional Configuration Audit (FCA): Verifies that all documented functional requirements (FR-01 through FR-14) have been implemented and satisfied through unit and integration testing. This includes auditing test assertion logs, branch naming compliance, and ranking engine accuracy.</w:t>
        <w:br/>
        <w:t>2. Physical Configuration Audit (PCA): Verifies the physical presence, packaging, and version integrity of approved configuration items. This includes auditing pinned Maven dependencies in pom.xml, deployment documentation in README.md, database schema parity, and cryptographic SHA-256 checksums of compiled release packages.</w:t>
        <w:br/>
        <w:t>All audit observations (AO-01 through AO-07) are formally tracked in the database with severity classifications (Critical, Major, Minor, Conforming), assigned owners, and verified closure dates.</w:t>
      </w:r>
    </w:p>
    <w:p>
      <w:pPr>
        <w:keepNext/>
        <w:spacing w:before="160" w:after="80"/>
        <w:jc w:val="center"/>
      </w:pPr>
      <w:r>
        <w:drawing>
          <wp:inline xmlns:a="http://schemas.openxmlformats.org/drawingml/2006/main" xmlns:pic="http://schemas.openxmlformats.org/drawingml/2006/picture">
            <wp:extent cx="5486400" cy="3114278"/>
            <wp:docPr id="16" name="Picture 16"/>
            <wp:cNvGraphicFramePr>
              <a:graphicFrameLocks noChangeAspect="1"/>
            </wp:cNvGraphicFramePr>
            <a:graphic>
              <a:graphicData uri="http://schemas.openxmlformats.org/drawingml/2006/picture">
                <pic:pic>
                  <pic:nvPicPr>
                    <pic:cNvPr id="0" name="fig09_auditing_fca_pca.png"/>
                    <pic:cNvPicPr/>
                  </pic:nvPicPr>
                  <pic:blipFill>
                    <a:blip r:embed="rId25"/>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16: Configuration Auditing System (FCA &amp; PCA Observations Ledger)</w:t>
      </w:r>
    </w:p>
    <w:p>
      <w:pPr>
        <w:spacing w:line="324" w:lineRule="auto" w:after="200"/>
        <w:jc w:val="both"/>
      </w:pPr>
      <w:r>
        <w:rPr>
          <w:rFonts w:ascii="Times New Roman" w:hAnsi="Times New Roman"/>
          <w:b/>
          <w:color w:val="0F172A"/>
          <w:sz w:val="24"/>
        </w:rPr>
        <w:t xml:space="preserve">Figure 16 Explanation: </w:t>
      </w:r>
      <w:r>
        <w:rPr>
          <w:rFonts w:ascii="Times New Roman" w:hAnsi="Times New Roman"/>
          <w:color w:val="1E293B"/>
          <w:sz w:val="24"/>
        </w:rPr>
        <w:t>The Configuration Auditing interface displays recorded audit observations (AO-01 through AO-07), categorizing each check as FCA or PCA, detailing checklist criteria, audit findings, objective verification evidence, severity ratings, responsible owners, and verified closure dates.</w:t>
      </w:r>
    </w:p>
    <w:p>
      <w:pPr>
        <w:keepNext/>
        <w:spacing w:before="360" w:after="120"/>
      </w:pPr>
      <w:r>
        <w:rPr>
          <w:rFonts w:ascii="Times New Roman" w:hAnsi="Times New Roman"/>
          <w:b/>
          <w:color w:val="0F172A"/>
          <w:sz w:val="28"/>
        </w:rPr>
        <w:t>9. Access and Security</w:t>
      </w:r>
    </w:p>
    <w:p>
      <w:pPr>
        <w:spacing w:line="324" w:lineRule="auto" w:after="120"/>
        <w:jc w:val="both"/>
      </w:pPr>
      <w:r>
        <w:rPr>
          <w:rFonts w:ascii="Times New Roman" w:hAnsi="Times New Roman"/>
          <w:color w:val="1E293B"/>
          <w:sz w:val="24"/>
        </w:rPr>
        <w:t>Access and Security safeguards software configuration items, audit records, and deployment gates from unauthorized modification. CommitSleuth implements Role-Based Access Control (RBAC) enforced at both the Flask backend route level and user session tier.</w:t>
      </w:r>
    </w:p>
    <w:p>
      <w:pPr>
        <w:spacing w:line="324" w:lineRule="auto" w:after="120"/>
        <w:jc w:val="both"/>
      </w:pPr>
      <w:r>
        <w:rPr>
          <w:rFonts w:ascii="Times New Roman" w:hAnsi="Times New Roman"/>
          <w:color w:val="1E293B"/>
          <w:sz w:val="24"/>
        </w:rPr>
        <w:t>The system defines three distinct operational roles:</w:t>
        <w:br/>
        <w:t>1. Administrator (Prakash Raj / Bharathwaraj): Granted full authority to modify global scoring weights, approve or reject Change Requests, authorize production promotions, and manage user accounts.</w:t>
        <w:br/>
        <w:t>2. Maintainer / Developer (Karthik / Divya): Authorized to inspect build details, investigate attributed failures, submit new Change Requests, acknowledge alerts, and submit corrective commits.</w:t>
        <w:br/>
        <w:t>3. Viewer / Auditor: Restricted to read-only access for dashboards, status accounting reports, and audit logs; strictly prohibited from registering CRs or approving promotions.</w:t>
        <w:br/>
        <w:t>Additionally, an immutable audit trail table (audit_trail) automatically logs every user authentication, role switch, promotion gate evaluation, and configuration edit with precise timestamps and usernames.</w:t>
      </w:r>
    </w:p>
    <w:p>
      <w:pPr>
        <w:keepNext/>
        <w:spacing w:before="160" w:after="80"/>
        <w:jc w:val="center"/>
      </w:pPr>
      <w:r>
        <w:drawing>
          <wp:inline xmlns:a="http://schemas.openxmlformats.org/drawingml/2006/main" xmlns:pic="http://schemas.openxmlformats.org/drawingml/2006/picture">
            <wp:extent cx="5486400" cy="3114278"/>
            <wp:docPr id="17" name="Picture 17"/>
            <wp:cNvGraphicFramePr>
              <a:graphicFrameLocks noChangeAspect="1"/>
            </wp:cNvGraphicFramePr>
            <a:graphic>
              <a:graphicData uri="http://schemas.openxmlformats.org/drawingml/2006/picture">
                <pic:pic>
                  <pic:nvPicPr>
                    <pic:cNvPr id="0" name="fig12_access_security_audit.png"/>
                    <pic:cNvPicPr/>
                  </pic:nvPicPr>
                  <pic:blipFill>
                    <a:blip r:embed="rId26"/>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17: Access Control and SCM Security Audit Trail</w:t>
      </w:r>
    </w:p>
    <w:p>
      <w:pPr>
        <w:spacing w:line="324" w:lineRule="auto" w:after="200"/>
        <w:jc w:val="both"/>
      </w:pPr>
      <w:r>
        <w:rPr>
          <w:rFonts w:ascii="Times New Roman" w:hAnsi="Times New Roman"/>
          <w:b/>
          <w:color w:val="0F172A"/>
          <w:sz w:val="24"/>
        </w:rPr>
        <w:t xml:space="preserve">Figure 17 Explanation: </w:t>
      </w:r>
      <w:r>
        <w:rPr>
          <w:rFonts w:ascii="Times New Roman" w:hAnsi="Times New Roman"/>
          <w:color w:val="1E293B"/>
          <w:sz w:val="24"/>
        </w:rPr>
        <w:t>The SCM Audit Trail interface displays an immutable chronological ledger of system actions, recording event timestamps, acting user personas, actions performed (e.g., portal logins, promotion evaluations, CR submissions), and operational details for complete accountability.</w:t>
      </w:r>
    </w:p>
    <w:p>
      <w:pPr>
        <w:keepNext/>
        <w:spacing w:before="360" w:after="120"/>
      </w:pPr>
      <w:r>
        <w:rPr>
          <w:rFonts w:ascii="Times New Roman" w:hAnsi="Times New Roman"/>
          <w:b/>
          <w:color w:val="0F172A"/>
          <w:sz w:val="28"/>
        </w:rPr>
        <w:t>10. Customization</w:t>
      </w:r>
    </w:p>
    <w:p>
      <w:pPr>
        <w:spacing w:line="324" w:lineRule="auto" w:after="120"/>
        <w:jc w:val="both"/>
      </w:pPr>
      <w:r>
        <w:rPr>
          <w:rFonts w:ascii="Times New Roman" w:hAnsi="Times New Roman"/>
          <w:color w:val="1E293B"/>
          <w:sz w:val="24"/>
        </w:rPr>
        <w:t>Customization addresses the need for an SCM tool to adapt to diverse organizational workflows, project sizes, and failure characteristics without modifying core application code. In CommitSleuth, failure attribution relies on a multi-factor weighted scoring model whose weights are externalized in scoring_config.yaml.</w:t>
      </w:r>
    </w:p>
    <w:p>
      <w:pPr>
        <w:spacing w:line="324" w:lineRule="auto" w:after="120"/>
        <w:jc w:val="both"/>
      </w:pPr>
      <w:r>
        <w:rPr>
          <w:rFonts w:ascii="Times New Roman" w:hAnsi="Times New Roman"/>
          <w:color w:val="1E293B"/>
          <w:sz w:val="24"/>
        </w:rPr>
        <w:t>The heuristic engine evaluates candidate commits against four configurable factors:</w:t>
        <w:br/>
        <w:t>1. File Match Weight (default 0.55): Evaluates direct name matching between candidate changeset files and classes referenced in failing test traces (e.g., matching Calculator.java with CalculatorTest).</w:t>
        <w:br/>
        <w:t>2. Dependency Change Weight (default 0.25): Assigns weight to pom.xml modifications when a dependency resolution failure occurs.</w:t>
        <w:br/>
        <w:t>3. Recency Weight (default 0.10): Applies linear decay based on commit chronological order in the candidate batch.</w:t>
        <w:br/>
        <w:t>4. Change Size Weight (default 0.10): Evaluates the breadth and isolation of files altered in the commit.</w:t>
        <w:br/>
        <w:t>Through the web customization portal, project leads can adjust these weights dynamically, update repository endpoints, and modify Jenkins webhook URLs. All updates are persisted directly to scoring_config.yaml and take immediate effect.</w:t>
      </w:r>
    </w:p>
    <w:p>
      <w:pPr>
        <w:keepNext/>
        <w:spacing w:before="160" w:after="80"/>
        <w:jc w:val="center"/>
      </w:pPr>
      <w:r>
        <w:drawing>
          <wp:inline xmlns:a="http://schemas.openxmlformats.org/drawingml/2006/main" xmlns:pic="http://schemas.openxmlformats.org/drawingml/2006/picture">
            <wp:extent cx="5486400" cy="3114278"/>
            <wp:docPr id="18" name="Picture 18"/>
            <wp:cNvGraphicFramePr>
              <a:graphicFrameLocks noChangeAspect="1"/>
            </wp:cNvGraphicFramePr>
            <a:graphic>
              <a:graphicData uri="http://schemas.openxmlformats.org/drawingml/2006/picture">
                <pic:pic>
                  <pic:nvPicPr>
                    <pic:cNvPr id="0" name="fig11_customization_config.png"/>
                    <pic:cNvPicPr/>
                  </pic:nvPicPr>
                  <pic:blipFill>
                    <a:blip r:embed="rId27"/>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18: SCM Customization and Heuristic Weight Configuration</w:t>
      </w:r>
    </w:p>
    <w:p>
      <w:pPr>
        <w:spacing w:line="324" w:lineRule="auto" w:after="200"/>
        <w:jc w:val="both"/>
      </w:pPr>
      <w:r>
        <w:rPr>
          <w:rFonts w:ascii="Times New Roman" w:hAnsi="Times New Roman"/>
          <w:b/>
          <w:color w:val="0F172A"/>
          <w:sz w:val="24"/>
        </w:rPr>
        <w:t xml:space="preserve">Figure 18 Explanation: </w:t>
      </w:r>
      <w:r>
        <w:rPr>
          <w:rFonts w:ascii="Times New Roman" w:hAnsi="Times New Roman"/>
          <w:color w:val="1E293B"/>
          <w:sz w:val="24"/>
        </w:rPr>
        <w:t>The Customization interface allows project managers to fine-tune attribution scoring weights, configure rollback thresholds, update GitHub repository URLs, and modify Jenkins CI webhook endpoints without code alterations or server restarts.</w:t>
      </w:r>
    </w:p>
    <w:p>
      <w:pPr>
        <w:keepNext/>
        <w:spacing w:before="360" w:after="120"/>
      </w:pPr>
      <w:r>
        <w:rPr>
          <w:rFonts w:ascii="Times New Roman" w:hAnsi="Times New Roman"/>
          <w:b/>
          <w:color w:val="0F172A"/>
          <w:sz w:val="28"/>
        </w:rPr>
        <w:t>11. Web Enabling</w:t>
      </w:r>
    </w:p>
    <w:p>
      <w:pPr>
        <w:spacing w:line="324" w:lineRule="auto" w:after="120"/>
        <w:jc w:val="both"/>
      </w:pPr>
      <w:r>
        <w:rPr>
          <w:rFonts w:ascii="Times New Roman" w:hAnsi="Times New Roman"/>
          <w:color w:val="1E293B"/>
          <w:sz w:val="24"/>
        </w:rPr>
        <w:t>Web Enabling delivers all SCM capabilities, metrics, and failure investigations through an intuitive, universally accessible web browser interface. Rather than requiring developers to inspect raw command-line logs or navigate disparate tool consoles, CommitSleuth consolidates all project status information into a single responsive web portal.</w:t>
      </w:r>
    </w:p>
    <w:p>
      <w:pPr>
        <w:spacing w:line="324" w:lineRule="auto" w:after="120"/>
        <w:jc w:val="both"/>
      </w:pPr>
      <w:r>
        <w:rPr>
          <w:rFonts w:ascii="Times New Roman" w:hAnsi="Times New Roman"/>
          <w:color w:val="1E293B"/>
          <w:sz w:val="24"/>
        </w:rPr>
        <w:t>Operating as a Flask WSGI service on port 5000, CommitSleuth provides thirteen responsive views covering the entire SCM lifecycle. In particular, the CI/CD build history module (/builds) offers an interactive build matrix detailing pipeline executions across branches, commit authors, test outcomes, and attribution links. Authenticated REST APIs (/api/builds, /api/demo/run-failure, /api/demo/run-fix) further web-enable the platform for automated integration with CI servers.</w:t>
      </w:r>
    </w:p>
    <w:p>
      <w:pPr>
        <w:keepNext/>
        <w:spacing w:before="160" w:after="80"/>
        <w:jc w:val="center"/>
      </w:pPr>
      <w:r>
        <w:drawing>
          <wp:inline xmlns:a="http://schemas.openxmlformats.org/drawingml/2006/main" xmlns:pic="http://schemas.openxmlformats.org/drawingml/2006/picture">
            <wp:extent cx="5486400" cy="3114278"/>
            <wp:docPr id="19" name="Picture 19"/>
            <wp:cNvGraphicFramePr>
              <a:graphicFrameLocks noChangeAspect="1"/>
            </wp:cNvGraphicFramePr>
            <a:graphic>
              <a:graphicData uri="http://schemas.openxmlformats.org/drawingml/2006/picture">
                <pic:pic>
                  <pic:nvPicPr>
                    <pic:cNvPr id="0" name="fig02_build_history.png"/>
                    <pic:cNvPicPr/>
                  </pic:nvPicPr>
                  <pic:blipFill>
                    <a:blip r:embed="rId28"/>
                    <a:stretch>
                      <a:fillRect/>
                    </a:stretch>
                  </pic:blipFill>
                  <pic:spPr>
                    <a:xfrm>
                      <a:off x="0" y="0"/>
                      <a:ext cx="5486400" cy="3114278"/>
                    </a:xfrm>
                    <a:prstGeom prst="rect"/>
                  </pic:spPr>
                </pic:pic>
              </a:graphicData>
            </a:graphic>
          </wp:inline>
        </w:drawing>
      </w:r>
    </w:p>
    <w:p>
      <w:pPr>
        <w:keepNext/>
        <w:spacing w:before="40" w:after="120"/>
        <w:jc w:val="center"/>
      </w:pPr>
      <w:r>
        <w:rPr>
          <w:rFonts w:ascii="Times New Roman" w:hAnsi="Times New Roman"/>
          <w:b/>
          <w:i/>
          <w:color w:val="334155"/>
          <w:sz w:val="21"/>
        </w:rPr>
        <w:t>Figure 19: Web-Enabled CI/CD Build History &amp; Failure Matrix</w:t>
      </w:r>
    </w:p>
    <w:p>
      <w:pPr>
        <w:spacing w:line="324" w:lineRule="auto" w:after="200"/>
        <w:jc w:val="both"/>
      </w:pPr>
      <w:r>
        <w:rPr>
          <w:rFonts w:ascii="Times New Roman" w:hAnsi="Times New Roman"/>
          <w:b/>
          <w:color w:val="0F172A"/>
          <w:sz w:val="24"/>
        </w:rPr>
        <w:t xml:space="preserve">Figure 19 Explanation: </w:t>
      </w:r>
      <w:r>
        <w:rPr>
          <w:rFonts w:ascii="Times New Roman" w:hAnsi="Times New Roman"/>
          <w:color w:val="1E293B"/>
          <w:sz w:val="24"/>
        </w:rPr>
        <w:t>The CI/CD Build History interface displays comprehensive execution logs across pipeline runs, tracking build numbers, branches (main, develop, bugfix), triggering commit authors, execution dates, test pass/fail metrics, and direct links to automated failure attribution cards.</w:t>
      </w:r>
    </w:p>
    <w:p>
      <w:pPr>
        <w:keepNext/>
        <w:spacing w:before="360" w:after="120"/>
      </w:pPr>
      <w:r>
        <w:rPr>
          <w:rFonts w:ascii="Times New Roman" w:hAnsi="Times New Roman"/>
          <w:b/>
          <w:color w:val="0F172A"/>
          <w:sz w:val="28"/>
        </w:rPr>
        <w:t>12. Conclusion</w:t>
      </w:r>
    </w:p>
    <w:p>
      <w:pPr>
        <w:spacing w:line="324" w:lineRule="auto" w:after="120"/>
        <w:jc w:val="both"/>
      </w:pPr>
      <w:r>
        <w:rPr>
          <w:rFonts w:ascii="Times New Roman" w:hAnsi="Times New Roman"/>
          <w:color w:val="1E293B"/>
          <w:sz w:val="24"/>
        </w:rPr>
        <w:t>CommitSleuth successfully demonstrates how Software Configuration Management principles and automated tooling can resolve the continuous integration batching problem. By continuously monitoring Jenkins pipeline events, parsing Maven test outputs, ranking multi-developer candidate commits through explainable heuristics, and providing interactive root-cause diagnostics, CommitSleuth eliminates the naive 'blame the latest commit' heuristic and drastically reduces Mean Time to Resolution (MTTR).</w:t>
      </w:r>
    </w:p>
    <w:p>
      <w:pPr>
        <w:spacing w:line="324" w:lineRule="auto" w:after="120"/>
        <w:jc w:val="both"/>
      </w:pPr>
      <w:r>
        <w:rPr>
          <w:rFonts w:ascii="Times New Roman" w:hAnsi="Times New Roman"/>
          <w:color w:val="1E293B"/>
          <w:sz w:val="24"/>
        </w:rPr>
        <w:t>Throughout this project, Git and GitHub have proven indispensable as the foundational version control and configuration management infrastructure. Git provides rock-solid commit history, cryptographic SHA-1/SHA-256 change tracking, branch isolation, and client-side hook validation. GitHub extends these capabilities with remote team collaboration, pull request review workflows, automated webhook dispatching, and semantic release tagging. Across all ten evaluated SCM activities—from Tool Implementation and Baseline Versioning to Change Control, Problem Tracking, Promotional Quality Gates, Configuration Auditing, Access Security, Customization, and Web Enabling—CommitSleuth exemplifies an end-to-end, auditable, and resilient SCM platform for modern software engineering teams.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CommitSleuth — SCM Final Review | Page </w:t>
    </w:r>
    <w:r>
      <w:rPr>
        <w:rFonts w:ascii="Times New Roman" w:hAnsi="Times New Roman"/>
        <w:color w:val="646464"/>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