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1f1f1f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u w:val="single"/>
          <w:rtl w:val="0"/>
        </w:rPr>
        <w:t xml:space="preserve">COST FUNCTION</w:t>
      </w:r>
    </w:p>
    <w:p w:rsidR="00000000" w:rsidDel="00000000" w:rsidP="00000000" w:rsidRDefault="00000000" w:rsidRPr="00000000" w14:paraId="00000002">
      <w:pPr>
        <w:jc w:val="center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Before we learn about CF lets clear some terms required to understand CF.</w:t>
      </w:r>
    </w:p>
    <w:p w:rsidR="00000000" w:rsidDel="00000000" w:rsidP="00000000" w:rsidRDefault="00000000" w:rsidRPr="00000000" w14:paraId="0000000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Input/output variables:</w:t>
      </w:r>
    </w:p>
    <w:p w:rsidR="00000000" w:rsidDel="00000000" w:rsidP="00000000" w:rsidRDefault="00000000" w:rsidRPr="00000000" w14:paraId="00000006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X denotes matrix of input variables, whereas Y denotes matrix of output variables.</w:t>
      </w:r>
    </w:p>
    <w:p w:rsidR="00000000" w:rsidDel="00000000" w:rsidP="00000000" w:rsidRDefault="00000000" w:rsidRPr="00000000" w14:paraId="00000007">
      <w:pPr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Hypothesis:</w:t>
      </w:r>
    </w:p>
    <w:p w:rsidR="00000000" w:rsidDel="00000000" w:rsidP="00000000" w:rsidRDefault="00000000" w:rsidRPr="00000000" w14:paraId="00000009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highlight w:val="white"/>
          <w:rtl w:val="0"/>
        </w:rPr>
        <w:t xml:space="preserve">To describe the supervised learning problem slightly more formally, our goal is, given a training set, to learn a function h : X → Y so that h(x) is a “good” predictor for the corresponding value of y. For historical reasons, this function h is called a hypothesis. </w:t>
      </w:r>
    </w:p>
    <w:p w:rsidR="00000000" w:rsidDel="00000000" w:rsidP="00000000" w:rsidRDefault="00000000" w:rsidRPr="00000000" w14:paraId="0000000A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Model representation:</w:t>
      </w:r>
    </w:p>
    <w:p w:rsidR="00000000" w:rsidDel="00000000" w:rsidP="00000000" w:rsidRDefault="00000000" w:rsidRPr="00000000" w14:paraId="0000000C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114800" cy="3257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25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ab/>
      </w:r>
    </w:p>
    <w:p w:rsidR="00000000" w:rsidDel="00000000" w:rsidP="00000000" w:rsidRDefault="00000000" w:rsidRPr="00000000" w14:paraId="0000000E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color w:val="1f1f1f"/>
          <w:sz w:val="21"/>
          <w:szCs w:val="21"/>
          <w:highlight w:val="white"/>
        </w:rPr>
      </w:pPr>
      <w:r w:rsidDel="00000000" w:rsidR="00000000" w:rsidRPr="00000000">
        <w:rPr>
          <w:b w:val="1"/>
          <w:color w:val="1f1f1f"/>
          <w:sz w:val="21"/>
          <w:szCs w:val="21"/>
          <w:highlight w:val="white"/>
          <w:rtl w:val="0"/>
        </w:rPr>
        <w:t xml:space="preserve">COST FUNCTION :</w:t>
      </w:r>
    </w:p>
    <w:p w:rsidR="00000000" w:rsidDel="00000000" w:rsidP="00000000" w:rsidRDefault="00000000" w:rsidRPr="00000000" w14:paraId="00000010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We can measure the accuracy of our hypothesis function by using a cost function </w:t>
      </w:r>
      <m:oMath>
        <m:r>
          <w:rPr>
            <w:i w:val="1"/>
            <w:color w:val="1f1f1f"/>
            <w:sz w:val="25"/>
            <w:szCs w:val="25"/>
            <w:highlight w:val="white"/>
          </w:rPr>
          <m:t xml:space="preserve">J</m:t>
        </m:r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(</m:t>
        </m:r>
        <m:r>
          <w:rPr>
            <w:rFonts w:ascii="Times New Roman" w:cs="Times New Roman" w:eastAsia="Times New Roman" w:hAnsi="Times New Roman"/>
            <w:i w:val="1"/>
            <w:color w:val="1f1f1f"/>
            <w:sz w:val="25"/>
            <w:szCs w:val="25"/>
            <w:highlight w:val="white"/>
          </w:rPr>
          <m:t xml:space="preserve">θ</m:t>
        </m:r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18"/>
                <w:szCs w:val="18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1f1f1f"/>
                <w:sz w:val="18"/>
                <w:szCs w:val="18"/>
                <w:highlight w:val="white"/>
              </w:rPr>
              <m:t xml:space="preserve">0</m:t>
            </m:r>
          </m:sub>
        </m:sSub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,</m:t>
        </m:r>
        <m:r>
          <w:rPr>
            <w:rFonts w:ascii="Times New Roman" w:cs="Times New Roman" w:eastAsia="Times New Roman" w:hAnsi="Times New Roman"/>
            <w:i w:val="1"/>
            <w:color w:val="1f1f1f"/>
            <w:sz w:val="25"/>
            <w:szCs w:val="25"/>
            <w:highlight w:val="white"/>
          </w:rPr>
          <m:t xml:space="preserve">θ</m:t>
        </m:r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18"/>
                <w:szCs w:val="18"/>
                <w:highlight w:val="white"/>
                <w:vertAlign w:val="subscript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1f1f1f"/>
                <w:sz w:val="18"/>
                <w:szCs w:val="18"/>
                <w:highlight w:val="white"/>
                <w:vertAlign w:val="subscript"/>
              </w:rPr>
              <m:t xml:space="preserve">1</m:t>
            </m:r>
          </m:sub>
        </m:sSub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)</m:t>
        </m:r>
      </m:oMath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This function is otherwise called the "Squared error function", or "Mean squared error".</w:t>
      </w:r>
    </w:p>
    <w:p w:rsidR="00000000" w:rsidDel="00000000" w:rsidP="00000000" w:rsidRDefault="00000000" w:rsidRPr="00000000" w14:paraId="00000012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</w:rPr>
        <w:drawing>
          <wp:inline distB="114300" distT="114300" distL="114300" distR="114300">
            <wp:extent cx="4829175" cy="9715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88" w:lineRule="auto"/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To break it apart, it is </w:t>
      </w:r>
      <m:oMath>
        <m:f>
          <m:fPr>
            <m:ctrlP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</m:ctrlPr>
          </m:fPr>
          <m:num>
            <m: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  <m:t xml:space="preserve">2</m:t>
            </m:r>
          </m:den>
        </m:f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 </m:t>
        </m:r>
        <m:r>
          <w:rPr>
            <w:rFonts w:ascii="Times New Roman" w:cs="Times New Roman" w:eastAsia="Times New Roman" w:hAnsi="Times New Roman"/>
            <w:i w:val="1"/>
            <w:color w:val="1f1f1f"/>
            <w:sz w:val="25"/>
            <w:szCs w:val="25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ˉ</m:t>
        </m:r>
      </m:oMath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where </w:t>
      </w:r>
      <m:oMath>
        <m:r>
          <w:rPr>
            <w:rFonts w:ascii="Times New Roman" w:cs="Times New Roman" w:eastAsia="Times New Roman" w:hAnsi="Times New Roman"/>
            <w:i w:val="1"/>
            <w:color w:val="1f1f1f"/>
            <w:sz w:val="25"/>
            <w:szCs w:val="25"/>
            <w:highlight w:val="white"/>
          </w:rPr>
          <m:t xml:space="preserve">x</m:t>
        </m:r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ˉ</m:t>
        </m:r>
      </m:oMath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 is the mean of the squares of </w:t>
      </w:r>
      <m:oMath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h</m:t>
        </m:r>
        <m:sSub>
          <m:sSubPr>
            <m:ctrlPr>
              <w:rPr>
                <w:rFonts w:ascii="Times New Roman" w:cs="Times New Roman" w:eastAsia="Times New Roman" w:hAnsi="Times New Roman"/>
                <w:i w:val="1"/>
                <w:color w:val="1f1f1f"/>
                <w:sz w:val="25"/>
                <w:szCs w:val="25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i w:val="1"/>
                <w:color w:val="1f1f1f"/>
                <w:sz w:val="25"/>
                <w:szCs w:val="25"/>
                <w:highlight w:val="white"/>
              </w:rPr>
              <m:t xml:space="preserve">θ</m:t>
            </m:r>
          </m:sub>
        </m:sSub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(x</m:t>
        </m:r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color w:val="1f1f1f"/>
            <w:sz w:val="25"/>
            <w:szCs w:val="25"/>
            <w:highlight w:val="white"/>
          </w:rPr>
          <m:t xml:space="preserve">)-y</m:t>
        </m:r>
        <m:sSub>
          <m:sSubPr>
            <m:ctrlP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</m:ctrlPr>
          </m:sSubPr>
          <m:e/>
          <m:sub>
            <m:r>
              <w:rPr>
                <w:rFonts w:ascii="Times New Roman" w:cs="Times New Roman" w:eastAsia="Times New Roman" w:hAnsi="Times New Roman"/>
                <w:color w:val="1f1f1f"/>
                <w:sz w:val="25"/>
                <w:szCs w:val="25"/>
                <w:highlight w:val="white"/>
              </w:rPr>
              <m:t xml:space="preserve">i</m:t>
            </m:r>
          </m:sub>
        </m:sSub>
      </m:oMath>
      <w:r w:rsidDel="00000000" w:rsidR="00000000" w:rsidRPr="00000000">
        <w:rPr>
          <w:color w:val="1f1f1f"/>
          <w:sz w:val="21"/>
          <w:szCs w:val="21"/>
          <w:highlight w:val="white"/>
          <w:rtl w:val="0"/>
        </w:rPr>
        <w:t xml:space="preserve">or the difference between the predicted value and the actual value.</w:t>
      </w:r>
    </w:p>
    <w:p w:rsidR="00000000" w:rsidDel="00000000" w:rsidP="00000000" w:rsidRDefault="00000000" w:rsidRPr="00000000" w14:paraId="00000014">
      <w:pPr>
        <w:rPr>
          <w:color w:val="1f1f1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