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815C" w14:textId="77777777" w:rsidR="00F8300C" w:rsidRDefault="00F8300C">
      <w:pPr>
        <w:spacing w:before="1400"/>
      </w:pPr>
    </w:p>
    <w:p w14:paraId="794A65A8" w14:textId="77777777" w:rsidR="00F8300C" w:rsidRDefault="00000000">
      <w:pPr>
        <w:spacing w:after="240"/>
        <w:jc w:val="center"/>
      </w:pPr>
      <w:r>
        <w:rPr>
          <w:b/>
          <w:bCs/>
          <w:color w:val="0F6E56"/>
          <w:sz w:val="40"/>
          <w:szCs w:val="40"/>
        </w:rPr>
        <w:t>Survival Extrapolation Analysis of First-Line</w:t>
      </w:r>
    </w:p>
    <w:p w14:paraId="362AE9EC" w14:textId="77777777" w:rsidR="00F8300C" w:rsidRDefault="00000000">
      <w:pPr>
        <w:spacing w:after="360"/>
        <w:jc w:val="center"/>
      </w:pPr>
      <w:r>
        <w:rPr>
          <w:b/>
          <w:bCs/>
          <w:color w:val="0F6E56"/>
          <w:sz w:val="40"/>
          <w:szCs w:val="40"/>
        </w:rPr>
        <w:t>Immunotherapy versus Chemotherapy in Advanced NSCLC</w:t>
      </w:r>
    </w:p>
    <w:p w14:paraId="275CE15F" w14:textId="77777777" w:rsidR="00F8300C" w:rsidRDefault="00000000">
      <w:pPr>
        <w:spacing w:after="700"/>
        <w:jc w:val="center"/>
      </w:pPr>
      <w:r>
        <w:rPr>
          <w:i/>
          <w:iCs/>
          <w:color w:val="854F0B"/>
          <w:sz w:val="24"/>
          <w:szCs w:val="24"/>
        </w:rPr>
        <w:t>A reconstructed individual-patient-data (IPD) approach for health economics and outcomes research</w:t>
      </w:r>
    </w:p>
    <w:p w14:paraId="313EBCCC" w14:textId="77777777" w:rsidR="00F8300C" w:rsidRDefault="00000000">
      <w:pPr>
        <w:spacing w:after="80"/>
        <w:jc w:val="center"/>
      </w:pPr>
      <w:r>
        <w:t>Prepared by Prakhar Gupta</w:t>
      </w:r>
    </w:p>
    <w:p w14:paraId="4EDDBC4B" w14:textId="017BA47D" w:rsidR="00F8300C" w:rsidRDefault="00F46866">
      <w:pPr>
        <w:spacing w:after="80"/>
        <w:jc w:val="center"/>
      </w:pPr>
      <w:r>
        <w:rPr>
          <w:color w:val="5F5E5A"/>
          <w:sz w:val="20"/>
          <w:szCs w:val="20"/>
        </w:rPr>
        <w:t>M</w:t>
      </w:r>
      <w:r w:rsidR="00000000">
        <w:rPr>
          <w:color w:val="5F5E5A"/>
          <w:sz w:val="20"/>
          <w:szCs w:val="20"/>
        </w:rPr>
        <w:t>.Sc. Statistics</w:t>
      </w:r>
    </w:p>
    <w:p w14:paraId="2B8D6F73" w14:textId="7C81BB66" w:rsidR="00F8300C" w:rsidRDefault="00F46866">
      <w:pPr>
        <w:spacing w:after="900"/>
        <w:jc w:val="center"/>
      </w:pPr>
      <w:r>
        <w:rPr>
          <w:color w:val="5F5E5A"/>
          <w:sz w:val="20"/>
          <w:szCs w:val="20"/>
        </w:rPr>
        <w:t>July</w:t>
      </w:r>
      <w:r w:rsidR="00000000">
        <w:rPr>
          <w:color w:val="5F5E5A"/>
          <w:sz w:val="20"/>
          <w:szCs w:val="20"/>
        </w:rPr>
        <w:t xml:space="preserve"> 2026</w:t>
      </w:r>
    </w:p>
    <w:p w14:paraId="6BF95F53" w14:textId="77777777" w:rsidR="00F8300C" w:rsidRDefault="00000000">
      <w:pPr>
        <w:jc w:val="center"/>
      </w:pPr>
      <w:r>
        <w:rPr>
          <w:i/>
          <w:iCs/>
          <w:color w:val="5F5E5A"/>
          <w:sz w:val="18"/>
          <w:szCs w:val="18"/>
        </w:rPr>
        <w:t>Based on: Reck M, et al. Pembrolizumab versus Chemotherapy for PD-L1–Positive</w:t>
      </w:r>
    </w:p>
    <w:p w14:paraId="58CAD71B" w14:textId="77777777" w:rsidR="00F8300C" w:rsidRDefault="00000000">
      <w:pPr>
        <w:jc w:val="center"/>
      </w:pPr>
      <w:r>
        <w:rPr>
          <w:i/>
          <w:iCs/>
          <w:color w:val="5F5E5A"/>
          <w:sz w:val="18"/>
          <w:szCs w:val="18"/>
        </w:rPr>
        <w:t>Non–Small-Cell Lung Cancer. N Engl J Med. 2016;375:1823-1833. (KEYNOTE-024)</w:t>
      </w:r>
    </w:p>
    <w:p w14:paraId="78AB0CA2" w14:textId="77777777" w:rsidR="00F8300C" w:rsidRDefault="00000000">
      <w:r>
        <w:br w:type="page"/>
      </w:r>
    </w:p>
    <w:p w14:paraId="55109D49" w14:textId="77777777" w:rsidR="00F8300C" w:rsidRDefault="00000000">
      <w:pPr>
        <w:pStyle w:val="Heading1"/>
        <w:pBdr>
          <w:bottom w:val="single" w:sz="6" w:space="4" w:color="0F6E56"/>
        </w:pBdr>
        <w:spacing w:before="360" w:after="160"/>
      </w:pPr>
      <w:r>
        <w:rPr>
          <w:b/>
          <w:bCs/>
          <w:color w:val="0F6E56"/>
          <w:sz w:val="27"/>
          <w:szCs w:val="27"/>
        </w:rPr>
        <w:lastRenderedPageBreak/>
        <w:t>Executive summary</w:t>
      </w:r>
    </w:p>
    <w:p w14:paraId="796ECBDD" w14:textId="77777777" w:rsidR="00F8300C" w:rsidRDefault="00000000">
      <w:pPr>
        <w:spacing w:after="180" w:line="300" w:lineRule="auto"/>
      </w:pPr>
      <w:r>
        <w:t>This report presents a health economics and outcomes research (HEOR) style survival extrapolation analysis based on the pivotal KEYNOTE-024 trial, which established pembrolizumab as a first-line standard of care for advanced non–small-cell lung cancer (NSCLC) in patients with high PD-L1 expression. Using only the published Kaplan-Meier overall survival curve and its accompanying number-at-risk table, individual patient-level survival records were reconstructed and used to fit and compare a standard set of parametric survival distributions, producing extrapolated survival projections and restricted mean survival time (RMST) estimates suitable for downstream cost-effectiveness modeling.</w:t>
      </w:r>
    </w:p>
    <w:p w14:paraId="2A8FCF07" w14:textId="77777777" w:rsidR="00F8300C" w:rsidRDefault="00000000">
      <w:pPr>
        <w:spacing w:after="180" w:line="300" w:lineRule="auto"/>
      </w:pPr>
      <w:r>
        <w:t>The reconstructed data reproduced the trial's headline result closely — a hazard ratio of 0.61 (95% CI, 0.41–0.90) against the published 0.60 (95% CI, 0.41–0.89) — supporting the validity of the reconstruction. Pembrolizumab was projected to provide a meaningful and growing survival advantage over platinum-based chemotherapy across all modeled time horizons. An interactive R Shiny dashboard was developed alongside this report to make the full pipeline, from digitized curve to extrapolated projection, explorable in real time.</w:t>
      </w:r>
    </w:p>
    <w:p w14:paraId="6A060F31" w14:textId="77777777" w:rsidR="00F8300C" w:rsidRDefault="00000000">
      <w:pPr>
        <w:pStyle w:val="Heading1"/>
        <w:pBdr>
          <w:bottom w:val="single" w:sz="6" w:space="4" w:color="0F6E56"/>
        </w:pBdr>
        <w:spacing w:before="360" w:after="160"/>
      </w:pPr>
      <w:r>
        <w:rPr>
          <w:b/>
          <w:bCs/>
          <w:color w:val="0F6E56"/>
          <w:sz w:val="27"/>
          <w:szCs w:val="27"/>
        </w:rPr>
        <w:t>Background</w:t>
      </w:r>
    </w:p>
    <w:p w14:paraId="0581A7DE" w14:textId="77777777" w:rsidR="00F8300C" w:rsidRDefault="00000000">
      <w:pPr>
        <w:spacing w:after="180" w:line="300" w:lineRule="auto"/>
      </w:pPr>
      <w:r>
        <w:t>Published clinical trial reports typically present survival outcomes only as Kaplan-Meier curves and summary statistics such as median survival and hazard ratios, without releasing the underlying individual patient data (IPD). Health economic evaluations and health technology assessments, however, generally require patient-level time-to-event data — both to validate modeling assumptions and to extrapolate survival beyond a trial's observed follow-up window. Analysts routinely address this gap by reconstructing approximate IPD directly from published figures, a well-established technique in the HEOR literature. This report demonstrates that workflow end-to-end using a real, publicly available oncology trial.</w:t>
      </w:r>
    </w:p>
    <w:p w14:paraId="5A1193B0" w14:textId="77777777" w:rsidR="00F8300C" w:rsidRDefault="00000000">
      <w:pPr>
        <w:pStyle w:val="Heading1"/>
        <w:pBdr>
          <w:bottom w:val="single" w:sz="6" w:space="4" w:color="0F6E56"/>
        </w:pBdr>
        <w:spacing w:before="360" w:after="160"/>
      </w:pPr>
      <w:r>
        <w:rPr>
          <w:b/>
          <w:bCs/>
          <w:color w:val="0F6E56"/>
          <w:sz w:val="27"/>
          <w:szCs w:val="27"/>
        </w:rPr>
        <w:t>Data source</w:t>
      </w:r>
    </w:p>
    <w:p w14:paraId="6F5BAEEF" w14:textId="77777777" w:rsidR="00F8300C" w:rsidRDefault="00000000">
      <w:pPr>
        <w:spacing w:after="180" w:line="300" w:lineRule="auto"/>
      </w:pPr>
      <w:r>
        <w:rPr>
          <w:i/>
          <w:iCs/>
        </w:rPr>
        <w:t>Reck M, Rodríguez-Abreu D, Robinson AG, et al. Pembrolizumab versus Chemotherapy for PD-L1–Positive Non–Small-Cell Lung Cancer. New England Journal of Medicine. 2016;375(18):1823–1833.</w:t>
      </w:r>
    </w:p>
    <w:p w14:paraId="2B530B86" w14:textId="77777777" w:rsidR="00F8300C" w:rsidRDefault="00000000">
      <w:pPr>
        <w:spacing w:after="180" w:line="300" w:lineRule="auto"/>
      </w:pPr>
      <w:r>
        <w:t>KEYNOTE-024 was an open-label, phase 3 randomized controlled trial enrolling 305 patients with previously untreated advanced NSCLC and a PD-L1 tumor proportion score of 50% or higher. Patients were randomized 1:1 to pembrolizumab monotherapy or investigator's choice of platinum-based chemotherapy. The endpoint used for this analysis is Overall Survival, as reported in Figure 2 of the original publication.</w:t>
      </w:r>
    </w:p>
    <w:p w14:paraId="2BEDE188" w14:textId="77777777" w:rsidR="00F8300C" w:rsidRDefault="00000000">
      <w:pPr>
        <w:pStyle w:val="Heading1"/>
        <w:pBdr>
          <w:bottom w:val="single" w:sz="6" w:space="4" w:color="0F6E56"/>
        </w:pBdr>
        <w:spacing w:before="360" w:after="160"/>
      </w:pPr>
      <w:r>
        <w:rPr>
          <w:b/>
          <w:bCs/>
          <w:color w:val="0F6E56"/>
          <w:sz w:val="27"/>
          <w:szCs w:val="27"/>
        </w:rPr>
        <w:t>Methodology</w:t>
      </w:r>
    </w:p>
    <w:p w14:paraId="5FF1EDAE" w14:textId="77777777" w:rsidR="00F8300C" w:rsidRDefault="00000000">
      <w:pPr>
        <w:pStyle w:val="Heading2"/>
        <w:spacing w:before="260" w:after="120"/>
      </w:pPr>
      <w:r>
        <w:rPr>
          <w:b/>
          <w:bCs/>
          <w:color w:val="854F0B"/>
          <w:sz w:val="23"/>
          <w:szCs w:val="23"/>
        </w:rPr>
        <w:t>Curve digitization</w:t>
      </w:r>
    </w:p>
    <w:p w14:paraId="5F380CCB" w14:textId="77777777" w:rsidR="00F8300C" w:rsidRDefault="00000000">
      <w:pPr>
        <w:spacing w:after="180" w:line="300" w:lineRule="auto"/>
      </w:pPr>
      <w:r>
        <w:t>The published overall survival Kaplan-Meier curve was digitized using WebPlotDigitizer, extracting time and survival-probability coordinates for both treatment arms directly from the source figure, together with the accompanying number-at-risk table.</w:t>
      </w:r>
    </w:p>
    <w:p w14:paraId="044FA6C2" w14:textId="77777777" w:rsidR="00F8300C" w:rsidRDefault="00000000">
      <w:pPr>
        <w:pStyle w:val="Heading2"/>
        <w:spacing w:before="260" w:after="120"/>
      </w:pPr>
      <w:r>
        <w:rPr>
          <w:b/>
          <w:bCs/>
          <w:color w:val="854F0B"/>
          <w:sz w:val="23"/>
          <w:szCs w:val="23"/>
        </w:rPr>
        <w:lastRenderedPageBreak/>
        <w:t>Pseudo individual patient data reconstruction</w:t>
      </w:r>
    </w:p>
    <w:p w14:paraId="7EBD203D" w14:textId="77777777" w:rsidR="00F8300C" w:rsidRDefault="00000000">
      <w:pPr>
        <w:spacing w:after="180" w:line="300" w:lineRule="auto"/>
      </w:pPr>
      <w:r>
        <w:t>Individual patient-level time-to-event records were reconstructed from the digitized curve using the algorithm of Guyot et al. (2012), implemented directly in R. The method anchors reconstruction to the published number-at-risk table: within each risk-table interval, the ratio of successive survival estimates is used to infer the number of events, and any residual discrepancy against the next reported risk count is attributed to censoring and distributed across the interval. This produces a reconstructed dataset of patient-level time and event/censoring status for each treatment arm, reconciled exactly to the published risk table at every checkpoint.</w:t>
      </w:r>
    </w:p>
    <w:p w14:paraId="388AB41B" w14:textId="77777777" w:rsidR="00F8300C" w:rsidRDefault="00000000">
      <w:pPr>
        <w:pStyle w:val="Heading2"/>
        <w:spacing w:before="260" w:after="120"/>
      </w:pPr>
      <w:r>
        <w:rPr>
          <w:b/>
          <w:bCs/>
          <w:color w:val="854F0B"/>
          <w:sz w:val="23"/>
          <w:szCs w:val="23"/>
        </w:rPr>
        <w:t>Validation</w:t>
      </w:r>
    </w:p>
    <w:p w14:paraId="3C2C31AC" w14:textId="77777777" w:rsidR="00F8300C" w:rsidRDefault="00000000">
      <w:pPr>
        <w:spacing w:after="180" w:line="300" w:lineRule="auto"/>
      </w:pPr>
      <w:r>
        <w:t>Reconstruction quality was assessed by refitting a Kaplan-Meier curve and a Cox proportional hazards model to the reconstructed data, and comparing the resulting hazard ratio, confidence interval, and median survival estimates against the values reported in the original publication.</w:t>
      </w:r>
    </w:p>
    <w:p w14:paraId="067A605D" w14:textId="77777777" w:rsidR="00F8300C" w:rsidRDefault="00000000">
      <w:pPr>
        <w:pStyle w:val="Heading2"/>
        <w:spacing w:before="260" w:after="120"/>
      </w:pPr>
      <w:r>
        <w:rPr>
          <w:b/>
          <w:bCs/>
          <w:color w:val="854F0B"/>
          <w:sz w:val="23"/>
          <w:szCs w:val="23"/>
        </w:rPr>
        <w:t>Parametric survival modeling</w:t>
      </w:r>
    </w:p>
    <w:p w14:paraId="1FCF9133" w14:textId="77777777" w:rsidR="00F8300C" w:rsidRDefault="00000000">
      <w:pPr>
        <w:spacing w:after="180" w:line="300" w:lineRule="auto"/>
      </w:pPr>
      <w:r>
        <w:t>Six standard parametric survival distributions — exponential, Weibull, gamma, log-normal, log-logistic, and Gompertz — were fit to the reconstructed data by maximum likelihood estimation for right-censored survival data. This distribution set follows the standard candidate list recommended by the NICE Decision Support Unit (Technical Support Document 14) for survival extrapolation in cost-effectiveness modeling. Model fit was compared using the Akaike Information Criterion (AIC) and Bayesian Information Criterion (BIC), with the lowest-AIC model selected as the primary extrapolation model for each arm.</w:t>
      </w:r>
    </w:p>
    <w:p w14:paraId="79021AF4" w14:textId="77777777" w:rsidR="00F8300C" w:rsidRDefault="00000000">
      <w:pPr>
        <w:pStyle w:val="Heading2"/>
        <w:spacing w:before="260" w:after="120"/>
      </w:pPr>
      <w:r>
        <w:rPr>
          <w:b/>
          <w:bCs/>
          <w:color w:val="854F0B"/>
          <w:sz w:val="23"/>
          <w:szCs w:val="23"/>
        </w:rPr>
        <w:t>Extrapolation and restricted mean survival time</w:t>
      </w:r>
    </w:p>
    <w:p w14:paraId="60D10324" w14:textId="77777777" w:rsidR="00F8300C" w:rsidRDefault="00000000">
      <w:pPr>
        <w:spacing w:after="180" w:line="300" w:lineRule="auto"/>
      </w:pPr>
      <w:r>
        <w:t>The best-fitting distribution for each arm was used to project survival beyond the trial's observed follow-up period. Restricted mean survival time (RMST) — the area under the survival curve up to a defined time horizon, and a standard summary measure in economic evaluation — was calculated at 24-month and 60-month horizons via numerical integration.</w:t>
      </w:r>
    </w:p>
    <w:p w14:paraId="4D7269B3" w14:textId="77777777" w:rsidR="00F8300C" w:rsidRDefault="00000000">
      <w:pPr>
        <w:pStyle w:val="Heading2"/>
        <w:spacing w:before="260" w:after="120"/>
      </w:pPr>
      <w:r>
        <w:rPr>
          <w:b/>
          <w:bCs/>
          <w:color w:val="854F0B"/>
          <w:sz w:val="23"/>
          <w:szCs w:val="23"/>
        </w:rPr>
        <w:t>Interactive dashboard</w:t>
      </w:r>
    </w:p>
    <w:p w14:paraId="394DC7E7" w14:textId="77777777" w:rsidR="00F8300C" w:rsidRDefault="00000000">
      <w:pPr>
        <w:spacing w:after="180" w:line="300" w:lineRule="auto"/>
      </w:pPr>
      <w:r>
        <w:t>An interactive R Shiny application was developed to allow real-time exploration of the full analytic pipeline: reconstructed Kaplan-Meier curves, side-by-side parametric model comparison with live AIC/BIC ranking, and extrapolation under any user-selected distribution and time horizon.</w:t>
      </w:r>
    </w:p>
    <w:p w14:paraId="77FAB484" w14:textId="77777777" w:rsidR="00F8300C" w:rsidRDefault="00000000">
      <w:pPr>
        <w:pStyle w:val="Heading1"/>
        <w:pBdr>
          <w:bottom w:val="single" w:sz="6" w:space="4" w:color="0F6E56"/>
        </w:pBdr>
        <w:spacing w:before="360" w:after="160"/>
      </w:pPr>
      <w:r>
        <w:rPr>
          <w:b/>
          <w:bCs/>
          <w:color w:val="0F6E56"/>
          <w:sz w:val="27"/>
          <w:szCs w:val="27"/>
        </w:rPr>
        <w:t>Results</w:t>
      </w:r>
    </w:p>
    <w:p w14:paraId="67EC36B8" w14:textId="77777777" w:rsidR="00F8300C" w:rsidRDefault="00000000">
      <w:pPr>
        <w:pStyle w:val="Heading2"/>
        <w:spacing w:before="260" w:after="120"/>
      </w:pPr>
      <w:r>
        <w:rPr>
          <w:b/>
          <w:bCs/>
          <w:color w:val="854F0B"/>
          <w:sz w:val="23"/>
          <w:szCs w:val="23"/>
        </w:rPr>
        <w:t>Reconstruction validation</w:t>
      </w:r>
    </w:p>
    <w:p w14:paraId="6BFC19F7" w14:textId="77777777" w:rsidR="00F8300C" w:rsidRDefault="00000000">
      <w:pPr>
        <w:spacing w:after="180" w:line="300" w:lineRule="auto"/>
      </w:pPr>
      <w:r>
        <w:t>The reconstructed dataset contained 305 patients (154 pembrolizumab, 151 chemotherapy), matching the trial's enrollment exactly. Reconstructed events totaled 43 of 154 (27.9%) in the pembrolizumab arm and 63 of 151 (41.7%) in the chemotherapy arm.</w:t>
      </w:r>
    </w:p>
    <w:tbl>
      <w:tblPr>
        <w:tblW w:w="9680" w:type="dxa"/>
        <w:tblBorders>
          <w:top w:val="single" w:sz="4" w:space="0" w:color="C9C7BC"/>
          <w:left w:val="single" w:sz="4" w:space="0" w:color="C9C7BC"/>
          <w:bottom w:val="single" w:sz="4" w:space="0" w:color="C9C7BC"/>
          <w:right w:val="single" w:sz="4" w:space="0" w:color="C9C7BC"/>
          <w:insideH w:val="single" w:sz="2" w:space="0" w:color="C9C7BC"/>
          <w:insideV w:val="single" w:sz="2" w:space="0" w:color="C9C7BC"/>
        </w:tblBorders>
        <w:tblCellMar>
          <w:left w:w="10" w:type="dxa"/>
          <w:right w:w="10" w:type="dxa"/>
        </w:tblCellMar>
        <w:tblLook w:val="04A0" w:firstRow="1" w:lastRow="0" w:firstColumn="1" w:lastColumn="0" w:noHBand="0" w:noVBand="1"/>
      </w:tblPr>
      <w:tblGrid>
        <w:gridCol w:w="4798"/>
        <w:gridCol w:w="1652"/>
        <w:gridCol w:w="3230"/>
      </w:tblGrid>
      <w:tr w:rsidR="00F8300C" w14:paraId="6B7DE3C6" w14:textId="77777777">
        <w:tblPrEx>
          <w:tblCellMar>
            <w:top w:w="0" w:type="dxa"/>
            <w:bottom w:w="0" w:type="dxa"/>
          </w:tblCellMar>
        </w:tblPrEx>
        <w:trPr>
          <w:tblHeader/>
        </w:trPr>
        <w:tc>
          <w:tcPr>
            <w:tcW w:w="0" w:type="auto"/>
            <w:shd w:val="clear" w:color="auto" w:fill="E1F5EE"/>
            <w:tcMar>
              <w:top w:w="80" w:type="dxa"/>
              <w:left w:w="120" w:type="dxa"/>
              <w:bottom w:w="80" w:type="dxa"/>
              <w:right w:w="120" w:type="dxa"/>
            </w:tcMar>
            <w:vAlign w:val="center"/>
          </w:tcPr>
          <w:p w14:paraId="417D12DD" w14:textId="77777777" w:rsidR="00F8300C" w:rsidRDefault="00000000">
            <w:pPr>
              <w:jc w:val="center"/>
            </w:pPr>
            <w:r>
              <w:rPr>
                <w:b/>
                <w:bCs/>
                <w:color w:val="0F6E56"/>
                <w:sz w:val="20"/>
                <w:szCs w:val="20"/>
              </w:rPr>
              <w:lastRenderedPageBreak/>
              <w:t>Metric</w:t>
            </w:r>
          </w:p>
        </w:tc>
        <w:tc>
          <w:tcPr>
            <w:tcW w:w="0" w:type="auto"/>
            <w:shd w:val="clear" w:color="auto" w:fill="E1F5EE"/>
            <w:tcMar>
              <w:top w:w="80" w:type="dxa"/>
              <w:left w:w="120" w:type="dxa"/>
              <w:bottom w:w="80" w:type="dxa"/>
              <w:right w:w="120" w:type="dxa"/>
            </w:tcMar>
            <w:vAlign w:val="center"/>
          </w:tcPr>
          <w:p w14:paraId="7649851E" w14:textId="77777777" w:rsidR="00F8300C" w:rsidRDefault="00000000">
            <w:pPr>
              <w:jc w:val="center"/>
            </w:pPr>
            <w:r>
              <w:rPr>
                <w:b/>
                <w:bCs/>
                <w:color w:val="0F6E56"/>
                <w:sz w:val="20"/>
                <w:szCs w:val="20"/>
              </w:rPr>
              <w:t>Reconstructed</w:t>
            </w:r>
          </w:p>
        </w:tc>
        <w:tc>
          <w:tcPr>
            <w:tcW w:w="0" w:type="auto"/>
            <w:shd w:val="clear" w:color="auto" w:fill="E1F5EE"/>
            <w:tcMar>
              <w:top w:w="80" w:type="dxa"/>
              <w:left w:w="120" w:type="dxa"/>
              <w:bottom w:w="80" w:type="dxa"/>
              <w:right w:w="120" w:type="dxa"/>
            </w:tcMar>
            <w:vAlign w:val="center"/>
          </w:tcPr>
          <w:p w14:paraId="7D84D21F" w14:textId="77777777" w:rsidR="00F8300C" w:rsidRDefault="00000000">
            <w:pPr>
              <w:jc w:val="center"/>
            </w:pPr>
            <w:r>
              <w:rPr>
                <w:b/>
                <w:bCs/>
                <w:color w:val="0F6E56"/>
                <w:sz w:val="20"/>
                <w:szCs w:val="20"/>
              </w:rPr>
              <w:t>Published (Reck et al., 2016)</w:t>
            </w:r>
          </w:p>
        </w:tc>
      </w:tr>
      <w:tr w:rsidR="00F8300C" w14:paraId="476D2C88" w14:textId="77777777">
        <w:tblPrEx>
          <w:tblCellMar>
            <w:top w:w="0" w:type="dxa"/>
            <w:bottom w:w="0" w:type="dxa"/>
          </w:tblCellMar>
        </w:tblPrEx>
        <w:tc>
          <w:tcPr>
            <w:tcW w:w="0" w:type="auto"/>
            <w:tcMar>
              <w:top w:w="80" w:type="dxa"/>
              <w:left w:w="120" w:type="dxa"/>
              <w:bottom w:w="80" w:type="dxa"/>
              <w:right w:w="120" w:type="dxa"/>
            </w:tcMar>
            <w:vAlign w:val="center"/>
          </w:tcPr>
          <w:p w14:paraId="57980E27" w14:textId="77777777" w:rsidR="00F8300C" w:rsidRDefault="00000000">
            <w:r>
              <w:rPr>
                <w:sz w:val="20"/>
                <w:szCs w:val="20"/>
              </w:rPr>
              <w:t>Hazard ratio (pembrolizumab vs. chemotherapy)</w:t>
            </w:r>
          </w:p>
        </w:tc>
        <w:tc>
          <w:tcPr>
            <w:tcW w:w="0" w:type="auto"/>
            <w:tcMar>
              <w:top w:w="80" w:type="dxa"/>
              <w:left w:w="120" w:type="dxa"/>
              <w:bottom w:w="80" w:type="dxa"/>
              <w:right w:w="120" w:type="dxa"/>
            </w:tcMar>
            <w:vAlign w:val="center"/>
          </w:tcPr>
          <w:p w14:paraId="7F63C54E" w14:textId="77777777" w:rsidR="00F8300C" w:rsidRDefault="00000000">
            <w:pPr>
              <w:jc w:val="center"/>
            </w:pPr>
            <w:r>
              <w:rPr>
                <w:sz w:val="20"/>
                <w:szCs w:val="20"/>
              </w:rPr>
              <w:t>0.61</w:t>
            </w:r>
          </w:p>
        </w:tc>
        <w:tc>
          <w:tcPr>
            <w:tcW w:w="0" w:type="auto"/>
            <w:tcMar>
              <w:top w:w="80" w:type="dxa"/>
              <w:left w:w="120" w:type="dxa"/>
              <w:bottom w:w="80" w:type="dxa"/>
              <w:right w:w="120" w:type="dxa"/>
            </w:tcMar>
            <w:vAlign w:val="center"/>
          </w:tcPr>
          <w:p w14:paraId="31954B0E" w14:textId="77777777" w:rsidR="00F8300C" w:rsidRDefault="00000000">
            <w:pPr>
              <w:jc w:val="center"/>
            </w:pPr>
            <w:r>
              <w:rPr>
                <w:sz w:val="20"/>
                <w:szCs w:val="20"/>
              </w:rPr>
              <w:t>0.60</w:t>
            </w:r>
          </w:p>
        </w:tc>
      </w:tr>
      <w:tr w:rsidR="00F8300C" w14:paraId="6E73D99E" w14:textId="77777777">
        <w:tblPrEx>
          <w:tblCellMar>
            <w:top w:w="0" w:type="dxa"/>
            <w:bottom w:w="0" w:type="dxa"/>
          </w:tblCellMar>
        </w:tblPrEx>
        <w:tc>
          <w:tcPr>
            <w:tcW w:w="0" w:type="auto"/>
            <w:tcMar>
              <w:top w:w="80" w:type="dxa"/>
              <w:left w:w="120" w:type="dxa"/>
              <w:bottom w:w="80" w:type="dxa"/>
              <w:right w:w="120" w:type="dxa"/>
            </w:tcMar>
            <w:vAlign w:val="center"/>
          </w:tcPr>
          <w:p w14:paraId="42522C15" w14:textId="77777777" w:rsidR="00F8300C" w:rsidRDefault="00000000">
            <w:r>
              <w:rPr>
                <w:sz w:val="20"/>
                <w:szCs w:val="20"/>
              </w:rPr>
              <w:t>95% confidence interval</w:t>
            </w:r>
          </w:p>
        </w:tc>
        <w:tc>
          <w:tcPr>
            <w:tcW w:w="0" w:type="auto"/>
            <w:tcMar>
              <w:top w:w="80" w:type="dxa"/>
              <w:left w:w="120" w:type="dxa"/>
              <w:bottom w:w="80" w:type="dxa"/>
              <w:right w:w="120" w:type="dxa"/>
            </w:tcMar>
            <w:vAlign w:val="center"/>
          </w:tcPr>
          <w:p w14:paraId="6571F0D3" w14:textId="77777777" w:rsidR="00F8300C" w:rsidRDefault="00000000">
            <w:pPr>
              <w:jc w:val="center"/>
            </w:pPr>
            <w:r>
              <w:rPr>
                <w:sz w:val="20"/>
                <w:szCs w:val="20"/>
              </w:rPr>
              <w:t>0.41–0.90</w:t>
            </w:r>
          </w:p>
        </w:tc>
        <w:tc>
          <w:tcPr>
            <w:tcW w:w="0" w:type="auto"/>
            <w:tcMar>
              <w:top w:w="80" w:type="dxa"/>
              <w:left w:w="120" w:type="dxa"/>
              <w:bottom w:w="80" w:type="dxa"/>
              <w:right w:w="120" w:type="dxa"/>
            </w:tcMar>
            <w:vAlign w:val="center"/>
          </w:tcPr>
          <w:p w14:paraId="5F30CEA1" w14:textId="77777777" w:rsidR="00F8300C" w:rsidRDefault="00000000">
            <w:pPr>
              <w:jc w:val="center"/>
            </w:pPr>
            <w:r>
              <w:rPr>
                <w:sz w:val="20"/>
                <w:szCs w:val="20"/>
              </w:rPr>
              <w:t>0.41–0.89</w:t>
            </w:r>
          </w:p>
        </w:tc>
      </w:tr>
      <w:tr w:rsidR="00F8300C" w14:paraId="0CAB34B0" w14:textId="77777777">
        <w:tblPrEx>
          <w:tblCellMar>
            <w:top w:w="0" w:type="dxa"/>
            <w:bottom w:w="0" w:type="dxa"/>
          </w:tblCellMar>
        </w:tblPrEx>
        <w:tc>
          <w:tcPr>
            <w:tcW w:w="0" w:type="auto"/>
            <w:tcMar>
              <w:top w:w="80" w:type="dxa"/>
              <w:left w:w="120" w:type="dxa"/>
              <w:bottom w:w="80" w:type="dxa"/>
              <w:right w:w="120" w:type="dxa"/>
            </w:tcMar>
            <w:vAlign w:val="center"/>
          </w:tcPr>
          <w:p w14:paraId="6D706826" w14:textId="77777777" w:rsidR="00F8300C" w:rsidRDefault="00000000">
            <w:r>
              <w:rPr>
                <w:sz w:val="20"/>
                <w:szCs w:val="20"/>
              </w:rPr>
              <w:t>P-value</w:t>
            </w:r>
          </w:p>
        </w:tc>
        <w:tc>
          <w:tcPr>
            <w:tcW w:w="0" w:type="auto"/>
            <w:tcMar>
              <w:top w:w="80" w:type="dxa"/>
              <w:left w:w="120" w:type="dxa"/>
              <w:bottom w:w="80" w:type="dxa"/>
              <w:right w:w="120" w:type="dxa"/>
            </w:tcMar>
            <w:vAlign w:val="center"/>
          </w:tcPr>
          <w:p w14:paraId="0C586D6C" w14:textId="77777777" w:rsidR="00F8300C" w:rsidRDefault="00000000">
            <w:pPr>
              <w:jc w:val="center"/>
            </w:pPr>
            <w:r>
              <w:rPr>
                <w:sz w:val="20"/>
                <w:szCs w:val="20"/>
              </w:rPr>
              <w:t>0.013</w:t>
            </w:r>
          </w:p>
        </w:tc>
        <w:tc>
          <w:tcPr>
            <w:tcW w:w="0" w:type="auto"/>
            <w:tcMar>
              <w:top w:w="80" w:type="dxa"/>
              <w:left w:w="120" w:type="dxa"/>
              <w:bottom w:w="80" w:type="dxa"/>
              <w:right w:w="120" w:type="dxa"/>
            </w:tcMar>
            <w:vAlign w:val="center"/>
          </w:tcPr>
          <w:p w14:paraId="376A8633" w14:textId="77777777" w:rsidR="00F8300C" w:rsidRDefault="00000000">
            <w:pPr>
              <w:jc w:val="center"/>
            </w:pPr>
            <w:r>
              <w:rPr>
                <w:sz w:val="20"/>
                <w:szCs w:val="20"/>
              </w:rPr>
              <w:t>0.005</w:t>
            </w:r>
          </w:p>
        </w:tc>
      </w:tr>
      <w:tr w:rsidR="00F8300C" w14:paraId="416ABB66" w14:textId="77777777">
        <w:tblPrEx>
          <w:tblCellMar>
            <w:top w:w="0" w:type="dxa"/>
            <w:bottom w:w="0" w:type="dxa"/>
          </w:tblCellMar>
        </w:tblPrEx>
        <w:tc>
          <w:tcPr>
            <w:tcW w:w="0" w:type="auto"/>
            <w:tcMar>
              <w:top w:w="80" w:type="dxa"/>
              <w:left w:w="120" w:type="dxa"/>
              <w:bottom w:w="80" w:type="dxa"/>
              <w:right w:w="120" w:type="dxa"/>
            </w:tcMar>
            <w:vAlign w:val="center"/>
          </w:tcPr>
          <w:p w14:paraId="1F10F578" w14:textId="77777777" w:rsidR="00F8300C" w:rsidRDefault="00000000">
            <w:r>
              <w:rPr>
                <w:sz w:val="20"/>
                <w:szCs w:val="20"/>
              </w:rPr>
              <w:t>Median OS — chemotherapy</w:t>
            </w:r>
          </w:p>
        </w:tc>
        <w:tc>
          <w:tcPr>
            <w:tcW w:w="0" w:type="auto"/>
            <w:tcMar>
              <w:top w:w="80" w:type="dxa"/>
              <w:left w:w="120" w:type="dxa"/>
              <w:bottom w:w="80" w:type="dxa"/>
              <w:right w:w="120" w:type="dxa"/>
            </w:tcMar>
            <w:vAlign w:val="center"/>
          </w:tcPr>
          <w:p w14:paraId="68A5B28A" w14:textId="77777777" w:rsidR="00F8300C" w:rsidRDefault="00000000">
            <w:pPr>
              <w:jc w:val="center"/>
            </w:pPr>
            <w:r>
              <w:rPr>
                <w:sz w:val="20"/>
                <w:szCs w:val="20"/>
              </w:rPr>
              <w:t>12.6 months</w:t>
            </w:r>
          </w:p>
        </w:tc>
        <w:tc>
          <w:tcPr>
            <w:tcW w:w="0" w:type="auto"/>
            <w:tcMar>
              <w:top w:w="80" w:type="dxa"/>
              <w:left w:w="120" w:type="dxa"/>
              <w:bottom w:w="80" w:type="dxa"/>
              <w:right w:w="120" w:type="dxa"/>
            </w:tcMar>
            <w:vAlign w:val="center"/>
          </w:tcPr>
          <w:p w14:paraId="37BF4FF2" w14:textId="77777777" w:rsidR="00F8300C" w:rsidRDefault="00000000">
            <w:pPr>
              <w:jc w:val="center"/>
            </w:pPr>
            <w:r>
              <w:rPr>
                <w:sz w:val="20"/>
                <w:szCs w:val="20"/>
              </w:rPr>
              <w:t>consistent with published curve</w:t>
            </w:r>
          </w:p>
        </w:tc>
      </w:tr>
      <w:tr w:rsidR="00F8300C" w14:paraId="32169F1A" w14:textId="77777777">
        <w:tblPrEx>
          <w:tblCellMar>
            <w:top w:w="0" w:type="dxa"/>
            <w:bottom w:w="0" w:type="dxa"/>
          </w:tblCellMar>
        </w:tblPrEx>
        <w:tc>
          <w:tcPr>
            <w:tcW w:w="0" w:type="auto"/>
            <w:tcMar>
              <w:top w:w="80" w:type="dxa"/>
              <w:left w:w="120" w:type="dxa"/>
              <w:bottom w:w="80" w:type="dxa"/>
              <w:right w:w="120" w:type="dxa"/>
            </w:tcMar>
            <w:vAlign w:val="center"/>
          </w:tcPr>
          <w:p w14:paraId="36A412A5" w14:textId="77777777" w:rsidR="00F8300C" w:rsidRDefault="00000000">
            <w:r>
              <w:rPr>
                <w:sz w:val="20"/>
                <w:szCs w:val="20"/>
              </w:rPr>
              <w:t>Median OS — pembrolizumab</w:t>
            </w:r>
          </w:p>
        </w:tc>
        <w:tc>
          <w:tcPr>
            <w:tcW w:w="0" w:type="auto"/>
            <w:tcMar>
              <w:top w:w="80" w:type="dxa"/>
              <w:left w:w="120" w:type="dxa"/>
              <w:bottom w:w="80" w:type="dxa"/>
              <w:right w:w="120" w:type="dxa"/>
            </w:tcMar>
            <w:vAlign w:val="center"/>
          </w:tcPr>
          <w:p w14:paraId="4F6C0E92" w14:textId="77777777" w:rsidR="00F8300C" w:rsidRDefault="00000000">
            <w:pPr>
              <w:jc w:val="center"/>
            </w:pPr>
            <w:r>
              <w:rPr>
                <w:sz w:val="20"/>
                <w:szCs w:val="20"/>
              </w:rPr>
              <w:t>Not reached</w:t>
            </w:r>
          </w:p>
        </w:tc>
        <w:tc>
          <w:tcPr>
            <w:tcW w:w="0" w:type="auto"/>
            <w:tcMar>
              <w:top w:w="80" w:type="dxa"/>
              <w:left w:w="120" w:type="dxa"/>
              <w:bottom w:w="80" w:type="dxa"/>
              <w:right w:w="120" w:type="dxa"/>
            </w:tcMar>
            <w:vAlign w:val="center"/>
          </w:tcPr>
          <w:p w14:paraId="7F77CD94" w14:textId="77777777" w:rsidR="00F8300C" w:rsidRDefault="00000000">
            <w:pPr>
              <w:jc w:val="center"/>
            </w:pPr>
            <w:r>
              <w:rPr>
                <w:sz w:val="20"/>
                <w:szCs w:val="20"/>
              </w:rPr>
              <w:t>Not reached</w:t>
            </w:r>
          </w:p>
        </w:tc>
      </w:tr>
    </w:tbl>
    <w:p w14:paraId="28E2777F" w14:textId="77777777" w:rsidR="00F8300C" w:rsidRDefault="00000000">
      <w:pPr>
        <w:spacing w:before="160"/>
        <w:jc w:val="center"/>
      </w:pPr>
      <w:r>
        <w:rPr>
          <w:noProof/>
        </w:rPr>
        <w:drawing>
          <wp:inline distT="0" distB="0" distL="0" distR="0" wp14:anchorId="7BCDD2E3" wp14:editId="22205C02">
            <wp:extent cx="447675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752725"/>
                    </a:xfrm>
                    <a:prstGeom prst="rect">
                      <a:avLst/>
                    </a:prstGeom>
                  </pic:spPr>
                </pic:pic>
              </a:graphicData>
            </a:graphic>
          </wp:inline>
        </w:drawing>
      </w:r>
    </w:p>
    <w:p w14:paraId="130F0ED1" w14:textId="77777777" w:rsidR="00F8300C" w:rsidRDefault="00000000">
      <w:pPr>
        <w:spacing w:before="80" w:after="320"/>
        <w:jc w:val="center"/>
      </w:pPr>
      <w:r>
        <w:rPr>
          <w:i/>
          <w:iCs/>
          <w:color w:val="5F5E5A"/>
          <w:sz w:val="19"/>
          <w:szCs w:val="19"/>
        </w:rPr>
        <w:t>Figure 1. Reconstructed overall survival curves, both treatment arms.</w:t>
      </w:r>
    </w:p>
    <w:p w14:paraId="43B82CEF" w14:textId="77777777" w:rsidR="00F8300C" w:rsidRDefault="00000000">
      <w:pPr>
        <w:pStyle w:val="Heading2"/>
        <w:spacing w:before="260" w:after="120"/>
      </w:pPr>
      <w:r>
        <w:rPr>
          <w:b/>
          <w:bCs/>
          <w:color w:val="854F0B"/>
          <w:sz w:val="23"/>
          <w:szCs w:val="23"/>
        </w:rPr>
        <w:t>Parametric model selection</w:t>
      </w:r>
    </w:p>
    <w:p w14:paraId="0BA0B1D5" w14:textId="77777777" w:rsidR="00F8300C" w:rsidRDefault="00000000">
      <w:pPr>
        <w:spacing w:after="180" w:line="300" w:lineRule="auto"/>
      </w:pPr>
      <w:r>
        <w:t>Model fit statistics for both arms are summarized below, ranked by AIC. Differences between the top-ranked models are small in both arms, and the Weibull and gamma shape parameters are close to 1.0 in both cases — consistent with an approximately constant hazard over the trial's observed follow-up window, which favors the exponential model on parsimony grounds (AIC and BIC both penalize its two competitors' additional parameter).</w:t>
      </w:r>
    </w:p>
    <w:p w14:paraId="2ED2E629" w14:textId="77777777" w:rsidR="00F8300C" w:rsidRDefault="00000000">
      <w:pPr>
        <w:spacing w:after="180" w:line="300" w:lineRule="auto"/>
      </w:pPr>
      <w:r>
        <w:rPr>
          <w:b/>
          <w:bCs/>
        </w:rPr>
        <w:t>Pembrolizumab arm</w:t>
      </w:r>
    </w:p>
    <w:tbl>
      <w:tblPr>
        <w:tblW w:w="9680" w:type="dxa"/>
        <w:tblBorders>
          <w:top w:val="single" w:sz="4" w:space="0" w:color="C9C7BC"/>
          <w:left w:val="single" w:sz="4" w:space="0" w:color="C9C7BC"/>
          <w:bottom w:val="single" w:sz="4" w:space="0" w:color="C9C7BC"/>
          <w:right w:val="single" w:sz="4" w:space="0" w:color="C9C7BC"/>
          <w:insideH w:val="single" w:sz="2" w:space="0" w:color="C9C7BC"/>
          <w:insideV w:val="single" w:sz="2" w:space="0" w:color="C9C7BC"/>
        </w:tblBorders>
        <w:tblCellMar>
          <w:left w:w="10" w:type="dxa"/>
          <w:right w:w="10" w:type="dxa"/>
        </w:tblCellMar>
        <w:tblLook w:val="04A0" w:firstRow="1" w:lastRow="0" w:firstColumn="1" w:lastColumn="0" w:noHBand="0" w:noVBand="1"/>
      </w:tblPr>
      <w:tblGrid>
        <w:gridCol w:w="5436"/>
        <w:gridCol w:w="2122"/>
        <w:gridCol w:w="2122"/>
      </w:tblGrid>
      <w:tr w:rsidR="00F8300C" w14:paraId="308EE952" w14:textId="77777777">
        <w:tblPrEx>
          <w:tblCellMar>
            <w:top w:w="0" w:type="dxa"/>
            <w:bottom w:w="0" w:type="dxa"/>
          </w:tblCellMar>
        </w:tblPrEx>
        <w:trPr>
          <w:tblHeader/>
        </w:trPr>
        <w:tc>
          <w:tcPr>
            <w:tcW w:w="0" w:type="auto"/>
            <w:shd w:val="clear" w:color="auto" w:fill="E1F5EE"/>
            <w:tcMar>
              <w:top w:w="80" w:type="dxa"/>
              <w:left w:w="120" w:type="dxa"/>
              <w:bottom w:w="80" w:type="dxa"/>
              <w:right w:w="120" w:type="dxa"/>
            </w:tcMar>
            <w:vAlign w:val="center"/>
          </w:tcPr>
          <w:p w14:paraId="6BD48C0F" w14:textId="77777777" w:rsidR="00F8300C" w:rsidRDefault="00000000">
            <w:pPr>
              <w:jc w:val="center"/>
            </w:pPr>
            <w:r>
              <w:rPr>
                <w:b/>
                <w:bCs/>
                <w:color w:val="0F6E56"/>
                <w:sz w:val="20"/>
                <w:szCs w:val="20"/>
              </w:rPr>
              <w:t>Distribution</w:t>
            </w:r>
          </w:p>
        </w:tc>
        <w:tc>
          <w:tcPr>
            <w:tcW w:w="0" w:type="auto"/>
            <w:shd w:val="clear" w:color="auto" w:fill="E1F5EE"/>
            <w:tcMar>
              <w:top w:w="80" w:type="dxa"/>
              <w:left w:w="120" w:type="dxa"/>
              <w:bottom w:w="80" w:type="dxa"/>
              <w:right w:w="120" w:type="dxa"/>
            </w:tcMar>
            <w:vAlign w:val="center"/>
          </w:tcPr>
          <w:p w14:paraId="540DFB22" w14:textId="77777777" w:rsidR="00F8300C" w:rsidRDefault="00000000">
            <w:pPr>
              <w:jc w:val="center"/>
            </w:pPr>
            <w:r>
              <w:rPr>
                <w:b/>
                <w:bCs/>
                <w:color w:val="0F6E56"/>
                <w:sz w:val="20"/>
                <w:szCs w:val="20"/>
              </w:rPr>
              <w:t>AIC</w:t>
            </w:r>
          </w:p>
        </w:tc>
        <w:tc>
          <w:tcPr>
            <w:tcW w:w="0" w:type="auto"/>
            <w:shd w:val="clear" w:color="auto" w:fill="E1F5EE"/>
            <w:tcMar>
              <w:top w:w="80" w:type="dxa"/>
              <w:left w:w="120" w:type="dxa"/>
              <w:bottom w:w="80" w:type="dxa"/>
              <w:right w:w="120" w:type="dxa"/>
            </w:tcMar>
            <w:vAlign w:val="center"/>
          </w:tcPr>
          <w:p w14:paraId="37681F8B" w14:textId="77777777" w:rsidR="00F8300C" w:rsidRDefault="00000000">
            <w:pPr>
              <w:jc w:val="center"/>
            </w:pPr>
            <w:r>
              <w:rPr>
                <w:b/>
                <w:bCs/>
                <w:color w:val="0F6E56"/>
                <w:sz w:val="20"/>
                <w:szCs w:val="20"/>
              </w:rPr>
              <w:t>BIC</w:t>
            </w:r>
          </w:p>
        </w:tc>
      </w:tr>
      <w:tr w:rsidR="00F8300C" w14:paraId="68ACAB2A" w14:textId="77777777">
        <w:tblPrEx>
          <w:tblCellMar>
            <w:top w:w="0" w:type="dxa"/>
            <w:bottom w:w="0" w:type="dxa"/>
          </w:tblCellMar>
        </w:tblPrEx>
        <w:tc>
          <w:tcPr>
            <w:tcW w:w="0" w:type="auto"/>
            <w:tcMar>
              <w:top w:w="80" w:type="dxa"/>
              <w:left w:w="120" w:type="dxa"/>
              <w:bottom w:w="80" w:type="dxa"/>
              <w:right w:w="120" w:type="dxa"/>
            </w:tcMar>
            <w:vAlign w:val="center"/>
          </w:tcPr>
          <w:p w14:paraId="7599AFC0" w14:textId="77777777" w:rsidR="00F8300C" w:rsidRDefault="00000000">
            <w:r>
              <w:rPr>
                <w:sz w:val="20"/>
                <w:szCs w:val="20"/>
              </w:rPr>
              <w:t>Exponential (selected)</w:t>
            </w:r>
          </w:p>
        </w:tc>
        <w:tc>
          <w:tcPr>
            <w:tcW w:w="0" w:type="auto"/>
            <w:tcMar>
              <w:top w:w="80" w:type="dxa"/>
              <w:left w:w="120" w:type="dxa"/>
              <w:bottom w:w="80" w:type="dxa"/>
              <w:right w:w="120" w:type="dxa"/>
            </w:tcMar>
            <w:vAlign w:val="center"/>
          </w:tcPr>
          <w:p w14:paraId="23F84519" w14:textId="77777777" w:rsidR="00F8300C" w:rsidRDefault="00000000">
            <w:pPr>
              <w:jc w:val="center"/>
            </w:pPr>
            <w:r>
              <w:rPr>
                <w:sz w:val="20"/>
                <w:szCs w:val="20"/>
              </w:rPr>
              <w:t>386.89</w:t>
            </w:r>
          </w:p>
        </w:tc>
        <w:tc>
          <w:tcPr>
            <w:tcW w:w="0" w:type="auto"/>
            <w:tcMar>
              <w:top w:w="80" w:type="dxa"/>
              <w:left w:w="120" w:type="dxa"/>
              <w:bottom w:w="80" w:type="dxa"/>
              <w:right w:w="120" w:type="dxa"/>
            </w:tcMar>
            <w:vAlign w:val="center"/>
          </w:tcPr>
          <w:p w14:paraId="067F9CBD" w14:textId="77777777" w:rsidR="00F8300C" w:rsidRDefault="00000000">
            <w:pPr>
              <w:jc w:val="center"/>
            </w:pPr>
            <w:r>
              <w:rPr>
                <w:sz w:val="20"/>
                <w:szCs w:val="20"/>
              </w:rPr>
              <w:t>389.92</w:t>
            </w:r>
          </w:p>
        </w:tc>
      </w:tr>
      <w:tr w:rsidR="00F8300C" w14:paraId="466F94F5" w14:textId="77777777">
        <w:tblPrEx>
          <w:tblCellMar>
            <w:top w:w="0" w:type="dxa"/>
            <w:bottom w:w="0" w:type="dxa"/>
          </w:tblCellMar>
        </w:tblPrEx>
        <w:tc>
          <w:tcPr>
            <w:tcW w:w="0" w:type="auto"/>
            <w:tcMar>
              <w:top w:w="80" w:type="dxa"/>
              <w:left w:w="120" w:type="dxa"/>
              <w:bottom w:w="80" w:type="dxa"/>
              <w:right w:w="120" w:type="dxa"/>
            </w:tcMar>
            <w:vAlign w:val="center"/>
          </w:tcPr>
          <w:p w14:paraId="432F666A" w14:textId="77777777" w:rsidR="00F8300C" w:rsidRDefault="00000000">
            <w:r>
              <w:rPr>
                <w:sz w:val="20"/>
                <w:szCs w:val="20"/>
              </w:rPr>
              <w:t>Log-logistic</w:t>
            </w:r>
          </w:p>
        </w:tc>
        <w:tc>
          <w:tcPr>
            <w:tcW w:w="0" w:type="auto"/>
            <w:tcMar>
              <w:top w:w="80" w:type="dxa"/>
              <w:left w:w="120" w:type="dxa"/>
              <w:bottom w:w="80" w:type="dxa"/>
              <w:right w:w="120" w:type="dxa"/>
            </w:tcMar>
            <w:vAlign w:val="center"/>
          </w:tcPr>
          <w:p w14:paraId="0C78C987" w14:textId="77777777" w:rsidR="00F8300C" w:rsidRDefault="00000000">
            <w:pPr>
              <w:jc w:val="center"/>
            </w:pPr>
            <w:r>
              <w:rPr>
                <w:sz w:val="20"/>
                <w:szCs w:val="20"/>
              </w:rPr>
              <w:t>388.37</w:t>
            </w:r>
          </w:p>
        </w:tc>
        <w:tc>
          <w:tcPr>
            <w:tcW w:w="0" w:type="auto"/>
            <w:tcMar>
              <w:top w:w="80" w:type="dxa"/>
              <w:left w:w="120" w:type="dxa"/>
              <w:bottom w:w="80" w:type="dxa"/>
              <w:right w:w="120" w:type="dxa"/>
            </w:tcMar>
            <w:vAlign w:val="center"/>
          </w:tcPr>
          <w:p w14:paraId="10D7EB6E" w14:textId="77777777" w:rsidR="00F8300C" w:rsidRDefault="00000000">
            <w:pPr>
              <w:jc w:val="center"/>
            </w:pPr>
            <w:r>
              <w:rPr>
                <w:sz w:val="20"/>
                <w:szCs w:val="20"/>
              </w:rPr>
              <w:t>394.44</w:t>
            </w:r>
          </w:p>
        </w:tc>
      </w:tr>
      <w:tr w:rsidR="00F8300C" w14:paraId="4A5FD950" w14:textId="77777777">
        <w:tblPrEx>
          <w:tblCellMar>
            <w:top w:w="0" w:type="dxa"/>
            <w:bottom w:w="0" w:type="dxa"/>
          </w:tblCellMar>
        </w:tblPrEx>
        <w:tc>
          <w:tcPr>
            <w:tcW w:w="0" w:type="auto"/>
            <w:tcMar>
              <w:top w:w="80" w:type="dxa"/>
              <w:left w:w="120" w:type="dxa"/>
              <w:bottom w:w="80" w:type="dxa"/>
              <w:right w:w="120" w:type="dxa"/>
            </w:tcMar>
            <w:vAlign w:val="center"/>
          </w:tcPr>
          <w:p w14:paraId="41B2451C" w14:textId="77777777" w:rsidR="00F8300C" w:rsidRDefault="00000000">
            <w:r>
              <w:rPr>
                <w:sz w:val="20"/>
                <w:szCs w:val="20"/>
              </w:rPr>
              <w:t>Log-normal</w:t>
            </w:r>
          </w:p>
        </w:tc>
        <w:tc>
          <w:tcPr>
            <w:tcW w:w="0" w:type="auto"/>
            <w:tcMar>
              <w:top w:w="80" w:type="dxa"/>
              <w:left w:w="120" w:type="dxa"/>
              <w:bottom w:w="80" w:type="dxa"/>
              <w:right w:w="120" w:type="dxa"/>
            </w:tcMar>
            <w:vAlign w:val="center"/>
          </w:tcPr>
          <w:p w14:paraId="6F120F4C" w14:textId="77777777" w:rsidR="00F8300C" w:rsidRDefault="00000000">
            <w:pPr>
              <w:jc w:val="center"/>
            </w:pPr>
            <w:r>
              <w:rPr>
                <w:sz w:val="20"/>
                <w:szCs w:val="20"/>
              </w:rPr>
              <w:t>388.43</w:t>
            </w:r>
          </w:p>
        </w:tc>
        <w:tc>
          <w:tcPr>
            <w:tcW w:w="0" w:type="auto"/>
            <w:tcMar>
              <w:top w:w="80" w:type="dxa"/>
              <w:left w:w="120" w:type="dxa"/>
              <w:bottom w:w="80" w:type="dxa"/>
              <w:right w:w="120" w:type="dxa"/>
            </w:tcMar>
            <w:vAlign w:val="center"/>
          </w:tcPr>
          <w:p w14:paraId="22E1C56E" w14:textId="77777777" w:rsidR="00F8300C" w:rsidRDefault="00000000">
            <w:pPr>
              <w:jc w:val="center"/>
            </w:pPr>
            <w:r>
              <w:rPr>
                <w:sz w:val="20"/>
                <w:szCs w:val="20"/>
              </w:rPr>
              <w:t>394.50</w:t>
            </w:r>
          </w:p>
        </w:tc>
      </w:tr>
      <w:tr w:rsidR="00F8300C" w14:paraId="3D84C8A4" w14:textId="77777777">
        <w:tblPrEx>
          <w:tblCellMar>
            <w:top w:w="0" w:type="dxa"/>
            <w:bottom w:w="0" w:type="dxa"/>
          </w:tblCellMar>
        </w:tblPrEx>
        <w:tc>
          <w:tcPr>
            <w:tcW w:w="0" w:type="auto"/>
            <w:tcMar>
              <w:top w:w="80" w:type="dxa"/>
              <w:left w:w="120" w:type="dxa"/>
              <w:bottom w:w="80" w:type="dxa"/>
              <w:right w:w="120" w:type="dxa"/>
            </w:tcMar>
            <w:vAlign w:val="center"/>
          </w:tcPr>
          <w:p w14:paraId="5A20AF6C" w14:textId="77777777" w:rsidR="00F8300C" w:rsidRDefault="00000000">
            <w:r>
              <w:rPr>
                <w:sz w:val="20"/>
                <w:szCs w:val="20"/>
              </w:rPr>
              <w:t>Gompertz</w:t>
            </w:r>
          </w:p>
        </w:tc>
        <w:tc>
          <w:tcPr>
            <w:tcW w:w="0" w:type="auto"/>
            <w:tcMar>
              <w:top w:w="80" w:type="dxa"/>
              <w:left w:w="120" w:type="dxa"/>
              <w:bottom w:w="80" w:type="dxa"/>
              <w:right w:w="120" w:type="dxa"/>
            </w:tcMar>
            <w:vAlign w:val="center"/>
          </w:tcPr>
          <w:p w14:paraId="32F6A883" w14:textId="77777777" w:rsidR="00F8300C" w:rsidRDefault="00000000">
            <w:pPr>
              <w:jc w:val="center"/>
            </w:pPr>
            <w:r>
              <w:rPr>
                <w:sz w:val="20"/>
                <w:szCs w:val="20"/>
              </w:rPr>
              <w:t>388.57</w:t>
            </w:r>
          </w:p>
        </w:tc>
        <w:tc>
          <w:tcPr>
            <w:tcW w:w="0" w:type="auto"/>
            <w:tcMar>
              <w:top w:w="80" w:type="dxa"/>
              <w:left w:w="120" w:type="dxa"/>
              <w:bottom w:w="80" w:type="dxa"/>
              <w:right w:w="120" w:type="dxa"/>
            </w:tcMar>
            <w:vAlign w:val="center"/>
          </w:tcPr>
          <w:p w14:paraId="3BAB811B" w14:textId="77777777" w:rsidR="00F8300C" w:rsidRDefault="00000000">
            <w:pPr>
              <w:jc w:val="center"/>
            </w:pPr>
            <w:r>
              <w:rPr>
                <w:sz w:val="20"/>
                <w:szCs w:val="20"/>
              </w:rPr>
              <w:t>394.65</w:t>
            </w:r>
          </w:p>
        </w:tc>
      </w:tr>
      <w:tr w:rsidR="00F8300C" w14:paraId="0E0B4FBF" w14:textId="77777777">
        <w:tblPrEx>
          <w:tblCellMar>
            <w:top w:w="0" w:type="dxa"/>
            <w:bottom w:w="0" w:type="dxa"/>
          </w:tblCellMar>
        </w:tblPrEx>
        <w:tc>
          <w:tcPr>
            <w:tcW w:w="0" w:type="auto"/>
            <w:tcMar>
              <w:top w:w="80" w:type="dxa"/>
              <w:left w:w="120" w:type="dxa"/>
              <w:bottom w:w="80" w:type="dxa"/>
              <w:right w:w="120" w:type="dxa"/>
            </w:tcMar>
            <w:vAlign w:val="center"/>
          </w:tcPr>
          <w:p w14:paraId="2A1221A2" w14:textId="77777777" w:rsidR="00F8300C" w:rsidRDefault="00000000">
            <w:r>
              <w:rPr>
                <w:sz w:val="20"/>
                <w:szCs w:val="20"/>
              </w:rPr>
              <w:t>Weibull</w:t>
            </w:r>
          </w:p>
        </w:tc>
        <w:tc>
          <w:tcPr>
            <w:tcW w:w="0" w:type="auto"/>
            <w:tcMar>
              <w:top w:w="80" w:type="dxa"/>
              <w:left w:w="120" w:type="dxa"/>
              <w:bottom w:w="80" w:type="dxa"/>
              <w:right w:w="120" w:type="dxa"/>
            </w:tcMar>
            <w:vAlign w:val="center"/>
          </w:tcPr>
          <w:p w14:paraId="14A10677" w14:textId="77777777" w:rsidR="00F8300C" w:rsidRDefault="00000000">
            <w:pPr>
              <w:jc w:val="center"/>
            </w:pPr>
            <w:r>
              <w:rPr>
                <w:sz w:val="20"/>
                <w:szCs w:val="20"/>
              </w:rPr>
              <w:t>388.87</w:t>
            </w:r>
          </w:p>
        </w:tc>
        <w:tc>
          <w:tcPr>
            <w:tcW w:w="0" w:type="auto"/>
            <w:tcMar>
              <w:top w:w="80" w:type="dxa"/>
              <w:left w:w="120" w:type="dxa"/>
              <w:bottom w:w="80" w:type="dxa"/>
              <w:right w:w="120" w:type="dxa"/>
            </w:tcMar>
            <w:vAlign w:val="center"/>
          </w:tcPr>
          <w:p w14:paraId="0081C911" w14:textId="77777777" w:rsidR="00F8300C" w:rsidRDefault="00000000">
            <w:pPr>
              <w:jc w:val="center"/>
            </w:pPr>
            <w:r>
              <w:rPr>
                <w:sz w:val="20"/>
                <w:szCs w:val="20"/>
              </w:rPr>
              <w:t>394.94</w:t>
            </w:r>
          </w:p>
        </w:tc>
      </w:tr>
      <w:tr w:rsidR="00F8300C" w14:paraId="24BCFCCE" w14:textId="77777777">
        <w:tblPrEx>
          <w:tblCellMar>
            <w:top w:w="0" w:type="dxa"/>
            <w:bottom w:w="0" w:type="dxa"/>
          </w:tblCellMar>
        </w:tblPrEx>
        <w:tc>
          <w:tcPr>
            <w:tcW w:w="0" w:type="auto"/>
            <w:tcMar>
              <w:top w:w="80" w:type="dxa"/>
              <w:left w:w="120" w:type="dxa"/>
              <w:bottom w:w="80" w:type="dxa"/>
              <w:right w:w="120" w:type="dxa"/>
            </w:tcMar>
            <w:vAlign w:val="center"/>
          </w:tcPr>
          <w:p w14:paraId="62FEF933" w14:textId="77777777" w:rsidR="00F8300C" w:rsidRDefault="00000000">
            <w:r>
              <w:rPr>
                <w:sz w:val="20"/>
                <w:szCs w:val="20"/>
              </w:rPr>
              <w:t>Gamma</w:t>
            </w:r>
          </w:p>
        </w:tc>
        <w:tc>
          <w:tcPr>
            <w:tcW w:w="0" w:type="auto"/>
            <w:tcMar>
              <w:top w:w="80" w:type="dxa"/>
              <w:left w:w="120" w:type="dxa"/>
              <w:bottom w:w="80" w:type="dxa"/>
              <w:right w:w="120" w:type="dxa"/>
            </w:tcMar>
            <w:vAlign w:val="center"/>
          </w:tcPr>
          <w:p w14:paraId="6AAB0250" w14:textId="77777777" w:rsidR="00F8300C" w:rsidRDefault="00000000">
            <w:pPr>
              <w:jc w:val="center"/>
            </w:pPr>
            <w:r>
              <w:rPr>
                <w:sz w:val="20"/>
                <w:szCs w:val="20"/>
              </w:rPr>
              <w:t>388.88</w:t>
            </w:r>
          </w:p>
        </w:tc>
        <w:tc>
          <w:tcPr>
            <w:tcW w:w="0" w:type="auto"/>
            <w:tcMar>
              <w:top w:w="80" w:type="dxa"/>
              <w:left w:w="120" w:type="dxa"/>
              <w:bottom w:w="80" w:type="dxa"/>
              <w:right w:w="120" w:type="dxa"/>
            </w:tcMar>
            <w:vAlign w:val="center"/>
          </w:tcPr>
          <w:p w14:paraId="3D84A50F" w14:textId="77777777" w:rsidR="00F8300C" w:rsidRDefault="00000000">
            <w:pPr>
              <w:jc w:val="center"/>
            </w:pPr>
            <w:r>
              <w:rPr>
                <w:sz w:val="20"/>
                <w:szCs w:val="20"/>
              </w:rPr>
              <w:t>394.95</w:t>
            </w:r>
          </w:p>
        </w:tc>
      </w:tr>
    </w:tbl>
    <w:p w14:paraId="013B21D6" w14:textId="77777777" w:rsidR="00F8300C" w:rsidRDefault="00F8300C">
      <w:pPr>
        <w:spacing w:before="200"/>
      </w:pPr>
    </w:p>
    <w:p w14:paraId="548DCEA8" w14:textId="77777777" w:rsidR="00F8300C" w:rsidRDefault="00000000">
      <w:pPr>
        <w:spacing w:after="180" w:line="300" w:lineRule="auto"/>
      </w:pPr>
      <w:r>
        <w:rPr>
          <w:b/>
          <w:bCs/>
        </w:rPr>
        <w:t>Chemotherapy arm</w:t>
      </w:r>
    </w:p>
    <w:tbl>
      <w:tblPr>
        <w:tblW w:w="9680" w:type="dxa"/>
        <w:tblBorders>
          <w:top w:val="single" w:sz="4" w:space="0" w:color="C9C7BC"/>
          <w:left w:val="single" w:sz="4" w:space="0" w:color="C9C7BC"/>
          <w:bottom w:val="single" w:sz="4" w:space="0" w:color="C9C7BC"/>
          <w:right w:val="single" w:sz="4" w:space="0" w:color="C9C7BC"/>
          <w:insideH w:val="single" w:sz="2" w:space="0" w:color="C9C7BC"/>
          <w:insideV w:val="single" w:sz="2" w:space="0" w:color="C9C7BC"/>
        </w:tblBorders>
        <w:tblCellMar>
          <w:left w:w="10" w:type="dxa"/>
          <w:right w:w="10" w:type="dxa"/>
        </w:tblCellMar>
        <w:tblLook w:val="04A0" w:firstRow="1" w:lastRow="0" w:firstColumn="1" w:lastColumn="0" w:noHBand="0" w:noVBand="1"/>
      </w:tblPr>
      <w:tblGrid>
        <w:gridCol w:w="5436"/>
        <w:gridCol w:w="2122"/>
        <w:gridCol w:w="2122"/>
      </w:tblGrid>
      <w:tr w:rsidR="00F8300C" w14:paraId="089556F2" w14:textId="77777777">
        <w:tblPrEx>
          <w:tblCellMar>
            <w:top w:w="0" w:type="dxa"/>
            <w:bottom w:w="0" w:type="dxa"/>
          </w:tblCellMar>
        </w:tblPrEx>
        <w:trPr>
          <w:tblHeader/>
        </w:trPr>
        <w:tc>
          <w:tcPr>
            <w:tcW w:w="0" w:type="auto"/>
            <w:shd w:val="clear" w:color="auto" w:fill="E1F5EE"/>
            <w:tcMar>
              <w:top w:w="80" w:type="dxa"/>
              <w:left w:w="120" w:type="dxa"/>
              <w:bottom w:w="80" w:type="dxa"/>
              <w:right w:w="120" w:type="dxa"/>
            </w:tcMar>
            <w:vAlign w:val="center"/>
          </w:tcPr>
          <w:p w14:paraId="5F3DDA8C" w14:textId="77777777" w:rsidR="00F8300C" w:rsidRDefault="00000000">
            <w:pPr>
              <w:jc w:val="center"/>
            </w:pPr>
            <w:r>
              <w:rPr>
                <w:b/>
                <w:bCs/>
                <w:color w:val="0F6E56"/>
                <w:sz w:val="20"/>
                <w:szCs w:val="20"/>
              </w:rPr>
              <w:t>Distribution</w:t>
            </w:r>
          </w:p>
        </w:tc>
        <w:tc>
          <w:tcPr>
            <w:tcW w:w="0" w:type="auto"/>
            <w:shd w:val="clear" w:color="auto" w:fill="E1F5EE"/>
            <w:tcMar>
              <w:top w:w="80" w:type="dxa"/>
              <w:left w:w="120" w:type="dxa"/>
              <w:bottom w:w="80" w:type="dxa"/>
              <w:right w:w="120" w:type="dxa"/>
            </w:tcMar>
            <w:vAlign w:val="center"/>
          </w:tcPr>
          <w:p w14:paraId="62F61828" w14:textId="77777777" w:rsidR="00F8300C" w:rsidRDefault="00000000">
            <w:pPr>
              <w:jc w:val="center"/>
            </w:pPr>
            <w:r>
              <w:rPr>
                <w:b/>
                <w:bCs/>
                <w:color w:val="0F6E56"/>
                <w:sz w:val="20"/>
                <w:szCs w:val="20"/>
              </w:rPr>
              <w:t>AIC</w:t>
            </w:r>
          </w:p>
        </w:tc>
        <w:tc>
          <w:tcPr>
            <w:tcW w:w="0" w:type="auto"/>
            <w:shd w:val="clear" w:color="auto" w:fill="E1F5EE"/>
            <w:tcMar>
              <w:top w:w="80" w:type="dxa"/>
              <w:left w:w="120" w:type="dxa"/>
              <w:bottom w:w="80" w:type="dxa"/>
              <w:right w:w="120" w:type="dxa"/>
            </w:tcMar>
            <w:vAlign w:val="center"/>
          </w:tcPr>
          <w:p w14:paraId="16099492" w14:textId="77777777" w:rsidR="00F8300C" w:rsidRDefault="00000000">
            <w:pPr>
              <w:jc w:val="center"/>
            </w:pPr>
            <w:r>
              <w:rPr>
                <w:b/>
                <w:bCs/>
                <w:color w:val="0F6E56"/>
                <w:sz w:val="20"/>
                <w:szCs w:val="20"/>
              </w:rPr>
              <w:t>BIC</w:t>
            </w:r>
          </w:p>
        </w:tc>
      </w:tr>
      <w:tr w:rsidR="00F8300C" w14:paraId="602D03B7" w14:textId="77777777">
        <w:tblPrEx>
          <w:tblCellMar>
            <w:top w:w="0" w:type="dxa"/>
            <w:bottom w:w="0" w:type="dxa"/>
          </w:tblCellMar>
        </w:tblPrEx>
        <w:tc>
          <w:tcPr>
            <w:tcW w:w="0" w:type="auto"/>
            <w:tcMar>
              <w:top w:w="80" w:type="dxa"/>
              <w:left w:w="120" w:type="dxa"/>
              <w:bottom w:w="80" w:type="dxa"/>
              <w:right w:w="120" w:type="dxa"/>
            </w:tcMar>
            <w:vAlign w:val="center"/>
          </w:tcPr>
          <w:p w14:paraId="64353457" w14:textId="77777777" w:rsidR="00F8300C" w:rsidRDefault="00000000">
            <w:r>
              <w:rPr>
                <w:sz w:val="20"/>
                <w:szCs w:val="20"/>
              </w:rPr>
              <w:t>Exponential (selected)</w:t>
            </w:r>
          </w:p>
        </w:tc>
        <w:tc>
          <w:tcPr>
            <w:tcW w:w="0" w:type="auto"/>
            <w:tcMar>
              <w:top w:w="80" w:type="dxa"/>
              <w:left w:w="120" w:type="dxa"/>
              <w:bottom w:w="80" w:type="dxa"/>
              <w:right w:w="120" w:type="dxa"/>
            </w:tcMar>
            <w:vAlign w:val="center"/>
          </w:tcPr>
          <w:p w14:paraId="6825D0CF" w14:textId="77777777" w:rsidR="00F8300C" w:rsidRDefault="00000000">
            <w:pPr>
              <w:jc w:val="center"/>
            </w:pPr>
            <w:r>
              <w:rPr>
                <w:sz w:val="20"/>
                <w:szCs w:val="20"/>
              </w:rPr>
              <w:t>503.21</w:t>
            </w:r>
          </w:p>
        </w:tc>
        <w:tc>
          <w:tcPr>
            <w:tcW w:w="0" w:type="auto"/>
            <w:tcMar>
              <w:top w:w="80" w:type="dxa"/>
              <w:left w:w="120" w:type="dxa"/>
              <w:bottom w:w="80" w:type="dxa"/>
              <w:right w:w="120" w:type="dxa"/>
            </w:tcMar>
            <w:vAlign w:val="center"/>
          </w:tcPr>
          <w:p w14:paraId="0DC881EC" w14:textId="77777777" w:rsidR="00F8300C" w:rsidRDefault="00000000">
            <w:pPr>
              <w:jc w:val="center"/>
            </w:pPr>
            <w:r>
              <w:rPr>
                <w:sz w:val="20"/>
                <w:szCs w:val="20"/>
              </w:rPr>
              <w:t>506.23</w:t>
            </w:r>
          </w:p>
        </w:tc>
      </w:tr>
      <w:tr w:rsidR="00F8300C" w14:paraId="18EBF5C3" w14:textId="77777777">
        <w:tblPrEx>
          <w:tblCellMar>
            <w:top w:w="0" w:type="dxa"/>
            <w:bottom w:w="0" w:type="dxa"/>
          </w:tblCellMar>
        </w:tblPrEx>
        <w:tc>
          <w:tcPr>
            <w:tcW w:w="0" w:type="auto"/>
            <w:tcMar>
              <w:top w:w="80" w:type="dxa"/>
              <w:left w:w="120" w:type="dxa"/>
              <w:bottom w:w="80" w:type="dxa"/>
              <w:right w:w="120" w:type="dxa"/>
            </w:tcMar>
            <w:vAlign w:val="center"/>
          </w:tcPr>
          <w:p w14:paraId="39F45A2C" w14:textId="77777777" w:rsidR="00F8300C" w:rsidRDefault="00000000">
            <w:r>
              <w:rPr>
                <w:sz w:val="20"/>
                <w:szCs w:val="20"/>
              </w:rPr>
              <w:t>Log-normal</w:t>
            </w:r>
          </w:p>
        </w:tc>
        <w:tc>
          <w:tcPr>
            <w:tcW w:w="0" w:type="auto"/>
            <w:tcMar>
              <w:top w:w="80" w:type="dxa"/>
              <w:left w:w="120" w:type="dxa"/>
              <w:bottom w:w="80" w:type="dxa"/>
              <w:right w:w="120" w:type="dxa"/>
            </w:tcMar>
            <w:vAlign w:val="center"/>
          </w:tcPr>
          <w:p w14:paraId="6E3429E4" w14:textId="77777777" w:rsidR="00F8300C" w:rsidRDefault="00000000">
            <w:pPr>
              <w:jc w:val="center"/>
            </w:pPr>
            <w:r>
              <w:rPr>
                <w:sz w:val="20"/>
                <w:szCs w:val="20"/>
              </w:rPr>
              <w:t>503.66</w:t>
            </w:r>
          </w:p>
        </w:tc>
        <w:tc>
          <w:tcPr>
            <w:tcW w:w="0" w:type="auto"/>
            <w:tcMar>
              <w:top w:w="80" w:type="dxa"/>
              <w:left w:w="120" w:type="dxa"/>
              <w:bottom w:w="80" w:type="dxa"/>
              <w:right w:w="120" w:type="dxa"/>
            </w:tcMar>
            <w:vAlign w:val="center"/>
          </w:tcPr>
          <w:p w14:paraId="6237FCD9" w14:textId="77777777" w:rsidR="00F8300C" w:rsidRDefault="00000000">
            <w:pPr>
              <w:jc w:val="center"/>
            </w:pPr>
            <w:r>
              <w:rPr>
                <w:sz w:val="20"/>
                <w:szCs w:val="20"/>
              </w:rPr>
              <w:t>509.69</w:t>
            </w:r>
          </w:p>
        </w:tc>
      </w:tr>
      <w:tr w:rsidR="00F8300C" w14:paraId="04D69BBC" w14:textId="77777777">
        <w:tblPrEx>
          <w:tblCellMar>
            <w:top w:w="0" w:type="dxa"/>
            <w:bottom w:w="0" w:type="dxa"/>
          </w:tblCellMar>
        </w:tblPrEx>
        <w:tc>
          <w:tcPr>
            <w:tcW w:w="0" w:type="auto"/>
            <w:tcMar>
              <w:top w:w="80" w:type="dxa"/>
              <w:left w:w="120" w:type="dxa"/>
              <w:bottom w:w="80" w:type="dxa"/>
              <w:right w:w="120" w:type="dxa"/>
            </w:tcMar>
            <w:vAlign w:val="center"/>
          </w:tcPr>
          <w:p w14:paraId="2F400704" w14:textId="77777777" w:rsidR="00F8300C" w:rsidRDefault="00000000">
            <w:r>
              <w:rPr>
                <w:sz w:val="20"/>
                <w:szCs w:val="20"/>
              </w:rPr>
              <w:t>Log-logistic</w:t>
            </w:r>
          </w:p>
        </w:tc>
        <w:tc>
          <w:tcPr>
            <w:tcW w:w="0" w:type="auto"/>
            <w:tcMar>
              <w:top w:w="80" w:type="dxa"/>
              <w:left w:w="120" w:type="dxa"/>
              <w:bottom w:w="80" w:type="dxa"/>
              <w:right w:w="120" w:type="dxa"/>
            </w:tcMar>
            <w:vAlign w:val="center"/>
          </w:tcPr>
          <w:p w14:paraId="465A01BD" w14:textId="77777777" w:rsidR="00F8300C" w:rsidRDefault="00000000">
            <w:pPr>
              <w:jc w:val="center"/>
            </w:pPr>
            <w:r>
              <w:rPr>
                <w:sz w:val="20"/>
                <w:szCs w:val="20"/>
              </w:rPr>
              <w:t>503.85</w:t>
            </w:r>
          </w:p>
        </w:tc>
        <w:tc>
          <w:tcPr>
            <w:tcW w:w="0" w:type="auto"/>
            <w:tcMar>
              <w:top w:w="80" w:type="dxa"/>
              <w:left w:w="120" w:type="dxa"/>
              <w:bottom w:w="80" w:type="dxa"/>
              <w:right w:w="120" w:type="dxa"/>
            </w:tcMar>
            <w:vAlign w:val="center"/>
          </w:tcPr>
          <w:p w14:paraId="06018EF9" w14:textId="77777777" w:rsidR="00F8300C" w:rsidRDefault="00000000">
            <w:pPr>
              <w:jc w:val="center"/>
            </w:pPr>
            <w:r>
              <w:rPr>
                <w:sz w:val="20"/>
                <w:szCs w:val="20"/>
              </w:rPr>
              <w:t>509.88</w:t>
            </w:r>
          </w:p>
        </w:tc>
      </w:tr>
      <w:tr w:rsidR="00F8300C" w14:paraId="27EB54AD" w14:textId="77777777">
        <w:tblPrEx>
          <w:tblCellMar>
            <w:top w:w="0" w:type="dxa"/>
            <w:bottom w:w="0" w:type="dxa"/>
          </w:tblCellMar>
        </w:tblPrEx>
        <w:tc>
          <w:tcPr>
            <w:tcW w:w="0" w:type="auto"/>
            <w:tcMar>
              <w:top w:w="80" w:type="dxa"/>
              <w:left w:w="120" w:type="dxa"/>
              <w:bottom w:w="80" w:type="dxa"/>
              <w:right w:w="120" w:type="dxa"/>
            </w:tcMar>
            <w:vAlign w:val="center"/>
          </w:tcPr>
          <w:p w14:paraId="38213465" w14:textId="77777777" w:rsidR="00F8300C" w:rsidRDefault="00000000">
            <w:r>
              <w:rPr>
                <w:sz w:val="20"/>
                <w:szCs w:val="20"/>
              </w:rPr>
              <w:t>Gamma</w:t>
            </w:r>
          </w:p>
        </w:tc>
        <w:tc>
          <w:tcPr>
            <w:tcW w:w="0" w:type="auto"/>
            <w:tcMar>
              <w:top w:w="80" w:type="dxa"/>
              <w:left w:w="120" w:type="dxa"/>
              <w:bottom w:w="80" w:type="dxa"/>
              <w:right w:w="120" w:type="dxa"/>
            </w:tcMar>
            <w:vAlign w:val="center"/>
          </w:tcPr>
          <w:p w14:paraId="6CE3C9E6" w14:textId="77777777" w:rsidR="00F8300C" w:rsidRDefault="00000000">
            <w:pPr>
              <w:jc w:val="center"/>
            </w:pPr>
            <w:r>
              <w:rPr>
                <w:sz w:val="20"/>
                <w:szCs w:val="20"/>
              </w:rPr>
              <w:t>505.02</w:t>
            </w:r>
          </w:p>
        </w:tc>
        <w:tc>
          <w:tcPr>
            <w:tcW w:w="0" w:type="auto"/>
            <w:tcMar>
              <w:top w:w="80" w:type="dxa"/>
              <w:left w:w="120" w:type="dxa"/>
              <w:bottom w:w="80" w:type="dxa"/>
              <w:right w:w="120" w:type="dxa"/>
            </w:tcMar>
            <w:vAlign w:val="center"/>
          </w:tcPr>
          <w:p w14:paraId="79C57A22" w14:textId="77777777" w:rsidR="00F8300C" w:rsidRDefault="00000000">
            <w:pPr>
              <w:jc w:val="center"/>
            </w:pPr>
            <w:r>
              <w:rPr>
                <w:sz w:val="20"/>
                <w:szCs w:val="20"/>
              </w:rPr>
              <w:t>511.05</w:t>
            </w:r>
          </w:p>
        </w:tc>
      </w:tr>
      <w:tr w:rsidR="00F8300C" w14:paraId="4BFC1728" w14:textId="77777777">
        <w:tblPrEx>
          <w:tblCellMar>
            <w:top w:w="0" w:type="dxa"/>
            <w:bottom w:w="0" w:type="dxa"/>
          </w:tblCellMar>
        </w:tblPrEx>
        <w:tc>
          <w:tcPr>
            <w:tcW w:w="0" w:type="auto"/>
            <w:tcMar>
              <w:top w:w="80" w:type="dxa"/>
              <w:left w:w="120" w:type="dxa"/>
              <w:bottom w:w="80" w:type="dxa"/>
              <w:right w:w="120" w:type="dxa"/>
            </w:tcMar>
            <w:vAlign w:val="center"/>
          </w:tcPr>
          <w:p w14:paraId="0A1C4119" w14:textId="77777777" w:rsidR="00F8300C" w:rsidRDefault="00000000">
            <w:r>
              <w:rPr>
                <w:sz w:val="20"/>
                <w:szCs w:val="20"/>
              </w:rPr>
              <w:t>Gompertz</w:t>
            </w:r>
          </w:p>
        </w:tc>
        <w:tc>
          <w:tcPr>
            <w:tcW w:w="0" w:type="auto"/>
            <w:tcMar>
              <w:top w:w="80" w:type="dxa"/>
              <w:left w:w="120" w:type="dxa"/>
              <w:bottom w:w="80" w:type="dxa"/>
              <w:right w:w="120" w:type="dxa"/>
            </w:tcMar>
            <w:vAlign w:val="center"/>
          </w:tcPr>
          <w:p w14:paraId="78FA2429" w14:textId="77777777" w:rsidR="00F8300C" w:rsidRDefault="00000000">
            <w:pPr>
              <w:jc w:val="center"/>
            </w:pPr>
            <w:r>
              <w:rPr>
                <w:sz w:val="20"/>
                <w:szCs w:val="20"/>
              </w:rPr>
              <w:t>505.06</w:t>
            </w:r>
          </w:p>
        </w:tc>
        <w:tc>
          <w:tcPr>
            <w:tcW w:w="0" w:type="auto"/>
            <w:tcMar>
              <w:top w:w="80" w:type="dxa"/>
              <w:left w:w="120" w:type="dxa"/>
              <w:bottom w:w="80" w:type="dxa"/>
              <w:right w:w="120" w:type="dxa"/>
            </w:tcMar>
            <w:vAlign w:val="center"/>
          </w:tcPr>
          <w:p w14:paraId="2F4A2F0F" w14:textId="77777777" w:rsidR="00F8300C" w:rsidRDefault="00000000">
            <w:pPr>
              <w:jc w:val="center"/>
            </w:pPr>
            <w:r>
              <w:rPr>
                <w:sz w:val="20"/>
                <w:szCs w:val="20"/>
              </w:rPr>
              <w:t>511.10</w:t>
            </w:r>
          </w:p>
        </w:tc>
      </w:tr>
      <w:tr w:rsidR="00F8300C" w14:paraId="7018FF0D" w14:textId="77777777">
        <w:tblPrEx>
          <w:tblCellMar>
            <w:top w:w="0" w:type="dxa"/>
            <w:bottom w:w="0" w:type="dxa"/>
          </w:tblCellMar>
        </w:tblPrEx>
        <w:tc>
          <w:tcPr>
            <w:tcW w:w="0" w:type="auto"/>
            <w:tcMar>
              <w:top w:w="80" w:type="dxa"/>
              <w:left w:w="120" w:type="dxa"/>
              <w:bottom w:w="80" w:type="dxa"/>
              <w:right w:w="120" w:type="dxa"/>
            </w:tcMar>
            <w:vAlign w:val="center"/>
          </w:tcPr>
          <w:p w14:paraId="21114907" w14:textId="77777777" w:rsidR="00F8300C" w:rsidRDefault="00000000">
            <w:r>
              <w:rPr>
                <w:sz w:val="20"/>
                <w:szCs w:val="20"/>
              </w:rPr>
              <w:t>Weibull</w:t>
            </w:r>
          </w:p>
        </w:tc>
        <w:tc>
          <w:tcPr>
            <w:tcW w:w="0" w:type="auto"/>
            <w:tcMar>
              <w:top w:w="80" w:type="dxa"/>
              <w:left w:w="120" w:type="dxa"/>
              <w:bottom w:w="80" w:type="dxa"/>
              <w:right w:w="120" w:type="dxa"/>
            </w:tcMar>
            <w:vAlign w:val="center"/>
          </w:tcPr>
          <w:p w14:paraId="2F2B4FCF" w14:textId="77777777" w:rsidR="00F8300C" w:rsidRDefault="00000000">
            <w:pPr>
              <w:jc w:val="center"/>
            </w:pPr>
            <w:r>
              <w:rPr>
                <w:sz w:val="20"/>
                <w:szCs w:val="20"/>
              </w:rPr>
              <w:t>505.12</w:t>
            </w:r>
          </w:p>
        </w:tc>
        <w:tc>
          <w:tcPr>
            <w:tcW w:w="0" w:type="auto"/>
            <w:tcMar>
              <w:top w:w="80" w:type="dxa"/>
              <w:left w:w="120" w:type="dxa"/>
              <w:bottom w:w="80" w:type="dxa"/>
              <w:right w:w="120" w:type="dxa"/>
            </w:tcMar>
            <w:vAlign w:val="center"/>
          </w:tcPr>
          <w:p w14:paraId="2BA18FDE" w14:textId="77777777" w:rsidR="00F8300C" w:rsidRDefault="00000000">
            <w:pPr>
              <w:jc w:val="center"/>
            </w:pPr>
            <w:r>
              <w:rPr>
                <w:sz w:val="20"/>
                <w:szCs w:val="20"/>
              </w:rPr>
              <w:t>511.16</w:t>
            </w:r>
          </w:p>
        </w:tc>
      </w:tr>
    </w:tbl>
    <w:p w14:paraId="09FD99E6" w14:textId="77777777" w:rsidR="00F8300C" w:rsidRDefault="00000000">
      <w:pPr>
        <w:spacing w:before="160"/>
        <w:jc w:val="center"/>
      </w:pPr>
      <w:r>
        <w:rPr>
          <w:noProof/>
        </w:rPr>
        <w:drawing>
          <wp:inline distT="0" distB="0" distL="0" distR="0" wp14:anchorId="4E7670D9" wp14:editId="30D4108C">
            <wp:extent cx="4476750" cy="2752725"/>
            <wp:effectExtent l="0" t="0" r="0" b="0"/>
            <wp:docPr id="2129726742" name="Picture 212972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752725"/>
                    </a:xfrm>
                    <a:prstGeom prst="rect">
                      <a:avLst/>
                    </a:prstGeom>
                  </pic:spPr>
                </pic:pic>
              </a:graphicData>
            </a:graphic>
          </wp:inline>
        </w:drawing>
      </w:r>
    </w:p>
    <w:p w14:paraId="6105CFEA" w14:textId="77777777" w:rsidR="00F8300C" w:rsidRDefault="00000000">
      <w:pPr>
        <w:spacing w:before="80" w:after="320"/>
        <w:jc w:val="center"/>
      </w:pPr>
      <w:r>
        <w:rPr>
          <w:i/>
          <w:iCs/>
          <w:color w:val="5F5E5A"/>
          <w:sz w:val="19"/>
          <w:szCs w:val="19"/>
        </w:rPr>
        <w:t>Figure 2. Best-fit parametric models (exponential, both arms) overlaid on the reconstructed Kaplan-Meier curves.</w:t>
      </w:r>
    </w:p>
    <w:p w14:paraId="37062929" w14:textId="77777777" w:rsidR="00F8300C" w:rsidRDefault="00000000">
      <w:pPr>
        <w:pStyle w:val="Heading2"/>
        <w:spacing w:before="260" w:after="120"/>
      </w:pPr>
      <w:r>
        <w:rPr>
          <w:b/>
          <w:bCs/>
          <w:color w:val="854F0B"/>
          <w:sz w:val="23"/>
          <w:szCs w:val="23"/>
        </w:rPr>
        <w:t>Extrapolated survival and restricted mean survival time</w:t>
      </w:r>
    </w:p>
    <w:p w14:paraId="0265EBFB" w14:textId="77777777" w:rsidR="00F8300C" w:rsidRDefault="00000000">
      <w:pPr>
        <w:spacing w:after="180" w:line="300" w:lineRule="auto"/>
      </w:pPr>
      <w:r>
        <w:t>Applying each arm's selected exponential model, projected survival and restricted mean survival time (RMST) were computed at 24- and 60-month horizons:</w:t>
      </w:r>
    </w:p>
    <w:tbl>
      <w:tblPr>
        <w:tblW w:w="9720" w:type="dxa"/>
        <w:tblBorders>
          <w:top w:val="single" w:sz="4" w:space="0" w:color="C9C7BC"/>
          <w:left w:val="single" w:sz="4" w:space="0" w:color="C9C7BC"/>
          <w:bottom w:val="single" w:sz="4" w:space="0" w:color="C9C7BC"/>
          <w:right w:val="single" w:sz="4" w:space="0" w:color="C9C7BC"/>
          <w:insideH w:val="single" w:sz="2" w:space="0" w:color="C9C7BC"/>
          <w:insideV w:val="single" w:sz="2" w:space="0" w:color="C9C7BC"/>
        </w:tblBorders>
        <w:tblCellMar>
          <w:left w:w="10" w:type="dxa"/>
          <w:right w:w="10" w:type="dxa"/>
        </w:tblCellMar>
        <w:tblLook w:val="04A0" w:firstRow="1" w:lastRow="0" w:firstColumn="1" w:lastColumn="0" w:noHBand="0" w:noVBand="1"/>
      </w:tblPr>
      <w:tblGrid>
        <w:gridCol w:w="1646"/>
        <w:gridCol w:w="3083"/>
        <w:gridCol w:w="2970"/>
        <w:gridCol w:w="2021"/>
      </w:tblGrid>
      <w:tr w:rsidR="00F8300C" w14:paraId="49179631" w14:textId="77777777">
        <w:tblPrEx>
          <w:tblCellMar>
            <w:top w:w="0" w:type="dxa"/>
            <w:bottom w:w="0" w:type="dxa"/>
          </w:tblCellMar>
        </w:tblPrEx>
        <w:trPr>
          <w:tblHeader/>
        </w:trPr>
        <w:tc>
          <w:tcPr>
            <w:tcW w:w="0" w:type="auto"/>
            <w:shd w:val="clear" w:color="auto" w:fill="E1F5EE"/>
            <w:tcMar>
              <w:top w:w="80" w:type="dxa"/>
              <w:left w:w="120" w:type="dxa"/>
              <w:bottom w:w="80" w:type="dxa"/>
              <w:right w:w="120" w:type="dxa"/>
            </w:tcMar>
            <w:vAlign w:val="center"/>
          </w:tcPr>
          <w:p w14:paraId="1B1AA6BF" w14:textId="77777777" w:rsidR="00F8300C" w:rsidRDefault="00000000">
            <w:pPr>
              <w:jc w:val="center"/>
            </w:pPr>
            <w:r>
              <w:rPr>
                <w:b/>
                <w:bCs/>
                <w:color w:val="0F6E56"/>
                <w:sz w:val="20"/>
                <w:szCs w:val="20"/>
              </w:rPr>
              <w:t>Horizon</w:t>
            </w:r>
          </w:p>
        </w:tc>
        <w:tc>
          <w:tcPr>
            <w:tcW w:w="0" w:type="auto"/>
            <w:shd w:val="clear" w:color="auto" w:fill="E1F5EE"/>
            <w:tcMar>
              <w:top w:w="80" w:type="dxa"/>
              <w:left w:w="120" w:type="dxa"/>
              <w:bottom w:w="80" w:type="dxa"/>
              <w:right w:w="120" w:type="dxa"/>
            </w:tcMar>
            <w:vAlign w:val="center"/>
          </w:tcPr>
          <w:p w14:paraId="687BA775" w14:textId="77777777" w:rsidR="00F8300C" w:rsidRDefault="00000000">
            <w:pPr>
              <w:jc w:val="center"/>
            </w:pPr>
            <w:r>
              <w:rPr>
                <w:b/>
                <w:bCs/>
                <w:color w:val="0F6E56"/>
                <w:sz w:val="20"/>
                <w:szCs w:val="20"/>
              </w:rPr>
              <w:t>Pembrolizumab RMST</w:t>
            </w:r>
          </w:p>
        </w:tc>
        <w:tc>
          <w:tcPr>
            <w:tcW w:w="0" w:type="auto"/>
            <w:shd w:val="clear" w:color="auto" w:fill="E1F5EE"/>
            <w:tcMar>
              <w:top w:w="80" w:type="dxa"/>
              <w:left w:w="120" w:type="dxa"/>
              <w:bottom w:w="80" w:type="dxa"/>
              <w:right w:w="120" w:type="dxa"/>
            </w:tcMar>
            <w:vAlign w:val="center"/>
          </w:tcPr>
          <w:p w14:paraId="6AD41B94" w14:textId="77777777" w:rsidR="00F8300C" w:rsidRDefault="00000000">
            <w:pPr>
              <w:jc w:val="center"/>
            </w:pPr>
            <w:r>
              <w:rPr>
                <w:b/>
                <w:bCs/>
                <w:color w:val="0F6E56"/>
                <w:sz w:val="20"/>
                <w:szCs w:val="20"/>
              </w:rPr>
              <w:t>Chemotherapy RMST</w:t>
            </w:r>
          </w:p>
        </w:tc>
        <w:tc>
          <w:tcPr>
            <w:tcW w:w="0" w:type="auto"/>
            <w:shd w:val="clear" w:color="auto" w:fill="E1F5EE"/>
            <w:tcMar>
              <w:top w:w="80" w:type="dxa"/>
              <w:left w:w="120" w:type="dxa"/>
              <w:bottom w:w="80" w:type="dxa"/>
              <w:right w:w="120" w:type="dxa"/>
            </w:tcMar>
            <w:vAlign w:val="center"/>
          </w:tcPr>
          <w:p w14:paraId="6632E211" w14:textId="77777777" w:rsidR="00F8300C" w:rsidRDefault="00000000">
            <w:pPr>
              <w:jc w:val="center"/>
            </w:pPr>
            <w:r>
              <w:rPr>
                <w:b/>
                <w:bCs/>
                <w:color w:val="0F6E56"/>
                <w:sz w:val="20"/>
                <w:szCs w:val="20"/>
              </w:rPr>
              <w:t>Difference</w:t>
            </w:r>
          </w:p>
        </w:tc>
      </w:tr>
      <w:tr w:rsidR="00F8300C" w14:paraId="0715C505" w14:textId="77777777">
        <w:tblPrEx>
          <w:tblCellMar>
            <w:top w:w="0" w:type="dxa"/>
            <w:bottom w:w="0" w:type="dxa"/>
          </w:tblCellMar>
        </w:tblPrEx>
        <w:tc>
          <w:tcPr>
            <w:tcW w:w="0" w:type="auto"/>
            <w:tcMar>
              <w:top w:w="80" w:type="dxa"/>
              <w:left w:w="120" w:type="dxa"/>
              <w:bottom w:w="80" w:type="dxa"/>
              <w:right w:w="120" w:type="dxa"/>
            </w:tcMar>
            <w:vAlign w:val="center"/>
          </w:tcPr>
          <w:p w14:paraId="28E9C4D9" w14:textId="77777777" w:rsidR="00F8300C" w:rsidRDefault="00000000">
            <w:r>
              <w:rPr>
                <w:sz w:val="20"/>
                <w:szCs w:val="20"/>
              </w:rPr>
              <w:t>24 months</w:t>
            </w:r>
          </w:p>
        </w:tc>
        <w:tc>
          <w:tcPr>
            <w:tcW w:w="0" w:type="auto"/>
            <w:tcMar>
              <w:top w:w="80" w:type="dxa"/>
              <w:left w:w="120" w:type="dxa"/>
              <w:bottom w:w="80" w:type="dxa"/>
              <w:right w:w="120" w:type="dxa"/>
            </w:tcMar>
            <w:vAlign w:val="center"/>
          </w:tcPr>
          <w:p w14:paraId="2B3173A7" w14:textId="77777777" w:rsidR="00F8300C" w:rsidRDefault="00000000">
            <w:pPr>
              <w:jc w:val="center"/>
            </w:pPr>
            <w:r>
              <w:rPr>
                <w:sz w:val="20"/>
                <w:szCs w:val="20"/>
              </w:rPr>
              <w:t>16.94 months</w:t>
            </w:r>
          </w:p>
        </w:tc>
        <w:tc>
          <w:tcPr>
            <w:tcW w:w="0" w:type="auto"/>
            <w:tcMar>
              <w:top w:w="80" w:type="dxa"/>
              <w:left w:w="120" w:type="dxa"/>
              <w:bottom w:w="80" w:type="dxa"/>
              <w:right w:w="120" w:type="dxa"/>
            </w:tcMar>
            <w:vAlign w:val="center"/>
          </w:tcPr>
          <w:p w14:paraId="232E97B3" w14:textId="77777777" w:rsidR="00F8300C" w:rsidRDefault="00000000">
            <w:pPr>
              <w:jc w:val="center"/>
            </w:pPr>
            <w:r>
              <w:rPr>
                <w:sz w:val="20"/>
                <w:szCs w:val="20"/>
              </w:rPr>
              <w:t>13.86 months</w:t>
            </w:r>
          </w:p>
        </w:tc>
        <w:tc>
          <w:tcPr>
            <w:tcW w:w="0" w:type="auto"/>
            <w:tcMar>
              <w:top w:w="80" w:type="dxa"/>
              <w:left w:w="120" w:type="dxa"/>
              <w:bottom w:w="80" w:type="dxa"/>
              <w:right w:w="120" w:type="dxa"/>
            </w:tcMar>
            <w:vAlign w:val="center"/>
          </w:tcPr>
          <w:p w14:paraId="4D7E7330" w14:textId="77777777" w:rsidR="00F8300C" w:rsidRDefault="00000000">
            <w:pPr>
              <w:jc w:val="center"/>
            </w:pPr>
            <w:r>
              <w:rPr>
                <w:sz w:val="20"/>
                <w:szCs w:val="20"/>
              </w:rPr>
              <w:t>+3.08 months</w:t>
            </w:r>
          </w:p>
        </w:tc>
      </w:tr>
      <w:tr w:rsidR="00F8300C" w14:paraId="5789824B" w14:textId="77777777">
        <w:tblPrEx>
          <w:tblCellMar>
            <w:top w:w="0" w:type="dxa"/>
            <w:bottom w:w="0" w:type="dxa"/>
          </w:tblCellMar>
        </w:tblPrEx>
        <w:tc>
          <w:tcPr>
            <w:tcW w:w="0" w:type="auto"/>
            <w:tcMar>
              <w:top w:w="80" w:type="dxa"/>
              <w:left w:w="120" w:type="dxa"/>
              <w:bottom w:w="80" w:type="dxa"/>
              <w:right w:w="120" w:type="dxa"/>
            </w:tcMar>
            <w:vAlign w:val="center"/>
          </w:tcPr>
          <w:p w14:paraId="6933F65A" w14:textId="77777777" w:rsidR="00F8300C" w:rsidRDefault="00000000">
            <w:r>
              <w:rPr>
                <w:sz w:val="20"/>
                <w:szCs w:val="20"/>
              </w:rPr>
              <w:t>60 months</w:t>
            </w:r>
          </w:p>
        </w:tc>
        <w:tc>
          <w:tcPr>
            <w:tcW w:w="0" w:type="auto"/>
            <w:tcMar>
              <w:top w:w="80" w:type="dxa"/>
              <w:left w:w="120" w:type="dxa"/>
              <w:bottom w:w="80" w:type="dxa"/>
              <w:right w:w="120" w:type="dxa"/>
            </w:tcMar>
            <w:vAlign w:val="center"/>
          </w:tcPr>
          <w:p w14:paraId="097EDAFA" w14:textId="77777777" w:rsidR="00F8300C" w:rsidRDefault="00000000">
            <w:pPr>
              <w:jc w:val="center"/>
            </w:pPr>
            <w:r>
              <w:rPr>
                <w:sz w:val="20"/>
                <w:szCs w:val="20"/>
              </w:rPr>
              <w:t>27.27 months</w:t>
            </w:r>
          </w:p>
        </w:tc>
        <w:tc>
          <w:tcPr>
            <w:tcW w:w="0" w:type="auto"/>
            <w:tcMar>
              <w:top w:w="80" w:type="dxa"/>
              <w:left w:w="120" w:type="dxa"/>
              <w:bottom w:w="80" w:type="dxa"/>
              <w:right w:w="120" w:type="dxa"/>
            </w:tcMar>
            <w:vAlign w:val="center"/>
          </w:tcPr>
          <w:p w14:paraId="62A35B18" w14:textId="77777777" w:rsidR="00F8300C" w:rsidRDefault="00000000">
            <w:pPr>
              <w:jc w:val="center"/>
            </w:pPr>
            <w:r>
              <w:rPr>
                <w:sz w:val="20"/>
                <w:szCs w:val="20"/>
              </w:rPr>
              <w:t>18.72 months</w:t>
            </w:r>
          </w:p>
        </w:tc>
        <w:tc>
          <w:tcPr>
            <w:tcW w:w="0" w:type="auto"/>
            <w:tcMar>
              <w:top w:w="80" w:type="dxa"/>
              <w:left w:w="120" w:type="dxa"/>
              <w:bottom w:w="80" w:type="dxa"/>
              <w:right w:w="120" w:type="dxa"/>
            </w:tcMar>
            <w:vAlign w:val="center"/>
          </w:tcPr>
          <w:p w14:paraId="2FEAA35A" w14:textId="77777777" w:rsidR="00F8300C" w:rsidRDefault="00000000">
            <w:pPr>
              <w:jc w:val="center"/>
            </w:pPr>
            <w:r>
              <w:rPr>
                <w:sz w:val="20"/>
                <w:szCs w:val="20"/>
              </w:rPr>
              <w:t>+8.55 months</w:t>
            </w:r>
          </w:p>
        </w:tc>
      </w:tr>
    </w:tbl>
    <w:p w14:paraId="515865D7" w14:textId="77777777" w:rsidR="00F8300C" w:rsidRDefault="00000000">
      <w:pPr>
        <w:spacing w:before="160"/>
        <w:jc w:val="center"/>
      </w:pPr>
      <w:r>
        <w:rPr>
          <w:noProof/>
        </w:rPr>
        <w:lastRenderedPageBreak/>
        <w:drawing>
          <wp:inline distT="0" distB="0" distL="0" distR="0" wp14:anchorId="528B8AEC" wp14:editId="4E5D6530">
            <wp:extent cx="4476750" cy="2752725"/>
            <wp:effectExtent l="0" t="0" r="0" b="0"/>
            <wp:docPr id="221121896" name="Picture 22112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752725"/>
                    </a:xfrm>
                    <a:prstGeom prst="rect">
                      <a:avLst/>
                    </a:prstGeom>
                  </pic:spPr>
                </pic:pic>
              </a:graphicData>
            </a:graphic>
          </wp:inline>
        </w:drawing>
      </w:r>
    </w:p>
    <w:p w14:paraId="4747C6D7" w14:textId="77777777" w:rsidR="00F8300C" w:rsidRDefault="00000000">
      <w:pPr>
        <w:spacing w:before="80" w:after="320"/>
        <w:jc w:val="center"/>
      </w:pPr>
      <w:r>
        <w:rPr>
          <w:i/>
          <w:iCs/>
          <w:color w:val="5F5E5A"/>
          <w:sz w:val="19"/>
          <w:szCs w:val="19"/>
        </w:rPr>
        <w:t>Figure 3. Extrapolated survival to a 60-month horizon, both arms.</w:t>
      </w:r>
    </w:p>
    <w:p w14:paraId="27A408DD" w14:textId="77777777" w:rsidR="00F8300C" w:rsidRDefault="00000000">
      <w:pPr>
        <w:pStyle w:val="Heading1"/>
        <w:pBdr>
          <w:bottom w:val="single" w:sz="6" w:space="4" w:color="0F6E56"/>
        </w:pBdr>
        <w:spacing w:before="360" w:after="160"/>
      </w:pPr>
      <w:r>
        <w:rPr>
          <w:b/>
          <w:bCs/>
          <w:color w:val="0F6E56"/>
          <w:sz w:val="27"/>
          <w:szCs w:val="27"/>
        </w:rPr>
        <w:t>Discussion</w:t>
      </w:r>
    </w:p>
    <w:p w14:paraId="5AF4C932" w14:textId="77777777" w:rsidR="00F8300C" w:rsidRDefault="00000000">
      <w:pPr>
        <w:spacing w:after="180" w:line="300" w:lineRule="auto"/>
      </w:pPr>
      <w:r>
        <w:t>The close agreement between the reconstructed and published hazard ratios (0.61 vs. 0.60) supports the reliability of the underlying pseudo-IPD reconstruction, and by extension, the downstream parametric modeling and extrapolation built on it. The projected RMST advantage for pembrolizumab widens substantially between the 24-month and 60-month horizons (+3.08 months to +8.55 months), reflecting the compounding effect of a consistently lower hazard rate over a longer projection window.</w:t>
      </w:r>
    </w:p>
    <w:p w14:paraId="7BD764DE" w14:textId="77777777" w:rsidR="00F8300C" w:rsidRDefault="00000000">
      <w:pPr>
        <w:spacing w:after="180" w:line="300" w:lineRule="auto"/>
      </w:pPr>
      <w:r>
        <w:t>The exponential model's selection in both arms reflects a genuinely close fit rather than a modeling artifact — the fitted shape parameters for the more flexible Weibull and gamma distributions were both close to 1.0, the value at which each of those distributions collapses to the exponential case. That said, immunotherapy survival curves are well documented in the oncology and HEOR literature to plateau over longer horizons than most trials directly observe, as a subset of patients become durable long-term responders. Because this analysis is anchored to the trial's own observed follow-up window, extrapolations well beyond that window should be treated cautiously; in practice, HEOR analyses of immuno-oncology data often supplement standard parametric models with more flexible alternatives — spline-based models or mixture cure models — specifically to capture this long-term plateau behavior.</w:t>
      </w:r>
    </w:p>
    <w:p w14:paraId="11459376" w14:textId="77777777" w:rsidR="00F8300C" w:rsidRDefault="00000000">
      <w:pPr>
        <w:pStyle w:val="Heading1"/>
        <w:pBdr>
          <w:bottom w:val="single" w:sz="6" w:space="4" w:color="0F6E56"/>
        </w:pBdr>
        <w:spacing w:before="360" w:after="160"/>
      </w:pPr>
      <w:r>
        <w:rPr>
          <w:b/>
          <w:bCs/>
          <w:color w:val="0F6E56"/>
          <w:sz w:val="27"/>
          <w:szCs w:val="27"/>
        </w:rPr>
        <w:t>Limitations</w:t>
      </w:r>
    </w:p>
    <w:p w14:paraId="3536BE41" w14:textId="77777777" w:rsidR="00F8300C" w:rsidRDefault="00000000">
      <w:pPr>
        <w:pStyle w:val="ListParagraph"/>
        <w:numPr>
          <w:ilvl w:val="0"/>
          <w:numId w:val="1"/>
        </w:numPr>
        <w:spacing w:after="100" w:line="290" w:lineRule="auto"/>
      </w:pPr>
      <w:r>
        <w:t>The reconstructed IPD is an approximation derived from a published figure, not the trial's actual patient-level data; small deviations from ground truth are expected and are reflected in the modest gap between reconstructed and published confidence intervals.</w:t>
      </w:r>
    </w:p>
    <w:p w14:paraId="102D99C9" w14:textId="77777777" w:rsidR="00F8300C" w:rsidRDefault="00000000">
      <w:pPr>
        <w:pStyle w:val="ListParagraph"/>
        <w:numPr>
          <w:ilvl w:val="0"/>
          <w:numId w:val="1"/>
        </w:numPr>
        <w:spacing w:after="100" w:line="290" w:lineRule="auto"/>
      </w:pPr>
      <w:r>
        <w:t>Digitization and reconstruction introduce a degree of measurement error inherent to any curve-reading exercise.</w:t>
      </w:r>
    </w:p>
    <w:p w14:paraId="40716326" w14:textId="77777777" w:rsidR="00F8300C" w:rsidRDefault="00000000">
      <w:pPr>
        <w:pStyle w:val="ListParagraph"/>
        <w:numPr>
          <w:ilvl w:val="0"/>
          <w:numId w:val="1"/>
        </w:numPr>
        <w:spacing w:after="100" w:line="290" w:lineRule="auto"/>
      </w:pPr>
      <w:r>
        <w:lastRenderedPageBreak/>
        <w:t>Parametric extrapolation beyond the observed follow-up window carries structural uncertainty that AIC and BIC alone do not fully capture, particularly for immunotherapy data with potential long-term plateau effects.</w:t>
      </w:r>
    </w:p>
    <w:p w14:paraId="58F58C4F" w14:textId="77777777" w:rsidR="00F8300C" w:rsidRDefault="00000000">
      <w:pPr>
        <w:pStyle w:val="ListParagraph"/>
        <w:numPr>
          <w:ilvl w:val="0"/>
          <w:numId w:val="1"/>
        </w:numPr>
        <w:spacing w:after="100" w:line="290" w:lineRule="auto"/>
      </w:pPr>
      <w:r>
        <w:t>This analysis is intended for educational and methodological demonstration purposes and does not constitute a clinical, regulatory, or reimbursement-submission-grade analysis.</w:t>
      </w:r>
    </w:p>
    <w:p w14:paraId="5F1494EE" w14:textId="77777777" w:rsidR="00F8300C" w:rsidRDefault="00000000">
      <w:pPr>
        <w:pStyle w:val="Heading1"/>
        <w:pBdr>
          <w:bottom w:val="single" w:sz="6" w:space="4" w:color="0F6E56"/>
        </w:pBdr>
        <w:spacing w:before="360" w:after="160"/>
      </w:pPr>
      <w:r>
        <w:rPr>
          <w:b/>
          <w:bCs/>
          <w:color w:val="0F6E56"/>
          <w:sz w:val="27"/>
          <w:szCs w:val="27"/>
        </w:rPr>
        <w:t>Conclusion</w:t>
      </w:r>
    </w:p>
    <w:p w14:paraId="33A24D52" w14:textId="77777777" w:rsidR="00F8300C" w:rsidRDefault="00000000">
      <w:pPr>
        <w:spacing w:after="180" w:line="300" w:lineRule="auto"/>
      </w:pPr>
      <w:r>
        <w:t>This project demonstrates a complete, reproducible pipeline for turning a published clinical trial figure into decision-analytic-ready survival data — spanning curve digitization, pseudo-IPD reconstruction, parametric model selection, and interactive extrapolation. Applied to KEYNOTE-024, the reconstruction closely reproduced the trial's published treatment effect, and the resulting extrapolation supports a substantial and widening long-term survival benefit for pembrolizumab over platinum-based chemotherapy in this population. The accompanying interactive dashboard makes this workflow directly reusable for additional trials, positioning it as a reusable template for early-stage HEOR survival analysis work.</w:t>
      </w:r>
    </w:p>
    <w:p w14:paraId="747D1AFA" w14:textId="77777777" w:rsidR="00F8300C" w:rsidRDefault="00000000">
      <w:pPr>
        <w:pStyle w:val="Heading1"/>
        <w:pBdr>
          <w:bottom w:val="single" w:sz="6" w:space="4" w:color="0F6E56"/>
        </w:pBdr>
        <w:spacing w:before="360" w:after="160"/>
      </w:pPr>
      <w:r>
        <w:rPr>
          <w:b/>
          <w:bCs/>
          <w:color w:val="0F6E56"/>
          <w:sz w:val="27"/>
          <w:szCs w:val="27"/>
        </w:rPr>
        <w:t>References</w:t>
      </w:r>
    </w:p>
    <w:p w14:paraId="7E80E100" w14:textId="77777777" w:rsidR="00F8300C" w:rsidRDefault="00000000">
      <w:pPr>
        <w:spacing w:after="180" w:line="300" w:lineRule="auto"/>
      </w:pPr>
      <w:r>
        <w:t>1. Reck M, Rodríguez-Abreu D, Robinson AG, et al. Pembrolizumab versus Chemotherapy for PD-L1–Positive Non–Small-Cell Lung Cancer. N Engl J Med. 2016;375(18):1823–1833.</w:t>
      </w:r>
    </w:p>
    <w:p w14:paraId="3144CAB1" w14:textId="77777777" w:rsidR="00F8300C" w:rsidRDefault="00000000">
      <w:pPr>
        <w:spacing w:after="180" w:line="300" w:lineRule="auto"/>
      </w:pPr>
      <w:r>
        <w:t>2. Guyot P, Ades AE, Ouwens MJ, Welton NJ. Enhancing secondary analysis of survival data: reconstructing the data from published Kaplan-Meier survival curves. BMC Med Res Methodol. 2012;12:9.</w:t>
      </w:r>
    </w:p>
    <w:p w14:paraId="3720AE5C" w14:textId="77777777" w:rsidR="00F8300C" w:rsidRDefault="00000000">
      <w:pPr>
        <w:spacing w:after="180" w:line="300" w:lineRule="auto"/>
      </w:pPr>
      <w:r>
        <w:t>3. National Institute for Health and Care Excellence (NICE) Decision Support Unit. TSD 14: Survival Analysis for Economic Evaluations Alongside Clinical Trials.</w:t>
      </w:r>
    </w:p>
    <w:sectPr w:rsidR="00F8300C">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7F75" w14:textId="77777777" w:rsidR="00F3334E" w:rsidRDefault="00F3334E">
      <w:r>
        <w:separator/>
      </w:r>
    </w:p>
  </w:endnote>
  <w:endnote w:type="continuationSeparator" w:id="0">
    <w:p w14:paraId="0E0159E5" w14:textId="77777777" w:rsidR="00F3334E" w:rsidRDefault="00F33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48E2" w14:textId="77777777" w:rsidR="00F8300C" w:rsidRDefault="00000000">
    <w:pPr>
      <w:pBdr>
        <w:top w:val="single" w:sz="4" w:space="6" w:color="C9C7BC"/>
      </w:pBdr>
      <w:jc w:val="center"/>
    </w:pPr>
    <w:r>
      <w:rPr>
        <w:color w:val="5F5E5A"/>
        <w:sz w:val="16"/>
        <w:szCs w:val="16"/>
      </w:rPr>
      <w:t xml:space="preserve">Survival Extrapolation Analysis — KEYNOTE-024    |    Page </w:t>
    </w:r>
    <w:r>
      <w:rPr>
        <w:color w:val="5F5E5A"/>
        <w:sz w:val="16"/>
        <w:szCs w:val="16"/>
      </w:rPr>
      <w:fldChar w:fldCharType="begin"/>
    </w:r>
    <w:r>
      <w:rPr>
        <w:color w:val="5F5E5A"/>
        <w:sz w:val="16"/>
        <w:szCs w:val="16"/>
      </w:rPr>
      <w:instrText>PAGE</w:instrText>
    </w:r>
    <w:r>
      <w:rPr>
        <w:color w:val="5F5E5A"/>
        <w:sz w:val="16"/>
        <w:szCs w:val="16"/>
      </w:rPr>
      <w:fldChar w:fldCharType="separate"/>
    </w:r>
    <w:r w:rsidR="00F46866">
      <w:rPr>
        <w:noProof/>
        <w:color w:val="5F5E5A"/>
        <w:sz w:val="16"/>
        <w:szCs w:val="16"/>
      </w:rPr>
      <w:t>1</w:t>
    </w:r>
    <w:r>
      <w:rPr>
        <w:color w:val="5F5E5A"/>
        <w:sz w:val="16"/>
        <w:szCs w:val="16"/>
      </w:rPr>
      <w:fldChar w:fldCharType="end"/>
    </w:r>
    <w:r>
      <w:rPr>
        <w:color w:val="5F5E5A"/>
        <w:sz w:val="16"/>
        <w:szCs w:val="16"/>
      </w:rPr>
      <w:t xml:space="preserve"> of </w:t>
    </w:r>
    <w:r>
      <w:rPr>
        <w:color w:val="5F5E5A"/>
        <w:sz w:val="16"/>
        <w:szCs w:val="16"/>
      </w:rPr>
      <w:fldChar w:fldCharType="begin"/>
    </w:r>
    <w:r>
      <w:rPr>
        <w:color w:val="5F5E5A"/>
        <w:sz w:val="16"/>
        <w:szCs w:val="16"/>
      </w:rPr>
      <w:instrText>NUMPAGES</w:instrText>
    </w:r>
    <w:r>
      <w:rPr>
        <w:color w:val="5F5E5A"/>
        <w:sz w:val="16"/>
        <w:szCs w:val="16"/>
      </w:rPr>
      <w:fldChar w:fldCharType="separate"/>
    </w:r>
    <w:r w:rsidR="00F46866">
      <w:rPr>
        <w:noProof/>
        <w:color w:val="5F5E5A"/>
        <w:sz w:val="16"/>
        <w:szCs w:val="16"/>
      </w:rPr>
      <w:t>2</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6BB4" w14:textId="77777777" w:rsidR="00F3334E" w:rsidRDefault="00F3334E">
      <w:r>
        <w:separator/>
      </w:r>
    </w:p>
  </w:footnote>
  <w:footnote w:type="continuationSeparator" w:id="0">
    <w:p w14:paraId="41915FA2" w14:textId="77777777" w:rsidR="00F3334E" w:rsidRDefault="00F33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9449E"/>
    <w:multiLevelType w:val="hybridMultilevel"/>
    <w:tmpl w:val="385EE71A"/>
    <w:lvl w:ilvl="0" w:tplc="5976890A">
      <w:start w:val="1"/>
      <w:numFmt w:val="bullet"/>
      <w:lvlText w:val="●"/>
      <w:lvlJc w:val="left"/>
      <w:pPr>
        <w:ind w:left="720" w:hanging="360"/>
      </w:pPr>
    </w:lvl>
    <w:lvl w:ilvl="1" w:tplc="A8763C6A">
      <w:start w:val="1"/>
      <w:numFmt w:val="bullet"/>
      <w:lvlText w:val="○"/>
      <w:lvlJc w:val="left"/>
      <w:pPr>
        <w:ind w:left="1440" w:hanging="360"/>
      </w:pPr>
    </w:lvl>
    <w:lvl w:ilvl="2" w:tplc="072434BA">
      <w:start w:val="1"/>
      <w:numFmt w:val="bullet"/>
      <w:lvlText w:val="■"/>
      <w:lvlJc w:val="left"/>
      <w:pPr>
        <w:ind w:left="2160" w:hanging="360"/>
      </w:pPr>
    </w:lvl>
    <w:lvl w:ilvl="3" w:tplc="4740D6D2">
      <w:start w:val="1"/>
      <w:numFmt w:val="bullet"/>
      <w:lvlText w:val="●"/>
      <w:lvlJc w:val="left"/>
      <w:pPr>
        <w:ind w:left="2880" w:hanging="360"/>
      </w:pPr>
    </w:lvl>
    <w:lvl w:ilvl="4" w:tplc="DB8C3728">
      <w:start w:val="1"/>
      <w:numFmt w:val="bullet"/>
      <w:lvlText w:val="○"/>
      <w:lvlJc w:val="left"/>
      <w:pPr>
        <w:ind w:left="3600" w:hanging="360"/>
      </w:pPr>
    </w:lvl>
    <w:lvl w:ilvl="5" w:tplc="5D54E80E">
      <w:start w:val="1"/>
      <w:numFmt w:val="bullet"/>
      <w:lvlText w:val="■"/>
      <w:lvlJc w:val="left"/>
      <w:pPr>
        <w:ind w:left="4320" w:hanging="360"/>
      </w:pPr>
    </w:lvl>
    <w:lvl w:ilvl="6" w:tplc="DD20BAE0">
      <w:start w:val="1"/>
      <w:numFmt w:val="bullet"/>
      <w:lvlText w:val="●"/>
      <w:lvlJc w:val="left"/>
      <w:pPr>
        <w:ind w:left="5040" w:hanging="360"/>
      </w:pPr>
    </w:lvl>
    <w:lvl w:ilvl="7" w:tplc="B7D88896">
      <w:start w:val="1"/>
      <w:numFmt w:val="bullet"/>
      <w:lvlText w:val="●"/>
      <w:lvlJc w:val="left"/>
      <w:pPr>
        <w:ind w:left="5760" w:hanging="360"/>
      </w:pPr>
    </w:lvl>
    <w:lvl w:ilvl="8" w:tplc="59462490">
      <w:start w:val="1"/>
      <w:numFmt w:val="bullet"/>
      <w:lvlText w:val="●"/>
      <w:lvlJc w:val="left"/>
      <w:pPr>
        <w:ind w:left="6480" w:hanging="360"/>
      </w:pPr>
    </w:lvl>
  </w:abstractNum>
  <w:num w:numId="1" w16cid:durableId="1016688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00C"/>
    <w:rsid w:val="00713F5F"/>
    <w:rsid w:val="00F3334E"/>
    <w:rsid w:val="00F46866"/>
    <w:rsid w:val="00F83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03D4"/>
  <w15:docId w15:val="{98D205B9-5626-47EB-8E4D-1A459C7C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1659</Words>
  <Characters>9457</Characters>
  <Application>Microsoft Office Word</Application>
  <DocSecurity>0</DocSecurity>
  <Lines>78</Lines>
  <Paragraphs>22</Paragraphs>
  <ScaleCrop>false</ScaleCrop>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prakhargupta050829@gmail.com</cp:lastModifiedBy>
  <cp:revision>2</cp:revision>
  <dcterms:created xsi:type="dcterms:W3CDTF">2026-08-02T08:30:00Z</dcterms:created>
  <dcterms:modified xsi:type="dcterms:W3CDTF">2026-08-02T20:35:00Z</dcterms:modified>
</cp:coreProperties>
</file>