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120"/>
        <w:jc w:val="left"/>
      </w:pPr>
      <w:r>
        <w:rPr>
          <w:rFonts w:ascii="Calibri" w:cs="Calibri" w:eastAsia="Calibri" w:hAnsi="Calibri"/>
          <w:b/>
          <w:bCs/>
          <w:color w:val="2E75B6"/>
          <w:spacing w:val="60"/>
          <w:sz w:val="24"/>
          <w:szCs w:val="24"/>
        </w:rPr>
        <w:t xml:space="preserve">STATISTICAL ANALYSIS REPORT</w:t>
      </w:r>
    </w:p>
    <w:p>
      <w:pPr>
        <w:pBdr>
          <w:bottom w:val="single" w:color="1F4E79" w:sz="18" w:space="8"/>
        </w:pBdr>
        <w:spacing w:after="240"/>
      </w:pPr>
    </w:p>
    <w:p>
      <w:pPr>
        <w:spacing w:after="200" w:line="240"/>
        <w:jc w:val="left"/>
      </w:pPr>
      <w:r>
        <w:rPr>
          <w:rFonts w:ascii="Calibri" w:cs="Calibri" w:eastAsia="Calibri" w:hAnsi="Calibri"/>
          <w:b/>
          <w:bCs/>
          <w:color w:val="1F4E79"/>
          <w:sz w:val="60"/>
          <w:szCs w:val="60"/>
        </w:rPr>
        <w:t xml:space="preserve">Efficacy of Drug X versus Placebo on Fasting Glucose in Type 2 Diabetes</w:t>
      </w:r>
    </w:p>
    <w:p>
      <w:pPr>
        <w:spacing w:after="700"/>
        <w:jc w:val="left"/>
      </w:pPr>
      <w:r>
        <w:rPr>
          <w:rFonts w:ascii="Calibri" w:cs="Calibri" w:eastAsia="Calibri" w:hAnsi="Calibri"/>
          <w:color w:val="595959"/>
          <w:sz w:val="28"/>
          <w:szCs w:val="28"/>
        </w:rPr>
        <w:t xml:space="preserve">An end-to-end SDTM → ADaM → TLF analysis in SAS using the two-sample t-test and ANCOVA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Item</w:t>
            </w:r>
          </w:p>
        </w:tc>
        <w:tc>
          <w:tcPr>
            <w:tcW w:type="dxa" w:w="67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b/>
                <w:bCs/>
                <w:sz w:val="19"/>
                <w:szCs w:val="19"/>
              </w:rPr>
              <w:t xml:space="preserve">Prepared by</w:t>
            </w:r>
          </w:p>
        </w:tc>
        <w:tc>
          <w:tcPr>
            <w:tcW w:type="dxa" w:w="67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Prakhar Gupta</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b/>
                <w:bCs/>
                <w:sz w:val="19"/>
                <w:szCs w:val="19"/>
              </w:rPr>
              <w:t xml:space="preserve">Primary endpoint</w:t>
            </w:r>
          </w:p>
        </w:tc>
        <w:tc>
          <w:tcPr>
            <w:tcW w:type="dxa" w:w="67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Change from baseline in fasting glucose (mg/dL) at Week 12</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b/>
                <w:bCs/>
                <w:sz w:val="19"/>
                <w:szCs w:val="19"/>
              </w:rPr>
              <w:t xml:space="preserve">Design</w:t>
            </w:r>
          </w:p>
        </w:tc>
        <w:tc>
          <w:tcPr>
            <w:tcW w:type="dxa" w:w="67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Two-arm, parallel-group, 1:1 allocation; Drug X 10 mg vs placebo; N = 80</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b/>
                <w:bCs/>
                <w:sz w:val="19"/>
                <w:szCs w:val="19"/>
              </w:rPr>
              <w:t xml:space="preserve">Methods</w:t>
            </w:r>
          </w:p>
        </w:tc>
        <w:tc>
          <w:tcPr>
            <w:tcW w:type="dxa" w:w="67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PROC TTEST, PROC GLM (ANCOVA), PROC MEANS, PROC FREQ, PROC SGPLOT</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b/>
                <w:bCs/>
                <w:sz w:val="19"/>
                <w:szCs w:val="19"/>
              </w:rPr>
              <w:t xml:space="preserve">Software</w:t>
            </w:r>
          </w:p>
        </w:tc>
        <w:tc>
          <w:tcPr>
            <w:tcW w:type="dxa" w:w="67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SAS 9.4 (SAS OnDemand for Academics)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b/>
                <w:bCs/>
                <w:sz w:val="19"/>
                <w:szCs w:val="19"/>
              </w:rPr>
              <w:t xml:space="preserve">Date</w:t>
            </w:r>
          </w:p>
        </w:tc>
        <w:tc>
          <w:tcPr>
            <w:tcW w:type="dxa" w:w="67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October 2026</w:t>
            </w:r>
          </w:p>
        </w:tc>
      </w:tr>
    </w:tbl>
    <w:p>
      <w:pPr>
        <w:spacing w:after="80" w:before="500"/>
      </w:pPr>
      <w:r>
        <w:rPr>
          <w:rFonts w:ascii="Calibri" w:cs="Calibri" w:eastAsia="Calibri" w:hAnsi="Calibri"/>
          <w:b/>
          <w:bCs/>
          <w:color w:val="1F4E79"/>
          <w:sz w:val="24"/>
          <w:szCs w:val="24"/>
        </w:rPr>
        <w:t xml:space="preserve">Contents</w:t>
      </w:r>
    </w:p>
    <w:p>
      <w:pPr>
        <w:spacing w:after="30"/>
      </w:pPr>
      <w:r>
        <w:rPr>
          <w:rFonts w:ascii="Calibri" w:cs="Calibri" w:eastAsia="Calibri" w:hAnsi="Calibri"/>
          <w:color w:val="595959"/>
          <w:sz w:val="21"/>
          <w:szCs w:val="21"/>
        </w:rPr>
        <w:t xml:space="preserve">1. Executive Summary</w:t>
      </w:r>
    </w:p>
    <w:p>
      <w:pPr>
        <w:spacing w:after="30"/>
      </w:pPr>
      <w:r>
        <w:rPr>
          <w:rFonts w:ascii="Calibri" w:cs="Calibri" w:eastAsia="Calibri" w:hAnsi="Calibri"/>
          <w:color w:val="595959"/>
          <w:sz w:val="21"/>
          <w:szCs w:val="21"/>
        </w:rPr>
        <w:t xml:space="preserve">2. Background and Objectives</w:t>
      </w:r>
    </w:p>
    <w:p>
      <w:pPr>
        <w:spacing w:after="30"/>
      </w:pPr>
      <w:r>
        <w:rPr>
          <w:rFonts w:ascii="Calibri" w:cs="Calibri" w:eastAsia="Calibri" w:hAnsi="Calibri"/>
          <w:color w:val="595959"/>
          <w:sz w:val="21"/>
          <w:szCs w:val="21"/>
        </w:rPr>
        <w:t xml:space="preserve">3. Study Design and Data</w:t>
      </w:r>
    </w:p>
    <w:p>
      <w:pPr>
        <w:spacing w:after="30"/>
      </w:pPr>
      <w:r>
        <w:rPr>
          <w:rFonts w:ascii="Calibri" w:cs="Calibri" w:eastAsia="Calibri" w:hAnsi="Calibri"/>
          <w:color w:val="595959"/>
          <w:sz w:val="21"/>
          <w:szCs w:val="21"/>
        </w:rPr>
        <w:t xml:space="preserve">4. Methods</w:t>
      </w:r>
    </w:p>
    <w:p>
      <w:pPr>
        <w:spacing w:after="30"/>
      </w:pPr>
      <w:r>
        <w:rPr>
          <w:rFonts w:ascii="Calibri" w:cs="Calibri" w:eastAsia="Calibri" w:hAnsi="Calibri"/>
          <w:color w:val="595959"/>
          <w:sz w:val="21"/>
          <w:szCs w:val="21"/>
        </w:rPr>
        <w:t xml:space="preserve">5. Results</w:t>
      </w:r>
    </w:p>
    <w:p>
      <w:pPr>
        <w:spacing w:after="30"/>
      </w:pPr>
      <w:r>
        <w:rPr>
          <w:rFonts w:ascii="Calibri" w:cs="Calibri" w:eastAsia="Calibri" w:hAnsi="Calibri"/>
          <w:color w:val="595959"/>
          <w:sz w:val="21"/>
          <w:szCs w:val="21"/>
        </w:rPr>
        <w:t xml:space="preserve">6. Discussion</w:t>
      </w:r>
    </w:p>
    <w:p>
      <w:pPr>
        <w:spacing w:after="30"/>
      </w:pPr>
      <w:r>
        <w:rPr>
          <w:rFonts w:ascii="Calibri" w:cs="Calibri" w:eastAsia="Calibri" w:hAnsi="Calibri"/>
          <w:color w:val="595959"/>
          <w:sz w:val="21"/>
          <w:szCs w:val="21"/>
        </w:rPr>
        <w:t xml:space="preserve">7. Conclusion</w:t>
      </w:r>
    </w:p>
    <w:p>
      <w:pPr>
        <w:spacing w:after="30"/>
      </w:pPr>
      <w:r>
        <w:rPr>
          <w:rFonts w:ascii="Calibri" w:cs="Calibri" w:eastAsia="Calibri" w:hAnsi="Calibri"/>
          <w:color w:val="595959"/>
          <w:sz w:val="21"/>
          <w:szCs w:val="21"/>
        </w:rPr>
        <w:t xml:space="preserve">Appendix A. Output Inventory</w:t>
      </w:r>
    </w:p>
    <w:p>
      <w:pPr>
        <w:sectPr>
          <w:pgSz w:w="11906" w:h="16838" w:orient="portrait"/>
          <w:pgMar w:top="1440" w:right="1440" w:bottom="1300" w:left="1440" w:header="708" w:footer="708" w:gutter="0"/>
          <w:pgNumType/>
          <w:docGrid w:linePitch="360"/>
        </w:sectPr>
      </w:pP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Executive Summary</w:t>
      </w:r>
    </w:p>
    <w:p>
      <w:pPr>
        <w:spacing w:after="120" w:before="0" w:line="276"/>
        <w:jc w:val="both"/>
      </w:pPr>
      <w:r>
        <w:rPr>
          <w:rFonts w:ascii="Calibri" w:cs="Calibri" w:eastAsia="Calibri" w:hAnsi="Calibri"/>
          <w:sz w:val="21"/>
          <w:szCs w:val="21"/>
        </w:rPr>
        <w:t xml:space="preserve">This report documents the programming workflow and statistical analysis of a two-arm, parallel-group mock study comparing </w:t>
      </w:r>
      <w:r>
        <w:rPr>
          <w:rFonts w:ascii="Calibri" w:cs="Calibri" w:eastAsia="Calibri" w:hAnsi="Calibri"/>
          <w:b/>
          <w:bCs/>
          <w:sz w:val="21"/>
          <w:szCs w:val="21"/>
        </w:rPr>
        <w:t xml:space="preserve">Drug X (10 mg)</w:t>
      </w:r>
      <w:r>
        <w:rPr>
          <w:rFonts w:ascii="Calibri" w:cs="Calibri" w:eastAsia="Calibri" w:hAnsi="Calibri"/>
          <w:sz w:val="21"/>
          <w:szCs w:val="21"/>
        </w:rPr>
        <w:t xml:space="preserve"> with </w:t>
      </w:r>
      <w:r>
        <w:rPr>
          <w:rFonts w:ascii="Calibri" w:cs="Calibri" w:eastAsia="Calibri" w:hAnsi="Calibri"/>
          <w:b/>
          <w:bCs/>
          <w:sz w:val="21"/>
          <w:szCs w:val="21"/>
        </w:rPr>
        <w:t xml:space="preserve">placebo</w:t>
      </w:r>
      <w:r>
        <w:rPr>
          <w:rFonts w:ascii="Calibri" w:cs="Calibri" w:eastAsia="Calibri" w:hAnsi="Calibri"/>
          <w:sz w:val="21"/>
          <w:szCs w:val="21"/>
        </w:rPr>
        <w:t xml:space="preserve"> in 80 adults with Type 2 Diabetes. Raw demographic, exposure and laboratory data were converted to CDISC SDTM, derived into ADaM analysis datasets (ADSL and ADLB), and analysed in SAS 9.4 to produce summary tables, a subject listing and a figure. The primary endpoint is the </w:t>
      </w:r>
      <w:r>
        <w:rPr>
          <w:rFonts w:ascii="Calibri" w:cs="Calibri" w:eastAsia="Calibri" w:hAnsi="Calibri"/>
          <w:b/>
          <w:bCs/>
          <w:sz w:val="21"/>
          <w:szCs w:val="21"/>
        </w:rPr>
        <w:t xml:space="preserve">change from baseline in fasting glucose (mg/dL) at Week 12</w:t>
      </w:r>
      <w:r>
        <w:rPr>
          <w:rFonts w:ascii="Calibri" w:cs="Calibri" w:eastAsia="Calibri" w:hAnsi="Calibri"/>
          <w:sz w:val="21"/>
          <w:szCs w:val="21"/>
        </w:rPr>
        <w:t xml:space="preserve">.</w:t>
      </w:r>
    </w:p>
    <w:p>
      <w:pPr>
        <w:keepNext/>
        <w:spacing w:after="60" w:before="0" w:line="276"/>
        <w:jc w:val="left"/>
      </w:pPr>
      <w:r>
        <w:rPr>
          <w:rFonts w:ascii="Calibri" w:cs="Calibri" w:eastAsia="Calibri" w:hAnsi="Calibri"/>
          <w:b/>
          <w:bCs/>
          <w:sz w:val="21"/>
          <w:szCs w:val="21"/>
        </w:rPr>
        <w:t xml:space="preserve">Key findings</w:t>
      </w:r>
    </w:p>
    <w:p>
      <w:pPr>
        <w:pStyle w:val="ListParagraph"/>
        <w:numPr>
          <w:ilvl w:val="0"/>
          <w:numId w:val="2"/>
        </w:numPr>
        <w:spacing w:after="70" w:line="270"/>
        <w:jc w:val="left"/>
      </w:pPr>
      <w:r>
        <w:rPr>
          <w:rFonts w:ascii="Calibri" w:cs="Calibri" w:eastAsia="Calibri" w:hAnsi="Calibri"/>
          <w:sz w:val="21"/>
          <w:szCs w:val="21"/>
        </w:rPr>
        <w:t xml:space="preserve">Mean glucose fell by </w:t>
      </w:r>
      <w:r>
        <w:rPr>
          <w:rFonts w:ascii="Calibri" w:cs="Calibri" w:eastAsia="Calibri" w:hAnsi="Calibri"/>
          <w:b/>
          <w:bCs/>
          <w:sz w:val="21"/>
          <w:szCs w:val="21"/>
        </w:rPr>
        <w:t xml:space="preserve">31.2 mg/dL</w:t>
      </w:r>
      <w:r>
        <w:rPr>
          <w:rFonts w:ascii="Calibri" w:cs="Calibri" w:eastAsia="Calibri" w:hAnsi="Calibri"/>
          <w:sz w:val="21"/>
          <w:szCs w:val="21"/>
        </w:rPr>
        <w:t xml:space="preserve"> (SD 9.7) on Drug X versus </w:t>
      </w:r>
      <w:r>
        <w:rPr>
          <w:rFonts w:ascii="Calibri" w:cs="Calibri" w:eastAsia="Calibri" w:hAnsi="Calibri"/>
          <w:b/>
          <w:bCs/>
          <w:sz w:val="21"/>
          <w:szCs w:val="21"/>
        </w:rPr>
        <w:t xml:space="preserve">7.9 mg/dL</w:t>
      </w:r>
      <w:r>
        <w:rPr>
          <w:rFonts w:ascii="Calibri" w:cs="Calibri" w:eastAsia="Calibri" w:hAnsi="Calibri"/>
          <w:sz w:val="21"/>
          <w:szCs w:val="21"/>
        </w:rPr>
        <w:t xml:space="preserve"> (SD 11.4) on placebo at Week 12.</w:t>
      </w:r>
    </w:p>
    <w:p>
      <w:pPr>
        <w:pStyle w:val="ListParagraph"/>
        <w:numPr>
          <w:ilvl w:val="0"/>
          <w:numId w:val="2"/>
        </w:numPr>
        <w:spacing w:after="70" w:line="270"/>
        <w:jc w:val="left"/>
      </w:pPr>
      <w:r>
        <w:rPr>
          <w:rFonts w:ascii="Calibri" w:cs="Calibri" w:eastAsia="Calibri" w:hAnsi="Calibri"/>
          <w:sz w:val="21"/>
          <w:szCs w:val="21"/>
        </w:rPr>
        <w:t xml:space="preserve">The treatment difference was </w:t>
      </w:r>
      <w:r>
        <w:rPr>
          <w:rFonts w:ascii="Calibri" w:cs="Calibri" w:eastAsia="Calibri" w:hAnsi="Calibri"/>
          <w:b/>
          <w:bCs/>
          <w:sz w:val="21"/>
          <w:szCs w:val="21"/>
        </w:rPr>
        <w:t xml:space="preserve">−23.3 mg/dL</w:t>
      </w:r>
      <w:r>
        <w:rPr>
          <w:rFonts w:ascii="Calibri" w:cs="Calibri" w:eastAsia="Calibri" w:hAnsi="Calibri"/>
          <w:sz w:val="21"/>
          <w:szCs w:val="21"/>
        </w:rPr>
        <w:t xml:space="preserve"> (95% CI −28.2 to −18.4; t = −9.41, df = 72, </w:t>
      </w:r>
      <w:r>
        <w:rPr>
          <w:rFonts w:ascii="Calibri" w:cs="Calibri" w:eastAsia="Calibri" w:hAnsi="Calibri"/>
          <w:b/>
          <w:bCs/>
          <w:sz w:val="21"/>
          <w:szCs w:val="21"/>
        </w:rPr>
        <w:t xml:space="preserve">p &lt; 0.0001</w:t>
      </w:r>
      <w:r>
        <w:rPr>
          <w:rFonts w:ascii="Calibri" w:cs="Calibri" w:eastAsia="Calibri" w:hAnsi="Calibri"/>
          <w:sz w:val="21"/>
          <w:szCs w:val="21"/>
        </w:rPr>
        <w:t xml:space="preserve">).</w:t>
      </w:r>
    </w:p>
    <w:p>
      <w:pPr>
        <w:pStyle w:val="ListParagraph"/>
        <w:numPr>
          <w:ilvl w:val="0"/>
          <w:numId w:val="2"/>
        </w:numPr>
        <w:spacing w:after="70" w:line="270"/>
        <w:jc w:val="left"/>
      </w:pPr>
      <w:r>
        <w:rPr>
          <w:rFonts w:ascii="Calibri" w:cs="Calibri" w:eastAsia="Calibri" w:hAnsi="Calibri"/>
          <w:sz w:val="21"/>
          <w:szCs w:val="21"/>
        </w:rPr>
        <w:t xml:space="preserve">The ANCOVA, adjusting for baseline glucose, gave an adjusted difference of </w:t>
      </w:r>
      <w:r>
        <w:rPr>
          <w:rFonts w:ascii="Calibri" w:cs="Calibri" w:eastAsia="Calibri" w:hAnsi="Calibri"/>
          <w:b/>
          <w:bCs/>
          <w:sz w:val="21"/>
          <w:szCs w:val="21"/>
        </w:rPr>
        <w:t xml:space="preserve">−23.27 mg/dL</w:t>
      </w:r>
      <w:r>
        <w:rPr>
          <w:rFonts w:ascii="Calibri" w:cs="Calibri" w:eastAsia="Calibri" w:hAnsi="Calibri"/>
          <w:sz w:val="21"/>
          <w:szCs w:val="21"/>
        </w:rPr>
        <w:t xml:space="preserve"> (95% CI −28.23 to −18.30; </w:t>
      </w:r>
      <w:r>
        <w:rPr>
          <w:rFonts w:ascii="Calibri" w:cs="Calibri" w:eastAsia="Calibri" w:hAnsi="Calibri"/>
          <w:b/>
          <w:bCs/>
          <w:sz w:val="21"/>
          <w:szCs w:val="21"/>
        </w:rPr>
        <w:t xml:space="preserve">p &lt; 0.0001</w:t>
      </w:r>
      <w:r>
        <w:rPr>
          <w:rFonts w:ascii="Calibri" w:cs="Calibri" w:eastAsia="Calibri" w:hAnsi="Calibri"/>
          <w:sz w:val="21"/>
          <w:szCs w:val="21"/>
        </w:rPr>
        <w:t xml:space="preserve">). Baseline glucose was not a significant covariate (p = 0.69).</w:t>
      </w:r>
    </w:p>
    <w:p>
      <w:pPr>
        <w:pStyle w:val="ListParagraph"/>
        <w:numPr>
          <w:ilvl w:val="0"/>
          <w:numId w:val="2"/>
        </w:numPr>
        <w:spacing w:after="70" w:line="270"/>
        <w:jc w:val="left"/>
      </w:pPr>
      <w:r>
        <w:rPr>
          <w:rFonts w:ascii="Calibri" w:cs="Calibri" w:eastAsia="Calibri" w:hAnsi="Calibri"/>
          <w:sz w:val="21"/>
          <w:szCs w:val="21"/>
        </w:rPr>
        <w:t xml:space="preserve">The standardised effect size was large (Cohen's d = 2.19). In an exploratory responder analysis, 88.6% of Drug X patients achieved a reduction of at least 20 mg/dL, compared with 15.4% on placebo.</w:t>
      </w:r>
    </w:p>
    <w:p>
      <w:pPr>
        <w:pStyle w:val="ListParagraph"/>
        <w:numPr>
          <w:ilvl w:val="0"/>
          <w:numId w:val="2"/>
        </w:numPr>
        <w:spacing w:after="70" w:line="270"/>
        <w:jc w:val="left"/>
      </w:pPr>
      <w:r>
        <w:rPr>
          <w:rFonts w:ascii="Calibri" w:cs="Calibri" w:eastAsia="Calibri" w:hAnsi="Calibri"/>
          <w:sz w:val="21"/>
          <w:szCs w:val="21"/>
        </w:rPr>
        <w:t xml:space="preserve">Model assumptions were satisfied (residual normality: Shapiro–Wilk p = 0.23; equal variances: folded-F p = 0.33).</w:t>
      </w:r>
    </w:p>
    <w:p>
      <w:pPr>
        <w:pStyle w:val="ListParagraph"/>
        <w:numPr>
          <w:ilvl w:val="0"/>
          <w:numId w:val="2"/>
        </w:numPr>
        <w:spacing w:after="70" w:line="270"/>
        <w:jc w:val="left"/>
      </w:pPr>
      <w:r>
        <w:rPr>
          <w:rFonts w:ascii="Calibri" w:cs="Calibri" w:eastAsia="Calibri" w:hAnsi="Calibri"/>
          <w:sz w:val="21"/>
          <w:szCs w:val="21"/>
        </w:rPr>
        <w:t xml:space="preserve">74 of 80 patients (92.5%) had a Week 12 measurement; 5 Drug X and 1 placebo patient discontinued before Week 12.</w:t>
      </w:r>
    </w:p>
    <w:p>
      <w:pPr>
        <w:keepNext/>
        <w:spacing w:after="70" w:before="140"/>
        <w:jc w:val="center"/>
      </w:pPr>
      <w:r>
        <w:rPr>
          <w:rFonts w:ascii="Calibri" w:cs="Calibri" w:eastAsia="Calibri" w:hAnsi="Calibri"/>
          <w:b/>
          <w:bCs/>
          <w:color w:val="1F4E79"/>
          <w:sz w:val="19"/>
          <w:szCs w:val="19"/>
        </w:rPr>
        <w:t xml:space="preserve">Table 1. Summary of the primary efficacy result (Week 12 analysis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gridCol w:w="2250"/>
        <w:gridCol w:w="1176"/>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Measure</w:t>
            </w:r>
          </w:p>
        </w:tc>
        <w:tc>
          <w:tcPr>
            <w:tcW w:type="dxa" w:w="145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Drug X (n = 35)</w:t>
            </w:r>
          </w:p>
        </w:tc>
        <w:tc>
          <w:tcPr>
            <w:tcW w:type="dxa" w:w="145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Placebo (n = 39)</w:t>
            </w:r>
          </w:p>
        </w:tc>
        <w:tc>
          <w:tcPr>
            <w:tcW w:type="dxa" w:w="225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Difference (95% CI)</w:t>
            </w:r>
          </w:p>
        </w:tc>
        <w:tc>
          <w:tcPr>
            <w:tcW w:type="dxa" w:w="117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p-value</w:t>
            </w:r>
          </w:p>
        </w:tc>
      </w:tr>
      <w:tr>
        <w:trPr>
          <w:cantSplit/>
        </w:trPr>
        <w:tc>
          <w:tcPr>
            <w:tcW w:type="dxa" w:w="2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Baseline glucose, mean (SD)</w:t>
            </w:r>
          </w:p>
        </w:tc>
        <w:tc>
          <w:tcPr>
            <w:tcW w:type="dxa" w:w="145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166.4 (19.3)</w:t>
            </w:r>
          </w:p>
        </w:tc>
        <w:tc>
          <w:tcPr>
            <w:tcW w:type="dxa" w:w="145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165.2 (18.0)</w:t>
            </w:r>
          </w:p>
        </w:tc>
        <w:tc>
          <w:tcPr>
            <w:tcW w:type="dxa" w:w="225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17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Week 12 glucose, mean (SD)</w:t>
            </w:r>
          </w:p>
        </w:tc>
        <w:tc>
          <w:tcPr>
            <w:tcW w:type="dxa" w:w="14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135.2 (21.5)</w:t>
            </w:r>
          </w:p>
        </w:tc>
        <w:tc>
          <w:tcPr>
            <w:tcW w:type="dxa" w:w="14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157.4 (20.5)</w:t>
            </w:r>
          </w:p>
        </w:tc>
        <w:tc>
          <w:tcPr>
            <w:tcW w:type="dxa" w:w="2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17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Change from baseline, mean (SD)</w:t>
            </w:r>
          </w:p>
        </w:tc>
        <w:tc>
          <w:tcPr>
            <w:tcW w:type="dxa" w:w="14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−31.2 (9.7)</w:t>
            </w:r>
          </w:p>
        </w:tc>
        <w:tc>
          <w:tcPr>
            <w:tcW w:type="dxa" w:w="14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−7.9 (11.4)</w:t>
            </w:r>
          </w:p>
        </w:tc>
        <w:tc>
          <w:tcPr>
            <w:tcW w:type="dxa" w:w="22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−23.3 (−28.2, −18.4)</w:t>
            </w:r>
          </w:p>
        </w:tc>
        <w:tc>
          <w:tcPr>
            <w:tcW w:type="dxa" w:w="117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r>
        <w:trPr>
          <w:cantSplit/>
        </w:trPr>
        <w:tc>
          <w:tcPr>
            <w:tcW w:type="dxa" w:w="2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ANCOVA adjusted mean change (SE)</w:t>
            </w:r>
          </w:p>
        </w:tc>
        <w:tc>
          <w:tcPr>
            <w:tcW w:type="dxa" w:w="14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−31.15 (1.81)</w:t>
            </w:r>
          </w:p>
        </w:tc>
        <w:tc>
          <w:tcPr>
            <w:tcW w:type="dxa" w:w="14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−7.88 (1.71)</w:t>
            </w:r>
          </w:p>
        </w:tc>
        <w:tc>
          <w:tcPr>
            <w:tcW w:type="dxa" w:w="225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−23.27 (−28.23, −18.30)</w:t>
            </w:r>
          </w:p>
        </w:tc>
        <w:tc>
          <w:tcPr>
            <w:tcW w:type="dxa" w:w="117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bl>
    <w:p>
      <w:pPr>
        <w:spacing w:after="160" w:before="50"/>
        <w:jc w:val="left"/>
      </w:pPr>
      <w:r>
        <w:rPr>
          <w:rFonts w:ascii="Calibri" w:cs="Calibri" w:eastAsia="Calibri" w:hAnsi="Calibri"/>
          <w:i/>
          <w:iCs/>
          <w:color w:val="595959"/>
          <w:sz w:val="17"/>
          <w:szCs w:val="17"/>
        </w:rPr>
        <w:t xml:space="preserve">SD = standard deviation; SE = standard error; CI = confidence interval. Differences are Drug X minus placebo; negative values favour Drug X.</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Background and Objectives</w:t>
      </w:r>
    </w:p>
    <w:p>
      <w:pPr>
        <w:spacing w:after="120" w:before="0" w:line="276"/>
        <w:jc w:val="both"/>
      </w:pPr>
      <w:r>
        <w:rPr>
          <w:rFonts w:ascii="Calibri" w:cs="Calibri" w:eastAsia="Calibri" w:hAnsi="Calibri"/>
          <w:sz w:val="21"/>
          <w:szCs w:val="21"/>
        </w:rPr>
        <w:t xml:space="preserve">Type 2 Diabetes is characterised by chronically elevated blood glucose, and fasting glucose is a standard efficacy marker in early-phase glucose-lowering trials. Because patients begin a study at different glucose levels, efficacy is judged on the </w:t>
      </w:r>
      <w:r>
        <w:rPr>
          <w:rFonts w:ascii="Calibri" w:cs="Calibri" w:eastAsia="Calibri" w:hAnsi="Calibri"/>
          <w:b/>
          <w:bCs/>
          <w:sz w:val="21"/>
          <w:szCs w:val="21"/>
        </w:rPr>
        <w:t xml:space="preserve">change from baseline</w:t>
      </w:r>
      <w:r>
        <w:rPr>
          <w:rFonts w:ascii="Calibri" w:cs="Calibri" w:eastAsia="Calibri" w:hAnsi="Calibri"/>
          <w:sz w:val="21"/>
          <w:szCs w:val="21"/>
        </w:rPr>
        <w:t xml:space="preserve"> rather than on the raw post-treatment value. Clinical programmers and biostatisticians turn collected trial data into regulatory-standard datasets and outputs; this project reproduces that workflow end to end.</w:t>
      </w:r>
    </w:p>
    <w:p>
      <w:pPr>
        <w:spacing w:after="120" w:before="0" w:line="276"/>
        <w:jc w:val="both"/>
      </w:pPr>
      <w:r>
        <w:rPr>
          <w:rFonts w:ascii="Calibri" w:cs="Calibri" w:eastAsia="Calibri" w:hAnsi="Calibri"/>
          <w:b/>
          <w:bCs/>
          <w:sz w:val="21"/>
          <w:szCs w:val="21"/>
        </w:rPr>
        <w:t xml:space="preserve">Objectives.</w:t>
      </w:r>
      <w:r>
        <w:rPr>
          <w:rFonts w:ascii="Calibri" w:cs="Calibri" w:eastAsia="Calibri" w:hAnsi="Calibri"/>
          <w:sz w:val="21"/>
          <w:szCs w:val="21"/>
        </w:rPr>
        <w:t xml:space="preserve"> (1) Convert raw DM, EX and LB data to SDTM-compliant datasets. (2) Derive the ADaM datasets ADSL and ADLB, including baseline and change-from-baseline variables. (3) Estimate and test the effect of Drug X versus placebo on Week 12 glucose change using a two-sample t-test and an analysis of covariance (ANCOVA). (4) Produce a demographics table, an efficacy table, a subject listing and a figure.</w:t>
      </w:r>
    </w:p>
    <w:p>
      <w:pPr>
        <w:spacing w:after="120" w:before="0" w:line="276"/>
        <w:jc w:val="both"/>
      </w:pPr>
      <w:r>
        <w:rPr>
          <w:rFonts w:ascii="Calibri" w:cs="Calibri" w:eastAsia="Calibri" w:hAnsi="Calibri"/>
          <w:b/>
          <w:bCs/>
          <w:sz w:val="21"/>
          <w:szCs w:val="21"/>
        </w:rPr>
        <w:t xml:space="preserve">Hypotheses.</w:t>
      </w:r>
      <w:r>
        <w:rPr>
          <w:rFonts w:ascii="Calibri" w:cs="Calibri" w:eastAsia="Calibri" w:hAnsi="Calibri"/>
          <w:sz w:val="21"/>
          <w:szCs w:val="21"/>
        </w:rPr>
        <w:t xml:space="preserve"> Let μ(X) and μ(P) denote the true mean change from baseline at Week 12 on Drug X and placebo. The null hypothesis is H₀: μ(X) − μ(P) = 0 against the two-sided alternative H₁: μ(X) − μ(P) ≠ 0, tested at the 5% significance level.</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Study Design and Data</w:t>
      </w:r>
    </w:p>
    <w:p>
      <w:pPr>
        <w:pStyle w:val="Heading2"/>
        <w:keepNext/>
        <w:spacing w:after="80" w:before="200"/>
      </w:pPr>
      <w:r>
        <w:rPr>
          <w:rFonts w:ascii="Calibri" w:cs="Calibri" w:eastAsia="Calibri" w:hAnsi="Calibri"/>
          <w:b/>
          <w:bCs/>
          <w:color w:val="2E75B6"/>
          <w:sz w:val="24"/>
          <w:szCs w:val="24"/>
        </w:rPr>
        <w:t xml:space="preserve">3.1 Design</w:t>
      </w:r>
    </w:p>
    <w:p>
      <w:pPr>
        <w:spacing w:after="120" w:before="0" w:line="276"/>
        <w:jc w:val="both"/>
      </w:pPr>
      <w:r>
        <w:rPr>
          <w:rFonts w:ascii="Calibri" w:cs="Calibri" w:eastAsia="Calibri" w:hAnsi="Calibri"/>
          <w:sz w:val="21"/>
          <w:szCs w:val="21"/>
        </w:rPr>
        <w:t xml:space="preserve">The study is a randomised, parallel-group comparison with 1:1 allocation: 40 patients received Drug X (10 mg) and 40 received placebo, recruited across four sites (SITE01–SITE04). Treatment lasted 12 weeks (84 days). Fasting glucose was measured at five visits (Table 2). The data were simulated to reproduce the structure and variability of a two-arm diabetes trial and contain no real patient information.</w:t>
      </w:r>
    </w:p>
    <w:p>
      <w:pPr>
        <w:keepNext/>
        <w:spacing w:after="70" w:before="140"/>
        <w:jc w:val="center"/>
      </w:pPr>
      <w:r>
        <w:rPr>
          <w:rFonts w:ascii="Calibri" w:cs="Calibri" w:eastAsia="Calibri" w:hAnsi="Calibri"/>
          <w:b/>
          <w:bCs/>
          <w:color w:val="1F4E79"/>
          <w:sz w:val="19"/>
          <w:szCs w:val="19"/>
        </w:rPr>
        <w:t xml:space="preserve">Table 2. Visit schedule and glucose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226"/>
        <w:gridCol w:w="16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Visit</w:t>
            </w:r>
          </w:p>
        </w:tc>
        <w:tc>
          <w:tcPr>
            <w:tcW w:type="dxa" w:w="2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Study day</w:t>
            </w:r>
          </w:p>
        </w:tc>
        <w:tc>
          <w:tcPr>
            <w:tcW w:type="dxa" w:w="32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Purpose</w:t>
            </w:r>
          </w:p>
        </w:tc>
        <w:tc>
          <w:tcPr>
            <w:tcW w:type="dxa" w:w="16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Records (n)</w:t>
            </w:r>
          </w:p>
        </w:tc>
      </w:tr>
      <w:tr>
        <w:trPr>
          <w:cantSplit/>
        </w:trPr>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Screening</w:t>
            </w:r>
          </w:p>
        </w:tc>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Day −14 (±)</w:t>
            </w:r>
          </w:p>
        </w:tc>
        <w:tc>
          <w:tcPr>
            <w:tcW w:type="dxa" w:w="3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Eligibility measurement</w:t>
            </w:r>
          </w:p>
        </w:tc>
        <w:tc>
          <w:tcPr>
            <w:tcW w:type="dxa" w:w="1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Baseline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Day 1 (first dose)</w:t>
            </w:r>
          </w:p>
        </w:tc>
        <w:tc>
          <w:tcPr>
            <w:tcW w:type="dxa" w:w="32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Reference value for change</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r>
      <w:tr>
        <w:trPr>
          <w:cantSplit/>
        </w:trPr>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Week 4</w:t>
            </w:r>
          </w:p>
        </w:tc>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Day 29 (±2)</w:t>
            </w:r>
          </w:p>
        </w:tc>
        <w:tc>
          <w:tcPr>
            <w:tcW w:type="dxa" w:w="3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Early response</w:t>
            </w:r>
          </w:p>
        </w:tc>
        <w:tc>
          <w:tcPr>
            <w:tcW w:type="dxa" w:w="1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Week 8</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Day 57 (±2)</w:t>
            </w:r>
          </w:p>
        </w:tc>
        <w:tc>
          <w:tcPr>
            <w:tcW w:type="dxa" w:w="32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Intermediate response</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r>
      <w:tr>
        <w:trPr>
          <w:cantSplit/>
        </w:trPr>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Week 12</w:t>
            </w:r>
          </w:p>
        </w:tc>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Day 85 (±2)</w:t>
            </w:r>
          </w:p>
        </w:tc>
        <w:tc>
          <w:tcPr>
            <w:tcW w:type="dxa" w:w="3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Primary endpoint</w:t>
            </w:r>
          </w:p>
        </w:tc>
        <w:tc>
          <w:tcPr>
            <w:tcW w:type="dxa" w:w="1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74</w:t>
            </w:r>
          </w:p>
        </w:tc>
      </w:tr>
    </w:tbl>
    <w:p>
      <w:pPr>
        <w:spacing w:after="160" w:before="50"/>
        <w:jc w:val="left"/>
      </w:pPr>
      <w:r>
        <w:rPr>
          <w:rFonts w:ascii="Calibri" w:cs="Calibri" w:eastAsia="Calibri" w:hAnsi="Calibri"/>
          <w:i/>
          <w:iCs/>
          <w:color w:val="595959"/>
          <w:sz w:val="17"/>
          <w:szCs w:val="17"/>
        </w:rPr>
        <w:t xml:space="preserve">Total of 394 glucose records. Six patients (5 Drug X, 1 placebo) discontinued after Week 8 and have no Week 12 value.</w:t>
      </w:r>
    </w:p>
    <w:p>
      <w:pPr>
        <w:pStyle w:val="Heading2"/>
        <w:keepNext/>
        <w:spacing w:after="80" w:before="200"/>
      </w:pPr>
      <w:r>
        <w:rPr>
          <w:rFonts w:ascii="Calibri" w:cs="Calibri" w:eastAsia="Calibri" w:hAnsi="Calibri"/>
          <w:b/>
          <w:bCs/>
          <w:color w:val="2E75B6"/>
          <w:sz w:val="24"/>
          <w:szCs w:val="24"/>
        </w:rPr>
        <w:t xml:space="preserve">3.2 Source datasets</w:t>
      </w:r>
    </w:p>
    <w:p>
      <w:pPr>
        <w:keepNext/>
        <w:spacing w:after="70" w:before="140"/>
        <w:jc w:val="center"/>
      </w:pPr>
      <w:r>
        <w:rPr>
          <w:rFonts w:ascii="Calibri" w:cs="Calibri" w:eastAsia="Calibri" w:hAnsi="Calibri"/>
          <w:b/>
          <w:bCs/>
          <w:color w:val="1F4E79"/>
          <w:sz w:val="19"/>
          <w:szCs w:val="19"/>
        </w:rPr>
        <w:t xml:space="preserve">Table 3. Raw datasets and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2900"/>
        <w:gridCol w:w="4226"/>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Dataset</w:t>
            </w:r>
          </w:p>
        </w:tc>
        <w:tc>
          <w:tcPr>
            <w:tcW w:type="dxa" w:w="8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Rows</w:t>
            </w:r>
          </w:p>
        </w:tc>
        <w:tc>
          <w:tcPr>
            <w:tcW w:type="dxa" w:w="2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Content</w:t>
            </w:r>
          </w:p>
        </w:tc>
        <w:tc>
          <w:tcPr>
            <w:tcW w:type="dxa" w:w="42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Key variables</w:t>
            </w:r>
          </w:p>
        </w:tc>
      </w:tr>
      <w:tr>
        <w:trPr>
          <w:cantSplit/>
        </w:trPr>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DM</w:t>
            </w:r>
          </w:p>
        </w:tc>
        <w:tc>
          <w:tcPr>
            <w:tcW w:type="dxa" w:w="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c>
          <w:tcPr>
            <w:tcW w:type="dxa" w:w="2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Demographics, one row per patient</w:t>
            </w:r>
          </w:p>
        </w:tc>
        <w:tc>
          <w:tcPr>
            <w:tcW w:type="dxa" w:w="4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STUDYID, SITEID, SUBJID, AGE, SEX, RACE, ARM, RFSTDTC</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EX</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80</w:t>
            </w:r>
          </w:p>
        </w:tc>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Exposure (dosing period)</w:t>
            </w:r>
          </w:p>
        </w:tc>
        <w:tc>
          <w:tcPr>
            <w:tcW w:type="dxa" w:w="42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EXTRT, EXDOSE, EXDOSU, EXSTDTC, EXENDTC</w:t>
            </w:r>
          </w:p>
        </w:tc>
      </w:tr>
      <w:tr>
        <w:trPr>
          <w:cantSplit/>
        </w:trPr>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LB</w:t>
            </w:r>
          </w:p>
        </w:tc>
        <w:tc>
          <w:tcPr>
            <w:tcW w:type="dxa" w:w="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394</w:t>
            </w:r>
          </w:p>
        </w:tc>
        <w:tc>
          <w:tcPr>
            <w:tcW w:type="dxa" w:w="2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Laboratory results, glucose only</w:t>
            </w:r>
          </w:p>
        </w:tc>
        <w:tc>
          <w:tcPr>
            <w:tcW w:type="dxa" w:w="4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LBTESTCD, LBTEST, LBORRES, LBORRESU, VISIT, LBDTC</w:t>
            </w:r>
          </w:p>
        </w:tc>
      </w:tr>
    </w:tbl>
    <w:p>
      <w:pPr>
        <w:spacing w:after="60"/>
      </w:pP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Methods</w:t>
      </w:r>
    </w:p>
    <w:p>
      <w:pPr>
        <w:pStyle w:val="Heading2"/>
        <w:keepNext/>
        <w:spacing w:after="80" w:before="200"/>
      </w:pPr>
      <w:r>
        <w:rPr>
          <w:rFonts w:ascii="Calibri" w:cs="Calibri" w:eastAsia="Calibri" w:hAnsi="Calibri"/>
          <w:b/>
          <w:bCs/>
          <w:color w:val="2E75B6"/>
          <w:sz w:val="24"/>
          <w:szCs w:val="24"/>
        </w:rPr>
        <w:t xml:space="preserve">4.1 Data pipeline</w:t>
      </w:r>
    </w:p>
    <w:p>
      <w:pPr>
        <w:spacing w:after="120" w:before="0" w:line="276"/>
        <w:jc w:val="both"/>
      </w:pPr>
      <w:r>
        <w:rPr>
          <w:rFonts w:ascii="Calibri" w:cs="Calibri" w:eastAsia="Calibri" w:hAnsi="Calibri"/>
          <w:sz w:val="21"/>
          <w:szCs w:val="21"/>
        </w:rPr>
        <w:t xml:space="preserve">The analysis followed the standard clinical programming flow shown in Figure 1. Each layer is stored as a permanent SAS library (SDTM, ADAM) so that every table can be traced back to the source record.</w:t>
      </w:r>
    </w:p>
    <w:p>
      <w:pPr>
        <w:keepNext/>
        <w:spacing w:after="50" w:before="100"/>
        <w:jc w:val="center"/>
      </w:pPr>
      <w:r>
        <w:drawing>
          <wp:inline distT="0" distB="0" distL="0" distR="0">
            <wp:extent cx="5334000" cy="2085975"/>
            <wp:effectExtent t="0" r="0" b="0" l="0"/>
            <wp:docPr id="1" name="Pipeline" descr="Figure 1. Programming workflow from raw data to Tables, Listings and Figures (TLF)."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85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Programming workflow from raw data to Tables, Listings and Figures (TLF).</w:t>
      </w:r>
    </w:p>
    <w:p>
      <w:pPr>
        <w:pStyle w:val="Heading2"/>
        <w:keepNext/>
        <w:spacing w:after="80" w:before="200"/>
      </w:pPr>
      <w:r>
        <w:rPr>
          <w:rFonts w:ascii="Calibri" w:cs="Calibri" w:eastAsia="Calibri" w:hAnsi="Calibri"/>
          <w:b/>
          <w:bCs/>
          <w:color w:val="2E75B6"/>
          <w:sz w:val="24"/>
          <w:szCs w:val="24"/>
        </w:rPr>
        <w:t xml:space="preserve">4.2 SDTM creation</w:t>
      </w:r>
    </w:p>
    <w:p>
      <w:pPr>
        <w:spacing w:after="120" w:before="0" w:line="276"/>
        <w:jc w:val="both"/>
      </w:pPr>
      <w:r>
        <w:rPr>
          <w:rFonts w:ascii="Calibri" w:cs="Calibri" w:eastAsia="Calibri" w:hAnsi="Calibri"/>
          <w:sz w:val="21"/>
          <w:szCs w:val="21"/>
        </w:rPr>
        <w:t xml:space="preserve">Raw CSV files were read with PROC IMPORT and checked with PROC CONTENTS. SDTM datasets were created in DATA steps: the unique subject identifier was derived as USUBJID = STUDYID–SUBJID; the two-letter DOMAIN variable was added; dates were stored as ISO 8601 character strings (variables ending in DTC); and the laboratory result was kept as the original character value (LBORRES) alongside a standardised numeric value (LBSTRESN) used for analysis.</w:t>
      </w:r>
    </w:p>
    <w:p>
      <w:pPr>
        <w:pStyle w:val="Heading2"/>
        <w:keepNext/>
        <w:spacing w:after="80" w:before="200"/>
      </w:pPr>
      <w:r>
        <w:rPr>
          <w:rFonts w:ascii="Calibri" w:cs="Calibri" w:eastAsia="Calibri" w:hAnsi="Calibri"/>
          <w:b/>
          <w:bCs/>
          <w:color w:val="2E75B6"/>
          <w:sz w:val="24"/>
          <w:szCs w:val="24"/>
        </w:rPr>
        <w:t xml:space="preserve">4.3 ADaM derivations</w:t>
      </w:r>
    </w:p>
    <w:p>
      <w:pPr>
        <w:spacing w:after="120" w:before="0" w:line="276"/>
        <w:jc w:val="both"/>
      </w:pPr>
      <w:r>
        <w:rPr>
          <w:rFonts w:ascii="Calibri" w:cs="Calibri" w:eastAsia="Calibri" w:hAnsi="Calibri"/>
          <w:b/>
          <w:bCs/>
          <w:sz w:val="21"/>
          <w:szCs w:val="21"/>
        </w:rPr>
        <w:t xml:space="preserve">ADSL</w:t>
      </w:r>
      <w:r>
        <w:rPr>
          <w:rFonts w:ascii="Calibri" w:cs="Calibri" w:eastAsia="Calibri" w:hAnsi="Calibri"/>
          <w:sz w:val="21"/>
          <w:szCs w:val="21"/>
        </w:rPr>
        <w:t xml:space="preserve"> (80 rows) was built by merging DM and EX by USUBJID. It carries the planned and actual treatment (TRT01P, TRT01A), numeric treatment dates (TRTSDT, TRTEDT), treatment duration, and the population flag SAFFL. </w:t>
      </w:r>
      <w:r>
        <w:rPr>
          <w:rFonts w:ascii="Calibri" w:cs="Calibri" w:eastAsia="Calibri" w:hAnsi="Calibri"/>
          <w:b/>
          <w:bCs/>
          <w:sz w:val="21"/>
          <w:szCs w:val="21"/>
        </w:rPr>
        <w:t xml:space="preserve">ADLB</w:t>
      </w:r>
      <w:r>
        <w:rPr>
          <w:rFonts w:ascii="Calibri" w:cs="Calibri" w:eastAsia="Calibri" w:hAnsi="Calibri"/>
          <w:sz w:val="21"/>
          <w:szCs w:val="21"/>
        </w:rPr>
        <w:t xml:space="preserve"> (394 rows) was built from LB for the glucose parameter and merged with each patient's baseline value and treatment. The analysis value, baseline value and change from baseline were derived as:</w:t>
      </w:r>
    </w:p>
    <w:p>
      <w:pPr>
        <w:spacing w:after="140" w:before="60"/>
        <w:jc w:val="center"/>
      </w:pPr>
      <w:r>
        <w:rPr>
          <w:rFonts w:ascii="Cambria Math" w:cs="Cambria Math" w:eastAsia="Cambria Math" w:hAnsi="Cambria Math"/>
          <w:i/>
          <w:iCs/>
          <w:sz w:val="22"/>
          <w:szCs w:val="22"/>
        </w:rPr>
        <w:t xml:space="preserve">CHG(i, v) = AVAL(i, v) − BASE(i),    PCHG(i, v) = 100 × CHG(i, v) / BASE(i)</w:t>
      </w:r>
    </w:p>
    <w:p>
      <w:pPr>
        <w:spacing w:after="120" w:before="0" w:line="276"/>
        <w:jc w:val="both"/>
      </w:pPr>
      <w:r>
        <w:rPr>
          <w:rFonts w:ascii="Calibri" w:cs="Calibri" w:eastAsia="Calibri" w:hAnsi="Calibri"/>
          <w:sz w:val="21"/>
          <w:szCs w:val="21"/>
        </w:rPr>
        <w:t xml:space="preserve">where i indexes the patient and v the post-baseline visit. BASE is the value at the Baseline visit (flagged ABLFL = “Y”). Change values were derived only for post-baseline visits with both values present.</w:t>
      </w:r>
    </w:p>
    <w:p>
      <w:pPr>
        <w:pStyle w:val="Heading2"/>
        <w:keepNext/>
        <w:spacing w:after="80" w:before="200"/>
      </w:pPr>
      <w:r>
        <w:rPr>
          <w:rFonts w:ascii="Calibri" w:cs="Calibri" w:eastAsia="Calibri" w:hAnsi="Calibri"/>
          <w:b/>
          <w:bCs/>
          <w:color w:val="2E75B6"/>
          <w:sz w:val="24"/>
          <w:szCs w:val="24"/>
        </w:rPr>
        <w:t xml:space="preserve">4.4 Statistical methods</w:t>
      </w:r>
    </w:p>
    <w:p>
      <w:pPr>
        <w:spacing w:after="120" w:before="0" w:line="276"/>
        <w:jc w:val="both"/>
      </w:pPr>
      <w:r>
        <w:rPr>
          <w:rFonts w:ascii="Calibri" w:cs="Calibri" w:eastAsia="Calibri" w:hAnsi="Calibri"/>
          <w:b/>
          <w:bCs/>
          <w:sz w:val="21"/>
          <w:szCs w:val="21"/>
        </w:rPr>
        <w:t xml:space="preserve">Descriptive statistics.</w:t>
      </w:r>
      <w:r>
        <w:rPr>
          <w:rFonts w:ascii="Calibri" w:cs="Calibri" w:eastAsia="Calibri" w:hAnsi="Calibri"/>
          <w:sz w:val="21"/>
          <w:szCs w:val="21"/>
        </w:rPr>
        <w:t xml:space="preserve"> Continuous variables were summarised by n, mean, SD, median, minimum and maximum (PROC MEANS); categorical variables by counts and column percentages (PROC FREQ).</w:t>
      </w:r>
    </w:p>
    <w:p>
      <w:pPr>
        <w:spacing w:after="120" w:before="0" w:line="276"/>
        <w:jc w:val="both"/>
      </w:pPr>
      <w:r>
        <w:rPr>
          <w:rFonts w:ascii="Calibri" w:cs="Calibri" w:eastAsia="Calibri" w:hAnsi="Calibri"/>
          <w:b/>
          <w:bCs/>
          <w:sz w:val="21"/>
          <w:szCs w:val="21"/>
        </w:rPr>
        <w:t xml:space="preserve">Two-sample t-test.</w:t>
      </w:r>
      <w:r>
        <w:rPr>
          <w:rFonts w:ascii="Calibri" w:cs="Calibri" w:eastAsia="Calibri" w:hAnsi="Calibri"/>
          <w:sz w:val="21"/>
          <w:szCs w:val="21"/>
        </w:rPr>
        <w:t xml:space="preserve"> Week 12 change was compared between arms with the pooled-variance Student t-test (PROC TTEST). With group means M₁ and M₂, SDs s₁ and s₂ and sample sizes n₁ and n₂:</w:t>
      </w:r>
    </w:p>
    <w:p>
      <w:pPr>
        <w:spacing w:after="140" w:before="60"/>
        <w:jc w:val="center"/>
      </w:pPr>
      <w:r>
        <w:rPr>
          <w:rFonts w:ascii="Cambria Math" w:cs="Cambria Math" w:eastAsia="Cambria Math" w:hAnsi="Cambria Math"/>
          <w:i/>
          <w:iCs/>
          <w:sz w:val="22"/>
          <w:szCs w:val="22"/>
        </w:rPr>
        <w:t xml:space="preserve">t = (M₁ − M₂) / ( s_p · √(1/n₁ + 1/n₂) ),    s_p² = [ (n₁−1)s₁² + (n₂−1)s₂² ] / (n₁ + n₂ − 2)</w:t>
      </w:r>
    </w:p>
    <w:p>
      <w:pPr>
        <w:spacing w:after="120" w:before="0" w:line="276"/>
        <w:jc w:val="both"/>
      </w:pPr>
      <w:r>
        <w:rPr>
          <w:rFonts w:ascii="Calibri" w:cs="Calibri" w:eastAsia="Calibri" w:hAnsi="Calibri"/>
          <w:sz w:val="21"/>
          <w:szCs w:val="21"/>
        </w:rPr>
        <w:t xml:space="preserve">with n₁ + n₂ − 2 degrees of freedom. The folded-F test assessed equality of variances, and the Satterthwaite t-test was reported as a sensitivity check.</w:t>
      </w:r>
    </w:p>
    <w:p>
      <w:pPr>
        <w:spacing w:after="120" w:before="0" w:line="276"/>
        <w:jc w:val="both"/>
      </w:pPr>
      <w:r>
        <w:rPr>
          <w:rFonts w:ascii="Calibri" w:cs="Calibri" w:eastAsia="Calibri" w:hAnsi="Calibri"/>
          <w:b/>
          <w:bCs/>
          <w:sz w:val="21"/>
          <w:szCs w:val="21"/>
        </w:rPr>
        <w:t xml:space="preserve">Analysis of covariance (ANCOVA).</w:t>
      </w:r>
      <w:r>
        <w:rPr>
          <w:rFonts w:ascii="Calibri" w:cs="Calibri" w:eastAsia="Calibri" w:hAnsi="Calibri"/>
          <w:sz w:val="21"/>
          <w:szCs w:val="21"/>
        </w:rPr>
        <w:t xml:space="preserve"> The primary model regressed Week 12 change on treatment and baseline glucose (PROC GLM):</w:t>
      </w:r>
    </w:p>
    <w:p>
      <w:pPr>
        <w:spacing w:after="140" w:before="60"/>
        <w:jc w:val="center"/>
      </w:pPr>
      <w:r>
        <w:rPr>
          <w:rFonts w:ascii="Cambria Math" w:cs="Cambria Math" w:eastAsia="Cambria Math" w:hAnsi="Cambria Math"/>
          <w:i/>
          <w:iCs/>
          <w:sz w:val="22"/>
          <w:szCs w:val="22"/>
        </w:rPr>
        <w:t xml:space="preserve">CHG(i) = β₀ + β₁ · TRT(i) + β₂ · BASE(i) + ε(i),    ε(i) ~ N(0, σ²)</w:t>
      </w:r>
    </w:p>
    <w:p>
      <w:pPr>
        <w:spacing w:after="120" w:before="0" w:line="276"/>
        <w:jc w:val="both"/>
      </w:pPr>
      <w:r>
        <w:rPr>
          <w:rFonts w:ascii="Calibri" w:cs="Calibri" w:eastAsia="Calibri" w:hAnsi="Calibri"/>
          <w:sz w:val="21"/>
          <w:szCs w:val="21"/>
        </w:rPr>
        <w:t xml:space="preserve">β₁ is the treatment effect adjusted for baseline. Adjusted means (least-squares means) were evaluated at the average baseline glucose of 165.8 mg/dL, with 95% confidence limits for each mean and for their difference. Adjusting for baseline accounts for chance imbalance between arms and typically improves precision, which is why ANCOVA is the standard primary analysis for change-from-baseline endpoints.</w:t>
      </w:r>
    </w:p>
    <w:p>
      <w:pPr>
        <w:spacing w:after="120" w:before="0" w:line="276"/>
        <w:jc w:val="both"/>
      </w:pPr>
      <w:r>
        <w:rPr>
          <w:rFonts w:ascii="Calibri" w:cs="Calibri" w:eastAsia="Calibri" w:hAnsi="Calibri"/>
          <w:b/>
          <w:bCs/>
          <w:sz w:val="21"/>
          <w:szCs w:val="21"/>
        </w:rPr>
        <w:t xml:space="preserve">Assumption checks and effect size.</w:t>
      </w:r>
      <w:r>
        <w:rPr>
          <w:rFonts w:ascii="Calibri" w:cs="Calibri" w:eastAsia="Calibri" w:hAnsi="Calibri"/>
          <w:sz w:val="21"/>
          <w:szCs w:val="21"/>
        </w:rPr>
        <w:t xml:space="preserve"> Normality of residuals was examined with a normal Q–Q plot and the Shapiro–Wilk test; homogeneity of variance with the folded-F test and Levene's test; and parallel slopes with a treatment × baseline interaction term. The standardised effect size was Cohen's d = (M₁ − M₂) / s_p.</w:t>
      </w:r>
    </w:p>
    <w:p>
      <w:pPr>
        <w:spacing w:after="120" w:before="0" w:line="276"/>
        <w:jc w:val="both"/>
      </w:pPr>
      <w:r>
        <w:rPr>
          <w:rFonts w:ascii="Calibri" w:cs="Calibri" w:eastAsia="Calibri" w:hAnsi="Calibri"/>
          <w:b/>
          <w:bCs/>
          <w:sz w:val="21"/>
          <w:szCs w:val="21"/>
        </w:rPr>
        <w:t xml:space="preserve">Analysis set and missing data.</w:t>
      </w:r>
      <w:r>
        <w:rPr>
          <w:rFonts w:ascii="Calibri" w:cs="Calibri" w:eastAsia="Calibri" w:hAnsi="Calibri"/>
          <w:sz w:val="21"/>
          <w:szCs w:val="21"/>
        </w:rPr>
        <w:t xml:space="preserve"> The Week 12 analysis used all patients with an observed Week 12 value (n = 74). No imputation was applied; the implications are discussed in Section 6.</w:t>
      </w:r>
    </w:p>
    <w:p>
      <w:pPr>
        <w:pStyle w:val="Heading2"/>
        <w:keepNext/>
        <w:spacing w:after="80" w:before="200"/>
      </w:pPr>
      <w:r>
        <w:rPr>
          <w:rFonts w:ascii="Calibri" w:cs="Calibri" w:eastAsia="Calibri" w:hAnsi="Calibri"/>
          <w:b/>
          <w:bCs/>
          <w:color w:val="2E75B6"/>
          <w:sz w:val="24"/>
          <w:szCs w:val="24"/>
        </w:rPr>
        <w:t xml:space="preserve">4.5 Software</w:t>
      </w:r>
    </w:p>
    <w:p>
      <w:pPr>
        <w:keepNext/>
        <w:spacing w:after="70" w:before="140"/>
        <w:jc w:val="center"/>
      </w:pPr>
      <w:r>
        <w:rPr>
          <w:rFonts w:ascii="Calibri" w:cs="Calibri" w:eastAsia="Calibri" w:hAnsi="Calibri"/>
          <w:b/>
          <w:bCs/>
          <w:color w:val="1F4E79"/>
          <w:sz w:val="19"/>
          <w:szCs w:val="19"/>
        </w:rPr>
        <w:t xml:space="preserve">Table 4. SAS procedures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126"/>
        <w:gridCol w:w="260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Task</w:t>
            </w:r>
          </w:p>
        </w:tc>
        <w:tc>
          <w:tcPr>
            <w:tcW w:type="dxa" w:w="41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SAS procedure / statement</w:t>
            </w:r>
          </w:p>
        </w:tc>
        <w:tc>
          <w:tcPr>
            <w:tcW w:type="dxa" w:w="26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Output</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Import and inspect</w:t>
            </w:r>
          </w:p>
        </w:tc>
        <w:tc>
          <w:tcPr>
            <w:tcW w:type="dxa" w:w="41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PROC IMPORT, PROC CONTENTS, PROC PRINT</w:t>
            </w:r>
          </w:p>
        </w:tc>
        <w:tc>
          <w:tcPr>
            <w:tcW w:type="dxa" w:w="2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Work datasets, metadata</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Dataset construction</w:t>
            </w:r>
          </w:p>
        </w:tc>
        <w:tc>
          <w:tcPr>
            <w:tcW w:type="dxa" w:w="41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DATA step, PROC SORT, MERGE, SELECT</w:t>
            </w:r>
          </w:p>
        </w:tc>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SDTM and ADaM datasets</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Descriptive tables</w:t>
            </w:r>
          </w:p>
        </w:tc>
        <w:tc>
          <w:tcPr>
            <w:tcW w:type="dxa" w:w="41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PROC MEANS, PROC FREQ</w:t>
            </w:r>
          </w:p>
        </w:tc>
        <w:tc>
          <w:tcPr>
            <w:tcW w:type="dxa" w:w="2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Tables 5–6</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Hypothesis testing</w:t>
            </w:r>
          </w:p>
        </w:tc>
        <w:tc>
          <w:tcPr>
            <w:tcW w:type="dxa" w:w="41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PROC TTEST, PROC GLM (LSMEANS)</w:t>
            </w:r>
          </w:p>
        </w:tc>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Tables 8–11</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Reporting</w:t>
            </w:r>
          </w:p>
        </w:tc>
        <w:tc>
          <w:tcPr>
            <w:tcW w:type="dxa" w:w="41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ODS RTF, PROC PRINT, PROC EXPORT</w:t>
            </w:r>
          </w:p>
        </w:tc>
        <w:tc>
          <w:tcPr>
            <w:tcW w:type="dxa" w:w="2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RTF table, CSV listing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Graphics</w:t>
            </w:r>
          </w:p>
        </w:tc>
        <w:tc>
          <w:tcPr>
            <w:tcW w:type="dxa" w:w="41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PROC SGPLOT</w:t>
            </w:r>
          </w:p>
        </w:tc>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Mean change by visit figure</w:t>
            </w:r>
          </w:p>
        </w:tc>
      </w:tr>
    </w:tbl>
    <w:p>
      <w:pPr>
        <w:spacing w:after="160" w:before="50"/>
        <w:jc w:val="left"/>
      </w:pPr>
      <w:r>
        <w:rPr>
          <w:rFonts w:ascii="Calibri" w:cs="Calibri" w:eastAsia="Calibri" w:hAnsi="Calibri"/>
          <w:i/>
          <w:iCs/>
          <w:color w:val="595959"/>
          <w:sz w:val="17"/>
          <w:szCs w:val="17"/>
        </w:rPr>
        <w:t xml:space="preserve">Programs were run in SAS 9.4 (SAS OnDemand for Academics). Additional report graphics were drawn from the ADLB data.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Results</w:t>
      </w:r>
    </w:p>
    <w:p>
      <w:pPr>
        <w:pStyle w:val="Heading2"/>
        <w:keepNext/>
        <w:spacing w:after="80" w:before="200"/>
      </w:pPr>
      <w:r>
        <w:rPr>
          <w:rFonts w:ascii="Calibri" w:cs="Calibri" w:eastAsia="Calibri" w:hAnsi="Calibri"/>
          <w:b/>
          <w:bCs/>
          <w:color w:val="2E75B6"/>
          <w:sz w:val="24"/>
          <w:szCs w:val="24"/>
        </w:rPr>
        <w:t xml:space="preserve">5.1 Disposition and baseline characteristics</w:t>
      </w:r>
    </w:p>
    <w:p>
      <w:pPr>
        <w:spacing w:after="120" w:before="0" w:line="276"/>
        <w:jc w:val="both"/>
      </w:pPr>
      <w:r>
        <w:rPr>
          <w:rFonts w:ascii="Calibri" w:cs="Calibri" w:eastAsia="Calibri" w:hAnsi="Calibri"/>
          <w:sz w:val="21"/>
          <w:szCs w:val="21"/>
        </w:rPr>
        <w:t xml:space="preserve">All 80 patients were treated (40 per arm). Seventy-four (92.5%) provided a Week 12 glucose value: 35 of 40 on Drug X (87.5%) and 39 of 40 on placebo (97.5%). The arms were well balanced on age, sex and race (Table 5), and baseline glucose was almost identical (166.4 versus 165.2 mg/dL), so any difference in outcome is unlikely to reflect baseline imbalance.</w:t>
      </w:r>
    </w:p>
    <w:p>
      <w:pPr>
        <w:keepNext/>
        <w:spacing w:after="70" w:before="140"/>
        <w:jc w:val="center"/>
      </w:pPr>
      <w:r>
        <w:rPr>
          <w:rFonts w:ascii="Calibri" w:cs="Calibri" w:eastAsia="Calibri" w:hAnsi="Calibri"/>
          <w:b/>
          <w:bCs/>
          <w:color w:val="1F4E79"/>
          <w:sz w:val="19"/>
          <w:szCs w:val="19"/>
        </w:rPr>
        <w:t xml:space="preserve">Table 5. Demographics and baseline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900"/>
        <w:gridCol w:w="1900"/>
        <w:gridCol w:w="1800"/>
      </w:tblGrid>
      <w:tr>
        <w:trPr>
          <w:cantSplit/>
          <w:tblHeader/>
        </w:trPr>
        <w:tc>
          <w:tcPr>
            <w:tcW w:type="dxa" w:w="34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Characteristic</w:t>
            </w:r>
          </w:p>
        </w:tc>
        <w:tc>
          <w:tcPr>
            <w:tcW w:type="dxa" w:w="1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Drug X (n = 40)</w:t>
            </w:r>
          </w:p>
        </w:tc>
        <w:tc>
          <w:tcPr>
            <w:tcW w:type="dxa" w:w="1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Placebo (n = 40)</w:t>
            </w:r>
          </w:p>
        </w:tc>
        <w:tc>
          <w:tcPr>
            <w:tcW w:type="dxa" w:w="18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Total (n = 80)</w:t>
            </w:r>
          </w:p>
        </w:tc>
      </w:tr>
      <w:tr>
        <w:trPr>
          <w:cantSplit/>
        </w:trPr>
        <w:tc>
          <w:tcPr>
            <w:tcW w:type="dxa" w:w="3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Age (years), mean (SD)</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55.7 (9.3)</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53.5 (11.3)</w:t>
            </w:r>
          </w:p>
        </w:tc>
        <w:tc>
          <w:tcPr>
            <w:tcW w:type="dxa" w:w="1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54.6</w:t>
            </w:r>
          </w:p>
        </w:tc>
      </w:tr>
      <w:tr>
        <w:trPr>
          <w:cantSplit/>
        </w:trPr>
        <w:tc>
          <w:tcPr>
            <w:tcW w:type="dxa" w:w="3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Age range (years)</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33 – 75</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32 – 75</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32 – 75</w:t>
            </w:r>
          </w:p>
        </w:tc>
      </w:tr>
      <w:tr>
        <w:trPr>
          <w:cantSplit/>
        </w:trPr>
        <w:tc>
          <w:tcPr>
            <w:tcW w:type="dxa" w:w="3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Female, n (%)</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19 (47.5)</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 (45.0)</w:t>
            </w:r>
          </w:p>
        </w:tc>
        <w:tc>
          <w:tcPr>
            <w:tcW w:type="dxa" w:w="1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37 (46.3)</w:t>
            </w:r>
          </w:p>
        </w:tc>
      </w:tr>
      <w:tr>
        <w:trPr>
          <w:cantSplit/>
        </w:trPr>
        <w:tc>
          <w:tcPr>
            <w:tcW w:type="dxa" w:w="3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Male, n (%)</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21 (52.5)</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22 (55.0)</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43 (53.8)</w:t>
            </w:r>
          </w:p>
        </w:tc>
      </w:tr>
      <w:tr>
        <w:trPr>
          <w:cantSplit/>
        </w:trPr>
        <w:tc>
          <w:tcPr>
            <w:tcW w:type="dxa" w:w="3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Asian, n (%)</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 (45.0)</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 (45.0)</w:t>
            </w:r>
          </w:p>
        </w:tc>
        <w:tc>
          <w:tcPr>
            <w:tcW w:type="dxa" w:w="1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36 (45.0)</w:t>
            </w:r>
          </w:p>
        </w:tc>
      </w:tr>
      <w:tr>
        <w:trPr>
          <w:cantSplit/>
        </w:trPr>
        <w:tc>
          <w:tcPr>
            <w:tcW w:type="dxa" w:w="3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Black or African American, n (%)</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 (17.5)</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6 (15.0)</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13 (16.3)</w:t>
            </w:r>
          </w:p>
        </w:tc>
      </w:tr>
      <w:tr>
        <w:trPr>
          <w:cantSplit/>
        </w:trPr>
        <w:tc>
          <w:tcPr>
            <w:tcW w:type="dxa" w:w="3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White, n (%)</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15 (37.5)</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 (40.0)</w:t>
            </w:r>
          </w:p>
        </w:tc>
        <w:tc>
          <w:tcPr>
            <w:tcW w:type="dxa" w:w="1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31 (38.8)</w:t>
            </w:r>
          </w:p>
        </w:tc>
      </w:tr>
      <w:tr>
        <w:trPr>
          <w:cantSplit/>
        </w:trPr>
        <w:tc>
          <w:tcPr>
            <w:tcW w:type="dxa" w:w="3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Completed Week 12, n (%)</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35 (87.5)</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39 (97.5)</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74 (92.5)</w:t>
            </w:r>
          </w:p>
        </w:tc>
      </w:tr>
    </w:tbl>
    <w:p>
      <w:pPr>
        <w:spacing w:after="60"/>
      </w:pPr>
    </w:p>
    <w:p>
      <w:pPr>
        <w:pStyle w:val="Heading2"/>
        <w:keepNext/>
        <w:spacing w:after="80" w:before="200"/>
      </w:pPr>
      <w:r>
        <w:rPr>
          <w:rFonts w:ascii="Calibri" w:cs="Calibri" w:eastAsia="Calibri" w:hAnsi="Calibri"/>
          <w:b/>
          <w:bCs/>
          <w:color w:val="2E75B6"/>
          <w:sz w:val="24"/>
          <w:szCs w:val="24"/>
        </w:rPr>
        <w:t xml:space="preserve">5.2 Week 12 descriptive results</w:t>
      </w:r>
    </w:p>
    <w:p>
      <w:pPr>
        <w:spacing w:after="120" w:before="0" w:line="276"/>
        <w:jc w:val="both"/>
      </w:pPr>
      <w:r>
        <w:rPr>
          <w:rFonts w:ascii="Calibri" w:cs="Calibri" w:eastAsia="Calibri" w:hAnsi="Calibri"/>
          <w:sz w:val="21"/>
          <w:szCs w:val="21"/>
        </w:rPr>
        <w:t xml:space="preserve">Table 6 shows glucose at baseline and Week 12 with the derived change. Drug X patients fell from a mean of 166.4 to 135.2 mg/dL, while placebo patients moved only from 165.2 to 157.4 mg/dL. Every Drug X patient had a lower glucose at Week 12 than at baseline (maximum change −12.5 mg/dL), whereas placebo changes ranged from −33.8 to +8.9 mg/dL.</w:t>
      </w:r>
    </w:p>
    <w:p>
      <w:pPr>
        <w:keepNext/>
        <w:spacing w:after="70" w:before="140"/>
        <w:jc w:val="center"/>
      </w:pPr>
      <w:r>
        <w:rPr>
          <w:rFonts w:ascii="Calibri" w:cs="Calibri" w:eastAsia="Calibri" w:hAnsi="Calibri"/>
          <w:b/>
          <w:bCs/>
          <w:color w:val="1F4E79"/>
          <w:sz w:val="19"/>
          <w:szCs w:val="19"/>
        </w:rPr>
        <w:t xml:space="preserve">Table 6. Fasting glucose (mg/dL) at baseline and Week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700"/>
        <w:gridCol w:w="1100"/>
        <w:gridCol w:w="1000"/>
        <w:gridCol w:w="1200"/>
        <w:gridCol w:w="1000"/>
        <w:gridCol w:w="112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Treatment</w:t>
            </w:r>
          </w:p>
        </w:tc>
        <w:tc>
          <w:tcPr>
            <w:tcW w:type="dxa" w:w="15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Variable</w:t>
            </w:r>
          </w:p>
        </w:tc>
        <w:tc>
          <w:tcPr>
            <w:tcW w:type="dxa" w:w="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n</w:t>
            </w:r>
          </w:p>
        </w:tc>
        <w:tc>
          <w:tcPr>
            <w:tcW w:type="dxa" w:w="1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Mean</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SD</w:t>
            </w:r>
          </w:p>
        </w:tc>
        <w:tc>
          <w:tcPr>
            <w:tcW w:type="dxa" w:w="12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Median</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Min</w:t>
            </w:r>
          </w:p>
        </w:tc>
        <w:tc>
          <w:tcPr>
            <w:tcW w:type="dxa" w:w="11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Max</w:t>
            </w:r>
          </w:p>
        </w:tc>
      </w:tr>
      <w:tr>
        <w:trPr>
          <w:cantSplit/>
        </w:trPr>
        <w:tc>
          <w:tcPr>
            <w:tcW w:type="dxa" w:w="14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b/>
                <w:bCs/>
                <w:sz w:val="19"/>
                <w:szCs w:val="19"/>
              </w:rPr>
              <w:t xml:space="preserve">Drug X</w:t>
            </w:r>
          </w:p>
        </w:tc>
        <w:tc>
          <w:tcPr>
            <w:tcW w:type="dxa" w:w="15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Baseline</w:t>
            </w:r>
          </w:p>
        </w:tc>
        <w:tc>
          <w:tcPr>
            <w:tcW w:type="dxa" w:w="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166.4</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19.3</w:t>
            </w:r>
          </w:p>
        </w:tc>
        <w:tc>
          <w:tcPr>
            <w:tcW w:type="dxa" w:w="12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167.0</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123.3</w:t>
            </w:r>
          </w:p>
        </w:tc>
        <w:tc>
          <w:tcPr>
            <w:tcW w:type="dxa" w:w="11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202.0</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Week 12</w:t>
            </w:r>
          </w:p>
        </w:tc>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35</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135.2</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21.5</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135.4</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99.0</w:t>
            </w:r>
          </w:p>
        </w:tc>
        <w:tc>
          <w:tcPr>
            <w:tcW w:type="dxa" w:w="11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177.1</w:t>
            </w:r>
          </w:p>
        </w:tc>
      </w:tr>
      <w:tr>
        <w:trPr>
          <w:cantSplit/>
        </w:trPr>
        <w:tc>
          <w:tcPr>
            <w:tcW w:type="dxa" w:w="14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Change</w:t>
            </w:r>
          </w:p>
        </w:tc>
        <w:tc>
          <w:tcPr>
            <w:tcW w:type="dxa" w:w="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35</w:t>
            </w:r>
          </w:p>
        </w:tc>
        <w:tc>
          <w:tcPr>
            <w:tcW w:type="dxa" w:w="11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−31.2</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9.7</w:t>
            </w:r>
          </w:p>
        </w:tc>
        <w:tc>
          <w:tcPr>
            <w:tcW w:type="dxa" w:w="12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−30.9</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−51.3</w:t>
            </w:r>
          </w:p>
        </w:tc>
        <w:tc>
          <w:tcPr>
            <w:tcW w:type="dxa" w:w="112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−12.5</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b/>
                <w:bCs/>
                <w:sz w:val="19"/>
                <w:szCs w:val="19"/>
              </w:rPr>
              <w:t xml:space="preserve">Placebo</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Baseline</w:t>
            </w:r>
          </w:p>
        </w:tc>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39</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165.2</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18.0</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169.5</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130.5</w:t>
            </w:r>
          </w:p>
        </w:tc>
        <w:tc>
          <w:tcPr>
            <w:tcW w:type="dxa" w:w="11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198.2</w:t>
            </w:r>
          </w:p>
        </w:tc>
      </w:tr>
      <w:tr>
        <w:trPr>
          <w:cantSplit/>
        </w:trPr>
        <w:tc>
          <w:tcPr>
            <w:tcW w:type="dxa" w:w="14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p>
        </w:tc>
        <w:tc>
          <w:tcPr>
            <w:tcW w:type="dxa" w:w="15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Week 12</w:t>
            </w:r>
          </w:p>
        </w:tc>
        <w:tc>
          <w:tcPr>
            <w:tcW w:type="dxa" w:w="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157.4</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20.5</w:t>
            </w:r>
          </w:p>
        </w:tc>
        <w:tc>
          <w:tcPr>
            <w:tcW w:type="dxa" w:w="12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158.3</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106.3</w:t>
            </w:r>
          </w:p>
        </w:tc>
        <w:tc>
          <w:tcPr>
            <w:tcW w:type="dxa" w:w="11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200.1</w:t>
            </w:r>
          </w:p>
        </w:tc>
      </w:tr>
      <w:tr>
        <w:trPr>
          <w:cantSplit/>
        </w:trPr>
        <w:tc>
          <w:tcPr>
            <w:tcW w:type="dxa" w:w="14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Change</w:t>
            </w:r>
          </w:p>
        </w:tc>
        <w:tc>
          <w:tcPr>
            <w:tcW w:type="dxa" w:w="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39</w:t>
            </w:r>
          </w:p>
        </w:tc>
        <w:tc>
          <w:tcPr>
            <w:tcW w:type="dxa" w:w="11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−7.9</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11.4</w:t>
            </w:r>
          </w:p>
        </w:tc>
        <w:tc>
          <w:tcPr>
            <w:tcW w:type="dxa" w:w="12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−6.5</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−33.8</w:t>
            </w:r>
          </w:p>
        </w:tc>
        <w:tc>
          <w:tcPr>
            <w:tcW w:type="dxa" w:w="112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b w:val="false"/>
                <w:bCs w:val="false"/>
                <w:sz w:val="19"/>
                <w:szCs w:val="19"/>
              </w:rPr>
              <w:t xml:space="preserve">8.9</w:t>
            </w:r>
          </w:p>
        </w:tc>
      </w:tr>
    </w:tbl>
    <w:p>
      <w:pPr>
        <w:spacing w:after="60"/>
      </w:pPr>
    </w:p>
    <w:p>
      <w:pPr>
        <w:pStyle w:val="Heading2"/>
        <w:keepNext/>
        <w:spacing w:after="80" w:before="200"/>
      </w:pPr>
      <w:r>
        <w:rPr>
          <w:rFonts w:ascii="Calibri" w:cs="Calibri" w:eastAsia="Calibri" w:hAnsi="Calibri"/>
          <w:b/>
          <w:bCs/>
          <w:color w:val="2E75B6"/>
          <w:sz w:val="24"/>
          <w:szCs w:val="24"/>
        </w:rPr>
        <w:t xml:space="preserve">5.3 Response over time</w:t>
      </w:r>
    </w:p>
    <w:p>
      <w:pPr>
        <w:spacing w:after="120" w:before="0" w:line="276"/>
        <w:jc w:val="both"/>
      </w:pPr>
      <w:r>
        <w:rPr>
          <w:rFonts w:ascii="Calibri" w:cs="Calibri" w:eastAsia="Calibri" w:hAnsi="Calibri"/>
          <w:sz w:val="21"/>
          <w:szCs w:val="21"/>
        </w:rPr>
        <w:t xml:space="preserve">The separation between arms emerged by Week 4 and widened at each visit (Figure 2, Table 7). At Week 4 the mean change was −14.2 mg/dL on Drug X versus −2.7 mg/dL on placebo; by Week 12 it was −31.2 versus −7.9 mg/dL. The error bars (±1 SE) do not overlap at any visit. Individual patient profiles (Figure 3) show a consistent downward trend on Drug X and a flat, noisy pattern on placebo.</w:t>
      </w:r>
    </w:p>
    <w:p>
      <w:pPr>
        <w:keepNext/>
        <w:spacing w:after="50" w:before="100"/>
        <w:jc w:val="center"/>
      </w:pPr>
      <w:r>
        <w:drawing>
          <wp:inline distT="0" distB="0" distL="0" distR="0">
            <wp:extent cx="4476750" cy="2476500"/>
            <wp:effectExtent t="0" r="0" b="0" l="0"/>
            <wp:docPr id="1" name="Mean change by visit" descr="Figure 2. Mean change from baseline in fasting glucose by visit (mean ± 1 SE)." title="Mean change by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765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Mean change from baseline in fasting glucose by visit (mean ± 1 SE).</w:t>
      </w:r>
    </w:p>
    <w:p>
      <w:pPr>
        <w:keepNext/>
        <w:spacing w:after="70" w:before="140"/>
        <w:jc w:val="center"/>
      </w:pPr>
      <w:r>
        <w:rPr>
          <w:rFonts w:ascii="Calibri" w:cs="Calibri" w:eastAsia="Calibri" w:hAnsi="Calibri"/>
          <w:b/>
          <w:bCs/>
          <w:color w:val="1F4E79"/>
          <w:sz w:val="19"/>
          <w:szCs w:val="19"/>
        </w:rPr>
        <w:t xml:space="preserve">Table 7. Change from baseline by visit (mg/dL)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700"/>
        <w:gridCol w:w="1100"/>
        <w:gridCol w:w="1000"/>
        <w:gridCol w:w="1900"/>
        <w:gridCol w:w="1226"/>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Visit</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Drug X n</w:t>
            </w:r>
          </w:p>
        </w:tc>
        <w:tc>
          <w:tcPr>
            <w:tcW w:type="dxa" w:w="1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Drug X mean (SD)</w:t>
            </w:r>
          </w:p>
        </w:tc>
        <w:tc>
          <w:tcPr>
            <w:tcW w:type="dxa" w:w="1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Drug X SE</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Placebo n</w:t>
            </w:r>
          </w:p>
        </w:tc>
        <w:tc>
          <w:tcPr>
            <w:tcW w:type="dxa" w:w="1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Placebo mean (SD)</w:t>
            </w:r>
          </w:p>
        </w:tc>
        <w:tc>
          <w:tcPr>
            <w:tcW w:type="dxa" w:w="12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Placebo SE</w:t>
            </w:r>
          </w:p>
        </w:tc>
      </w:tr>
      <w:tr>
        <w:trPr>
          <w:cantSplit/>
        </w:trPr>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Week 4</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40</w:t>
            </w:r>
          </w:p>
        </w:tc>
        <w:tc>
          <w:tcPr>
            <w:tcW w:type="dxa" w:w="1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−14.2 (10.4)</w:t>
            </w:r>
          </w:p>
        </w:tc>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1.64</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40</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−2.7 (8.8)</w:t>
            </w:r>
          </w:p>
        </w:tc>
        <w:tc>
          <w:tcPr>
            <w:tcW w:type="dxa" w:w="1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1.39</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Week 8</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40</w:t>
            </w:r>
          </w:p>
        </w:tc>
        <w:tc>
          <w:tcPr>
            <w:tcW w:type="dxa" w:w="1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−24.4 (12.1)</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1.91</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40</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−2.9 (12.7)</w:t>
            </w:r>
          </w:p>
        </w:tc>
        <w:tc>
          <w:tcPr>
            <w:tcW w:type="dxa" w:w="12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2.00</w:t>
            </w:r>
          </w:p>
        </w:tc>
      </w:tr>
      <w:tr>
        <w:trPr>
          <w:cantSplit/>
        </w:trPr>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Week 12</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35</w:t>
            </w:r>
          </w:p>
        </w:tc>
        <w:tc>
          <w:tcPr>
            <w:tcW w:type="dxa" w:w="1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−31.2 (9.7)</w:t>
            </w:r>
          </w:p>
        </w:tc>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1.64</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39</w:t>
            </w:r>
          </w:p>
        </w:tc>
        <w:tc>
          <w:tcPr>
            <w:tcW w:type="dxa" w:w="1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−7.9 (11.4)</w:t>
            </w:r>
          </w:p>
        </w:tc>
        <w:tc>
          <w:tcPr>
            <w:tcW w:type="dxa" w:w="12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1.83</w:t>
            </w:r>
          </w:p>
        </w:tc>
      </w:tr>
    </w:tbl>
    <w:p>
      <w:pPr>
        <w:spacing w:after="100"/>
      </w:pPr>
    </w:p>
    <w:p>
      <w:pPr>
        <w:keepNext/>
        <w:spacing w:after="50" w:before="100"/>
        <w:jc w:val="center"/>
      </w:pPr>
      <w:r>
        <w:drawing>
          <wp:inline distT="0" distB="0" distL="0" distR="0">
            <wp:extent cx="5143500" cy="2238375"/>
            <wp:effectExtent t="0" r="0" b="0" l="0"/>
            <wp:docPr id="1" name="Individual profiles" descr="Figure 3. Individual fasting glucose profiles (thin lines) and arm means (bold lines)." title="Individual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38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Individual fasting glucose profiles (thin lines) and arm means (bold lines).</w:t>
      </w:r>
    </w:p>
    <w:p>
      <w:pPr>
        <w:pStyle w:val="Heading2"/>
        <w:keepNext/>
        <w:spacing w:after="80" w:before="200"/>
      </w:pPr>
      <w:r>
        <w:rPr>
          <w:rFonts w:ascii="Calibri" w:cs="Calibri" w:eastAsia="Calibri" w:hAnsi="Calibri"/>
          <w:b/>
          <w:bCs/>
          <w:color w:val="2E75B6"/>
          <w:sz w:val="24"/>
          <w:szCs w:val="24"/>
        </w:rPr>
        <w:t xml:space="preserve">5.4 Two-sample t-test</w:t>
      </w:r>
    </w:p>
    <w:p>
      <w:pPr>
        <w:spacing w:after="120" w:before="0" w:line="276"/>
        <w:jc w:val="both"/>
      </w:pPr>
      <w:r>
        <w:rPr>
          <w:rFonts w:ascii="Calibri" w:cs="Calibri" w:eastAsia="Calibri" w:hAnsi="Calibri"/>
          <w:sz w:val="21"/>
          <w:szCs w:val="21"/>
        </w:rPr>
        <w:t xml:space="preserve">The pooled t-test showed a highly significant difference in mean change between arms (Table 8). The estimated difference was −23.30 mg/dL (SE 2.48; 95% CI −28.23 to −18.36), t(72) = −9.41, p &lt; 0.0001. The Satterthwaite test, which does not assume equal variances, agreed (t = −9.49, df = 71.8, p &lt; 0.0001), and the folded-F test gave no evidence of unequal variances (F(38, 34) = 1.39, p = 0.33). Cohen's d was 2.19, a very large effect.</w:t>
      </w:r>
    </w:p>
    <w:p>
      <w:pPr>
        <w:keepNext/>
        <w:spacing w:after="70" w:before="140"/>
        <w:jc w:val="center"/>
      </w:pPr>
      <w:r>
        <w:rPr>
          <w:rFonts w:ascii="Calibri" w:cs="Calibri" w:eastAsia="Calibri" w:hAnsi="Calibri"/>
          <w:b/>
          <w:bCs/>
          <w:color w:val="1F4E79"/>
          <w:sz w:val="19"/>
          <w:szCs w:val="19"/>
        </w:rPr>
        <w:t xml:space="preserve">Table 8. Two-sample t-test on Week 12 change from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100"/>
        <w:gridCol w:w="1000"/>
        <w:gridCol w:w="900"/>
        <w:gridCol w:w="2626"/>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Group / contrast</w:t>
            </w:r>
          </w:p>
        </w:tc>
        <w:tc>
          <w:tcPr>
            <w:tcW w:type="dxa" w:w="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n</w:t>
            </w:r>
          </w:p>
        </w:tc>
        <w:tc>
          <w:tcPr>
            <w:tcW w:type="dxa" w:w="1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Mean</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SD</w:t>
            </w:r>
          </w:p>
        </w:tc>
        <w:tc>
          <w:tcPr>
            <w:tcW w:type="dxa" w:w="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SE</w:t>
            </w:r>
          </w:p>
        </w:tc>
        <w:tc>
          <w:tcPr>
            <w:tcW w:type="dxa" w:w="26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95% CI for mean</w:t>
            </w:r>
          </w:p>
        </w:tc>
      </w:tr>
      <w:tr>
        <w:trPr>
          <w:cantSplit/>
        </w:trPr>
        <w:tc>
          <w:tcPr>
            <w:tcW w:type="dxa" w:w="2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Drug X</w:t>
            </w:r>
          </w:p>
        </w:tc>
        <w:tc>
          <w:tcPr>
            <w:tcW w:type="dxa" w:w="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−31.17</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9.68</w:t>
            </w:r>
          </w:p>
        </w:tc>
        <w:tc>
          <w:tcPr>
            <w:tcW w:type="dxa" w:w="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1.64</w:t>
            </w:r>
          </w:p>
        </w:tc>
        <w:tc>
          <w:tcPr>
            <w:tcW w:type="dxa" w:w="26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(−34.49, −27.84)</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Placebo</w:t>
            </w:r>
          </w:p>
        </w:tc>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39</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−7.87</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11.42</w:t>
            </w:r>
          </w:p>
        </w:tc>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1.83</w:t>
            </w:r>
          </w:p>
        </w:tc>
        <w:tc>
          <w:tcPr>
            <w:tcW w:type="dxa" w:w="26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(−11.57, −4.17)</w:t>
            </w:r>
          </w:p>
        </w:tc>
      </w:tr>
      <w:tr>
        <w:trPr>
          <w:cantSplit/>
        </w:trPr>
        <w:tc>
          <w:tcPr>
            <w:tcW w:type="dxa" w:w="2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Difference (pooled)</w:t>
            </w:r>
          </w:p>
        </w:tc>
        <w:tc>
          <w:tcPr>
            <w:tcW w:type="dxa" w:w="7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−23.30</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10.64</w:t>
            </w:r>
          </w:p>
        </w:tc>
        <w:tc>
          <w:tcPr>
            <w:tcW w:type="dxa" w:w="9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2.48</w:t>
            </w:r>
          </w:p>
        </w:tc>
        <w:tc>
          <w:tcPr>
            <w:tcW w:type="dxa" w:w="262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(−28.23, −18.36)</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Difference (Satterthwaite)</w:t>
            </w:r>
          </w:p>
        </w:tc>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−23.30</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2.45</w:t>
            </w:r>
          </w:p>
        </w:tc>
        <w:tc>
          <w:tcPr>
            <w:tcW w:type="dxa" w:w="26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(−28.19, −18.40)</w:t>
            </w:r>
          </w:p>
        </w:tc>
      </w:tr>
    </w:tbl>
    <w:p>
      <w:pPr>
        <w:spacing w:after="160" w:before="50"/>
        <w:jc w:val="left"/>
      </w:pPr>
      <w:r>
        <w:rPr>
          <w:rFonts w:ascii="Calibri" w:cs="Calibri" w:eastAsia="Calibri" w:hAnsi="Calibri"/>
          <w:i/>
          <w:iCs/>
          <w:color w:val="595959"/>
          <w:sz w:val="17"/>
          <w:szCs w:val="17"/>
        </w:rPr>
        <w:t xml:space="preserve">Pooled: t = −9.41, df = 72, p &lt; 0.0001. Satterthwaite: t = −9.49, df = 71.8, p &lt; 0.0001. Folded F: F(38, 34) = 1.39, p = 0.33.</w:t>
      </w:r>
    </w:p>
    <w:p>
      <w:pPr>
        <w:keepNext/>
        <w:spacing w:after="50" w:before="100"/>
        <w:jc w:val="center"/>
      </w:pPr>
      <w:r>
        <w:drawing>
          <wp:inline distT="0" distB="0" distL="0" distR="0">
            <wp:extent cx="5143500" cy="2381250"/>
            <wp:effectExtent t="0" r="0" b="0" l="0"/>
            <wp:docPr id="1" name="Week 12 distribution" descr="Figure 4. Distribution of Week 12 change from baseline by treatment arm." title="Week 12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812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Distribution of Week 12 change from baseline by treatment arm.</w:t>
      </w:r>
    </w:p>
    <w:p>
      <w:pPr>
        <w:pStyle w:val="Heading2"/>
        <w:keepNext/>
        <w:spacing w:after="80" w:before="200"/>
      </w:pPr>
      <w:r>
        <w:rPr>
          <w:rFonts w:ascii="Calibri" w:cs="Calibri" w:eastAsia="Calibri" w:hAnsi="Calibri"/>
          <w:b/>
          <w:bCs/>
          <w:color w:val="2E75B6"/>
          <w:sz w:val="24"/>
          <w:szCs w:val="24"/>
        </w:rPr>
        <w:t xml:space="preserve">5.5 ANCOVA adjusted for baseline glucose</w:t>
      </w:r>
    </w:p>
    <w:p>
      <w:pPr>
        <w:spacing w:after="120" w:before="0" w:line="276"/>
        <w:jc w:val="both"/>
      </w:pPr>
      <w:r>
        <w:rPr>
          <w:rFonts w:ascii="Calibri" w:cs="Calibri" w:eastAsia="Calibri" w:hAnsi="Calibri"/>
          <w:sz w:val="21"/>
          <w:szCs w:val="21"/>
        </w:rPr>
        <w:t xml:space="preserve">The ANCOVA model was highly significant overall (F(2, 71) = 43.82, p &lt; 0.0001; R² = 0.552; root MSE = 10.70 mg/dL; Table 9). Treatment explained most of the variation in change (Type III F = 87.15, p &lt; 0.0001), while baseline glucose did not contribute (F = 0.17, p = 0.69; Table 10). The adjusted treatment effect was −23.27 mg/dL (SE 2.49; t = −9.34; 95% CI −28.23 to −18.30; Table 11), virtually identical to the unadjusted t-test. This agreement is expected: randomisation produced near-identical baselines, and baseline glucose was essentially unrelated to change, so adjustment altered the estimate by only 0.03 mg/dL. The fitted lines in Figure 5 are almost flat, consistent with a baseline slope of −0.028 mg/dL per mg/dL.</w:t>
      </w:r>
    </w:p>
    <w:p>
      <w:pPr>
        <w:keepNext/>
        <w:spacing w:after="70" w:before="140"/>
        <w:jc w:val="center"/>
      </w:pPr>
      <w:r>
        <w:rPr>
          <w:rFonts w:ascii="Calibri" w:cs="Calibri" w:eastAsia="Calibri" w:hAnsi="Calibri"/>
          <w:b/>
          <w:bCs/>
          <w:color w:val="1F4E79"/>
          <w:sz w:val="19"/>
          <w:szCs w:val="19"/>
        </w:rPr>
        <w:t xml:space="preserve">Table 9. ANCOVA analysis of variance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700"/>
        <w:gridCol w:w="1600"/>
        <w:gridCol w:w="1300"/>
        <w:gridCol w:w="13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Source</w:t>
            </w:r>
          </w:p>
        </w:tc>
        <w:tc>
          <w:tcPr>
            <w:tcW w:type="dxa" w:w="8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DF</w:t>
            </w:r>
          </w:p>
        </w:tc>
        <w:tc>
          <w:tcPr>
            <w:tcW w:type="dxa" w:w="17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Sum of squares</w:t>
            </w:r>
          </w:p>
        </w:tc>
        <w:tc>
          <w:tcPr>
            <w:tcW w:type="dxa" w:w="16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Mean square</w:t>
            </w:r>
          </w:p>
        </w:tc>
        <w:tc>
          <w:tcPr>
            <w:tcW w:type="dxa" w:w="1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F value</w:t>
            </w:r>
          </w:p>
        </w:tc>
        <w:tc>
          <w:tcPr>
            <w:tcW w:type="dxa" w:w="13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Pr &gt; F</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Model</w:t>
            </w:r>
          </w:p>
        </w:tc>
        <w:tc>
          <w:tcPr>
            <w:tcW w:type="dxa" w:w="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2</w:t>
            </w:r>
          </w:p>
        </w:tc>
        <w:tc>
          <w:tcPr>
            <w:tcW w:type="dxa" w:w="1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10,030.03</w:t>
            </w:r>
          </w:p>
        </w:tc>
        <w:tc>
          <w:tcPr>
            <w:tcW w:type="dxa" w:w="1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5,015.02</w:t>
            </w:r>
          </w:p>
        </w:tc>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43.82</w:t>
            </w:r>
          </w:p>
        </w:tc>
        <w:tc>
          <w:tcPr>
            <w:tcW w:type="dxa" w:w="13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Error</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71</w:t>
            </w:r>
          </w:p>
        </w:tc>
        <w:tc>
          <w:tcPr>
            <w:tcW w:type="dxa" w:w="1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8,126.27</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114.45</w:t>
            </w:r>
          </w:p>
        </w:tc>
        <w:tc>
          <w:tcPr>
            <w:tcW w:type="dxa" w:w="1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3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Corrected total</w:t>
            </w:r>
          </w:p>
        </w:tc>
        <w:tc>
          <w:tcPr>
            <w:tcW w:type="dxa" w:w="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73</w:t>
            </w:r>
          </w:p>
        </w:tc>
        <w:tc>
          <w:tcPr>
            <w:tcW w:type="dxa" w:w="17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18,156.30</w:t>
            </w:r>
          </w:p>
        </w:tc>
        <w:tc>
          <w:tcPr>
            <w:tcW w:type="dxa" w:w="16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3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r>
    </w:tbl>
    <w:p>
      <w:pPr>
        <w:spacing w:after="160" w:before="50"/>
        <w:jc w:val="left"/>
      </w:pPr>
      <w:r>
        <w:rPr>
          <w:rFonts w:ascii="Calibri" w:cs="Calibri" w:eastAsia="Calibri" w:hAnsi="Calibri"/>
          <w:i/>
          <w:iCs/>
          <w:color w:val="595959"/>
          <w:sz w:val="17"/>
          <w:szCs w:val="17"/>
        </w:rPr>
        <w:t xml:space="preserve">R² = 0.552; root MSE = 10.70; mean change = −18.89 mg/dL.</w:t>
      </w:r>
    </w:p>
    <w:p>
      <w:pPr>
        <w:keepNext/>
        <w:spacing w:after="70" w:before="140"/>
        <w:jc w:val="center"/>
      </w:pPr>
      <w:r>
        <w:rPr>
          <w:rFonts w:ascii="Calibri" w:cs="Calibri" w:eastAsia="Calibri" w:hAnsi="Calibri"/>
          <w:b/>
          <w:bCs/>
          <w:color w:val="1F4E79"/>
          <w:sz w:val="19"/>
          <w:szCs w:val="19"/>
        </w:rPr>
        <w:t xml:space="preserve">Table 10. Model effects and parameter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300"/>
        <w:gridCol w:w="1000"/>
        <w:gridCol w:w="1200"/>
        <w:gridCol w:w="13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Effect / parameter</w:t>
            </w:r>
          </w:p>
        </w:tc>
        <w:tc>
          <w:tcPr>
            <w:tcW w:type="dxa" w:w="12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Type III F</w:t>
            </w:r>
          </w:p>
        </w:tc>
        <w:tc>
          <w:tcPr>
            <w:tcW w:type="dxa" w:w="1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Estimate</w:t>
            </w:r>
          </w:p>
        </w:tc>
        <w:tc>
          <w:tcPr>
            <w:tcW w:type="dxa" w:w="1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SE</w:t>
            </w:r>
          </w:p>
        </w:tc>
        <w:tc>
          <w:tcPr>
            <w:tcW w:type="dxa" w:w="12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t value</w:t>
            </w:r>
          </w:p>
        </w:tc>
        <w:tc>
          <w:tcPr>
            <w:tcW w:type="dxa" w:w="13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p-value</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Treatment (Drug X vs placebo)</w:t>
            </w:r>
          </w:p>
        </w:tc>
        <w:tc>
          <w:tcPr>
            <w:tcW w:type="dxa" w:w="12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87.15</w:t>
            </w:r>
          </w:p>
        </w:tc>
        <w:tc>
          <w:tcPr>
            <w:tcW w:type="dxa" w:w="13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−23.27</w:t>
            </w:r>
          </w:p>
        </w:tc>
        <w:tc>
          <w:tcPr>
            <w:tcW w:type="dxa" w:w="1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2.49</w:t>
            </w:r>
          </w:p>
        </w:tc>
        <w:tc>
          <w:tcPr>
            <w:tcW w:type="dxa" w:w="12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−9.34</w:t>
            </w:r>
          </w:p>
        </w:tc>
        <w:tc>
          <w:tcPr>
            <w:tcW w:type="dxa" w:w="132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Baseline glucose (slope)</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0.17</w:t>
            </w:r>
          </w:p>
        </w:tc>
        <w:tc>
          <w:tcPr>
            <w:tcW w:type="dxa" w:w="1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−0.028</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0.068</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−0.41</w:t>
            </w:r>
          </w:p>
        </w:tc>
        <w:tc>
          <w:tcPr>
            <w:tcW w:type="dxa" w:w="13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0.685</w:t>
            </w:r>
          </w:p>
        </w:tc>
      </w:tr>
      <w:tr>
        <w:trPr>
          <w:cantSplit/>
        </w:trPr>
        <w:tc>
          <w:tcPr>
            <w:tcW w:type="dxa" w:w="3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Intercept</w:t>
            </w:r>
          </w:p>
        </w:tc>
        <w:tc>
          <w:tcPr>
            <w:tcW w:type="dxa" w:w="12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−3.32</w:t>
            </w:r>
          </w:p>
        </w:tc>
        <w:tc>
          <w:tcPr>
            <w:tcW w:type="dxa" w:w="1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11.33</w:t>
            </w:r>
          </w:p>
        </w:tc>
        <w:tc>
          <w:tcPr>
            <w:tcW w:type="dxa" w:w="12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−0.29</w:t>
            </w:r>
          </w:p>
        </w:tc>
        <w:tc>
          <w:tcPr>
            <w:tcW w:type="dxa" w:w="13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0.771</w:t>
            </w:r>
          </w:p>
        </w:tc>
      </w:tr>
    </w:tbl>
    <w:p>
      <w:pPr>
        <w:keepNext/>
        <w:spacing w:after="70" w:before="140"/>
        <w:jc w:val="center"/>
      </w:pPr>
      <w:r>
        <w:rPr>
          <w:rFonts w:ascii="Calibri" w:cs="Calibri" w:eastAsia="Calibri" w:hAnsi="Calibri"/>
          <w:b/>
          <w:bCs/>
          <w:color w:val="1F4E79"/>
          <w:sz w:val="19"/>
          <w:szCs w:val="19"/>
        </w:rPr>
        <w:t xml:space="preserve">Table 11. Least-squares means for Week 12 change (mg/dL)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900"/>
        <w:gridCol w:w="2200"/>
        <w:gridCol w:w="14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Treatment</w:t>
            </w:r>
          </w:p>
        </w:tc>
        <w:tc>
          <w:tcPr>
            <w:tcW w:type="dxa" w:w="15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Adjusted mean</w:t>
            </w:r>
          </w:p>
        </w:tc>
        <w:tc>
          <w:tcPr>
            <w:tcW w:type="dxa" w:w="9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SE</w:t>
            </w:r>
          </w:p>
        </w:tc>
        <w:tc>
          <w:tcPr>
            <w:tcW w:type="dxa" w:w="22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95% CI</w:t>
            </w:r>
          </w:p>
        </w:tc>
        <w:tc>
          <w:tcPr>
            <w:tcW w:type="dxa" w:w="14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p (vs 0)</w:t>
            </w:r>
          </w:p>
        </w:tc>
      </w:tr>
      <w:tr>
        <w:trPr>
          <w:cantSplit/>
        </w:trPr>
        <w:tc>
          <w:tcPr>
            <w:tcW w:type="dxa" w:w="30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Drug X</w:t>
            </w:r>
          </w:p>
        </w:tc>
        <w:tc>
          <w:tcPr>
            <w:tcW w:type="dxa" w:w="15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−31.15</w:t>
            </w:r>
          </w:p>
        </w:tc>
        <w:tc>
          <w:tcPr>
            <w:tcW w:type="dxa" w:w="9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1.81</w:t>
            </w:r>
          </w:p>
        </w:tc>
        <w:tc>
          <w:tcPr>
            <w:tcW w:type="dxa" w:w="22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(−34.76, −27.54)</w:t>
            </w:r>
          </w:p>
        </w:tc>
        <w:tc>
          <w:tcPr>
            <w:tcW w:type="dxa" w:w="1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Placebo</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−7.88</w:t>
            </w:r>
          </w:p>
        </w:tc>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1.71</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(−11.30, −4.47)</w:t>
            </w:r>
          </w:p>
        </w:tc>
        <w:tc>
          <w:tcPr>
            <w:tcW w:type="dxa" w:w="1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r>
        <w:trPr>
          <w:cantSplit/>
        </w:trPr>
        <w:tc>
          <w:tcPr>
            <w:tcW w:type="dxa" w:w="30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Difference (Drug X − Placebo)</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−23.27</w:t>
            </w:r>
          </w:p>
        </w:tc>
        <w:tc>
          <w:tcPr>
            <w:tcW w:type="dxa" w:w="9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2.49</w:t>
            </w:r>
          </w:p>
        </w:tc>
        <w:tc>
          <w:tcPr>
            <w:tcW w:type="dxa" w:w="22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(−28.23, −18.30)</w:t>
            </w:r>
          </w:p>
        </w:tc>
        <w:tc>
          <w:tcPr>
            <w:tcW w:type="dxa" w:w="1426"/>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&lt;0.0001</w:t>
            </w:r>
          </w:p>
        </w:tc>
      </w:tr>
    </w:tbl>
    <w:p>
      <w:pPr>
        <w:spacing w:after="100"/>
      </w:pPr>
    </w:p>
    <w:p>
      <w:pPr>
        <w:keepNext/>
        <w:spacing w:after="50" w:before="100"/>
        <w:jc w:val="center"/>
      </w:pPr>
      <w:r>
        <w:drawing>
          <wp:inline distT="0" distB="0" distL="0" distR="0">
            <wp:extent cx="4095750" cy="2819400"/>
            <wp:effectExtent t="0" r="0" b="0" l="0"/>
            <wp:docPr id="1" name="ANCOVA fit" descr="Figure 5. Week 12 change versus baseline glucose with ANCOVA fitted lines." title="ANCOVA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Week 12 change versus baseline glucose with ANCOVA fitted lines.</w:t>
      </w:r>
    </w:p>
    <w:p>
      <w:pPr>
        <w:keepNext/>
        <w:spacing w:after="50" w:before="100"/>
        <w:jc w:val="center"/>
      </w:pPr>
      <w:r>
        <w:drawing>
          <wp:inline distT="0" distB="0" distL="0" distR="0">
            <wp:extent cx="5143500" cy="2152650"/>
            <wp:effectExtent t="0" r="0" b="0" l="0"/>
            <wp:docPr id="1" name="Adjusted means and difference" descr="Figure 6. Adjusted means and treatment difference with 95% confidence intervals." title="Adjusted means and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52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Adjusted means and treatment difference with 95% confidence intervals.</w:t>
      </w:r>
    </w:p>
    <w:p>
      <w:pPr>
        <w:pStyle w:val="Heading2"/>
        <w:keepNext/>
        <w:spacing w:after="80" w:before="200"/>
      </w:pPr>
      <w:r>
        <w:rPr>
          <w:rFonts w:ascii="Calibri" w:cs="Calibri" w:eastAsia="Calibri" w:hAnsi="Calibri"/>
          <w:b/>
          <w:bCs/>
          <w:color w:val="2E75B6"/>
          <w:sz w:val="24"/>
          <w:szCs w:val="24"/>
        </w:rPr>
        <w:t xml:space="preserve">5.6 Model diagnostics</w:t>
      </w:r>
    </w:p>
    <w:p>
      <w:pPr>
        <w:spacing w:after="120" w:before="0" w:line="276"/>
        <w:jc w:val="both"/>
      </w:pPr>
      <w:r>
        <w:rPr>
          <w:rFonts w:ascii="Calibri" w:cs="Calibri" w:eastAsia="Calibri" w:hAnsi="Calibri"/>
          <w:sz w:val="21"/>
          <w:szCs w:val="21"/>
        </w:rPr>
        <w:t xml:space="preserve">The residuals were symmetrically scattered around zero with similar spread in both arms, and the Q–Q plot followed the reference line closely (Figure 7). Formal tests supported the visual checks (Table 12). The treatment × baseline interaction was not significant (p = 0.70), supporting the parallel-slopes assumption of the ANCOVA.</w:t>
      </w:r>
    </w:p>
    <w:p>
      <w:pPr>
        <w:keepNext/>
        <w:spacing w:after="50" w:before="100"/>
        <w:jc w:val="center"/>
      </w:pPr>
      <w:r>
        <w:drawing>
          <wp:inline distT="0" distB="0" distL="0" distR="0">
            <wp:extent cx="5143500" cy="2228850"/>
            <wp:effectExtent t="0" r="0" b="0" l="0"/>
            <wp:docPr id="1" name="Diagnostics" descr="Figure 7. Residuals versus fitted values and normal Q–Q plot for the ANCOVA model." title="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2288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Residuals versus fitted values and normal Q–Q plot for the ANCOVA model.</w:t>
      </w:r>
    </w:p>
    <w:p>
      <w:pPr>
        <w:keepNext/>
        <w:spacing w:after="70" w:before="140"/>
        <w:jc w:val="center"/>
      </w:pPr>
      <w:r>
        <w:rPr>
          <w:rFonts w:ascii="Calibri" w:cs="Calibri" w:eastAsia="Calibri" w:hAnsi="Calibri"/>
          <w:b/>
          <w:bCs/>
          <w:color w:val="1F4E79"/>
          <w:sz w:val="19"/>
          <w:szCs w:val="19"/>
        </w:rPr>
        <w:t xml:space="preserve">Table 12. Assumption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800"/>
        <w:gridCol w:w="14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Assumption</w:t>
            </w:r>
          </w:p>
        </w:tc>
        <w:tc>
          <w:tcPr>
            <w:tcW w:type="dxa" w:w="25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Method</w:t>
            </w:r>
          </w:p>
        </w:tc>
        <w:tc>
          <w:tcPr>
            <w:tcW w:type="dxa" w:w="28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Result</w:t>
            </w:r>
          </w:p>
        </w:tc>
        <w:tc>
          <w:tcPr>
            <w:tcW w:type="dxa" w:w="14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Conclusion</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Normal residuals</w:t>
            </w:r>
          </w:p>
        </w:tc>
        <w:tc>
          <w:tcPr>
            <w:tcW w:type="dxa" w:w="25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Shapiro–Wilk</w:t>
            </w:r>
          </w:p>
        </w:tc>
        <w:tc>
          <w:tcPr>
            <w:tcW w:type="dxa" w:w="2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W = 0.978, p = 0.225</w:t>
            </w:r>
          </w:p>
        </w:tc>
        <w:tc>
          <w:tcPr>
            <w:tcW w:type="dxa" w:w="1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Satisfied</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Equal variances</w:t>
            </w:r>
          </w:p>
        </w:tc>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Folded F / Levene</w:t>
            </w:r>
          </w:p>
        </w:tc>
        <w:tc>
          <w:tcPr>
            <w:tcW w:type="dxa" w:w="2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F = 1.39, p = 0.33 / p = 0.43</w:t>
            </w:r>
          </w:p>
        </w:tc>
        <w:tc>
          <w:tcPr>
            <w:tcW w:type="dxa" w:w="14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Satisfied</w:t>
            </w:r>
          </w:p>
        </w:tc>
      </w:tr>
      <w:tr>
        <w:trPr>
          <w:cantSplit/>
        </w:trPr>
        <w:tc>
          <w:tcPr>
            <w:tcW w:type="dxa" w:w="2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Parallel slopes</w:t>
            </w:r>
          </w:p>
        </w:tc>
        <w:tc>
          <w:tcPr>
            <w:tcW w:type="dxa" w:w="25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Treatment × baseline term</w:t>
            </w:r>
          </w:p>
        </w:tc>
        <w:tc>
          <w:tcPr>
            <w:tcW w:type="dxa" w:w="28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p = 0.70</w:t>
            </w:r>
          </w:p>
        </w:tc>
        <w:tc>
          <w:tcPr>
            <w:tcW w:type="dxa" w:w="14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Satisfied</w:t>
            </w:r>
          </w:p>
        </w:tc>
      </w:tr>
    </w:tbl>
    <w:p>
      <w:pPr>
        <w:spacing w:after="80"/>
      </w:pPr>
    </w:p>
    <w:p>
      <w:pPr>
        <w:pStyle w:val="Heading2"/>
        <w:keepNext/>
        <w:spacing w:after="80" w:before="200"/>
      </w:pPr>
      <w:r>
        <w:rPr>
          <w:rFonts w:ascii="Calibri" w:cs="Calibri" w:eastAsia="Calibri" w:hAnsi="Calibri"/>
          <w:b/>
          <w:bCs/>
          <w:color w:val="2E75B6"/>
          <w:sz w:val="24"/>
          <w:szCs w:val="24"/>
        </w:rPr>
        <w:t xml:space="preserve">5.7 Exploratory responder analysis</w:t>
      </w:r>
    </w:p>
    <w:p>
      <w:pPr>
        <w:spacing w:after="120" w:before="0" w:line="276"/>
        <w:jc w:val="both"/>
      </w:pPr>
      <w:r>
        <w:rPr>
          <w:rFonts w:ascii="Calibri" w:cs="Calibri" w:eastAsia="Calibri" w:hAnsi="Calibri"/>
          <w:sz w:val="21"/>
          <w:szCs w:val="21"/>
        </w:rPr>
        <w:t xml:space="preserve">Using a descriptive threshold of a reduction of at least 20 mg/dL at Week 12, 31 of 35 Drug X patients (88.6%) were responders compared with 6 of 39 placebo patients (15.4%), a difference of 73.2 percentage points. This analysis is exploratory and was not pre-specified.</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Discussion</w:t>
      </w:r>
    </w:p>
    <w:p>
      <w:pPr>
        <w:spacing w:after="120" w:before="0" w:line="276"/>
        <w:jc w:val="both"/>
      </w:pPr>
      <w:r>
        <w:rPr>
          <w:rFonts w:ascii="Calibri" w:cs="Calibri" w:eastAsia="Calibri" w:hAnsi="Calibri"/>
          <w:sz w:val="21"/>
          <w:szCs w:val="21"/>
        </w:rPr>
        <w:t xml:space="preserve">Drug X produced a mean reduction in fasting glucose that was about 23 mg/dL greater than placebo at Week 12, with a confidence interval that excludes zero by a wide margin. The effect built progressively across visits, which is the pattern expected of a drug with a cumulative pharmacological effect. The t-test and ANCOVA gave the same answer to within 0.03 mg/dL, showing that the conclusion does not depend on the choice of method.</w:t>
      </w:r>
    </w:p>
    <w:p>
      <w:pPr>
        <w:spacing w:after="120" w:before="0" w:line="276"/>
        <w:jc w:val="both"/>
      </w:pPr>
      <w:r>
        <w:rPr>
          <w:rFonts w:ascii="Calibri" w:cs="Calibri" w:eastAsia="Calibri" w:hAnsi="Calibri"/>
          <w:b/>
          <w:bCs/>
          <w:sz w:val="21"/>
          <w:szCs w:val="21"/>
        </w:rPr>
        <w:t xml:space="preserve">Limitations.</w:t>
      </w:r>
      <w:r>
        <w:rPr>
          <w:rFonts w:ascii="Calibri" w:cs="Calibri" w:eastAsia="Calibri" w:hAnsi="Calibri"/>
          <w:sz w:val="21"/>
          <w:szCs w:val="21"/>
        </w:rPr>
        <w:t xml:space="preserve"> (1) *Missing data:* the Week 12 analysis used observed values only. Five Drug X patients and one placebo patient discontinued, an imbalance that could bias a completers analysis in a real trial; a mixed model for repeated measures (MMRM) or multiple imputation would be the preferred sensitivity analysis. (2) *Analysis population:* the efficacy analysis was run on patients with a Week 12 value; a full analysis set based on all randomised patients is the regulatory standard. (3) *Single endpoint:* no adjustment for multiplicity was needed, but secondary endpoints would require it. (4) *Covariates:* only baseline glucose was modelled; site, age and sex could be added. (5) *Data source:* the data were simulated for demonstration, so the numerical results illustrate the workflow and should not be read as evidence about a real compound.</w:t>
      </w:r>
    </w:p>
    <w:p>
      <w:pPr>
        <w:spacing w:after="120" w:before="0" w:line="276"/>
        <w:jc w:val="both"/>
      </w:pPr>
      <w:r>
        <w:rPr>
          <w:rFonts w:ascii="Calibri" w:cs="Calibri" w:eastAsia="Calibri" w:hAnsi="Calibri"/>
          <w:b/>
          <w:bCs/>
          <w:sz w:val="21"/>
          <w:szCs w:val="21"/>
        </w:rPr>
        <w:t xml:space="preserve">Possible extensions.</w:t>
      </w:r>
      <w:r>
        <w:rPr>
          <w:rFonts w:ascii="Calibri" w:cs="Calibri" w:eastAsia="Calibri" w:hAnsi="Calibri"/>
          <w:sz w:val="21"/>
          <w:szCs w:val="21"/>
        </w:rPr>
        <w:t xml:space="preserve"> MMRM with PROC MIXED using all visits; validation of ADaM datasets with PROC COMPARE against an independent program; addition of a safety (adverse event) domain; and generation of define.xml metadata.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Conclusion</w:t>
      </w:r>
    </w:p>
    <w:p>
      <w:pPr>
        <w:spacing w:after="120" w:before="0" w:line="276"/>
        <w:jc w:val="both"/>
      </w:pPr>
      <w:r>
        <w:rPr>
          <w:rFonts w:ascii="Calibri" w:cs="Calibri" w:eastAsia="Calibri" w:hAnsi="Calibri"/>
          <w:sz w:val="21"/>
          <w:szCs w:val="21"/>
        </w:rPr>
        <w:t xml:space="preserve">The project delivered a complete, traceable pipeline from raw data to SDTM, ADaM and TLF outputs in SAS. In the analysis, Drug X lowered fasting glucose by 31.2 mg/dL compared with 7.9 mg/dL on placebo at Week 12, an adjusted difference of −23.27 mg/dL (95% CI −28.23 to −18.30; p &lt; 0.0001), robust to the choice of t-test or ANCOVA and supported by satisfied model assumptions.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Appendix A. Output Inventory</w:t>
      </w:r>
    </w:p>
    <w:p>
      <w:pPr>
        <w:keepNext/>
        <w:spacing w:after="70" w:before="140"/>
        <w:jc w:val="center"/>
      </w:pPr>
      <w:r>
        <w:rPr>
          <w:rFonts w:ascii="Calibri" w:cs="Calibri" w:eastAsia="Calibri" w:hAnsi="Calibri"/>
          <w:b/>
          <w:bCs/>
          <w:color w:val="1F4E79"/>
          <w:sz w:val="19"/>
          <w:szCs w:val="19"/>
        </w:rPr>
        <w:t xml:space="preserve">Table 13. Files produced by the SAS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626"/>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left"/>
            </w:pPr>
            <w:r>
              <w:rPr>
                <w:rFonts w:ascii="Calibri" w:cs="Calibri" w:eastAsia="Calibri" w:hAnsi="Calibri"/>
                <w:b/>
                <w:bCs/>
                <w:color w:val="FFFFFF"/>
                <w:sz w:val="19"/>
                <w:szCs w:val="19"/>
              </w:rPr>
              <w:t xml:space="preserve">Layer</w:t>
            </w:r>
          </w:p>
        </w:tc>
        <w:tc>
          <w:tcPr>
            <w:tcW w:type="dxa" w:w="3100"/>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File</w:t>
            </w:r>
          </w:p>
        </w:tc>
        <w:tc>
          <w:tcPr>
            <w:tcW w:type="dxa" w:w="4626"/>
            <w:tcBorders>
              <w:top w:val="single" w:color="BFBFBF" w:sz="4"/>
              <w:left w:val="single" w:color="BFBFBF" w:sz="4"/>
              <w:bottom w:val="single" w:color="BFBFBF" w:sz="4"/>
              <w:right w:val="single" w:color="BFBFBF" w:sz="4"/>
            </w:tcBorders>
            <w:shd w:fill="1F4E79" w:color="auto" w:val="clear"/>
            <w:tcMar>
              <w:top w:type="dxa" w:w="55"/>
              <w:left w:type="dxa" w:w="90"/>
              <w:bottom w:type="dxa" w:w="55"/>
              <w:right w:type="dxa" w:w="90"/>
            </w:tcMar>
            <w:vAlign w:val="center"/>
          </w:tcPr>
          <w:p>
            <w:pPr>
              <w:jc w:val="center"/>
            </w:pPr>
            <w:r>
              <w:rPr>
                <w:rFonts w:ascii="Calibri" w:cs="Calibri" w:eastAsia="Calibri" w:hAnsi="Calibri"/>
                <w:b/>
                <w:bCs/>
                <w:color w:val="FFFFFF"/>
                <w:sz w:val="19"/>
                <w:szCs w:val="19"/>
              </w:rPr>
              <w:t xml:space="preserve">Description</w:t>
            </w:r>
          </w:p>
        </w:tc>
      </w:tr>
      <w:tr>
        <w:trPr>
          <w:cantSplit/>
        </w:trPr>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SDTM</w:t>
            </w:r>
          </w:p>
        </w:tc>
        <w:tc>
          <w:tcPr>
            <w:tcW w:type="dxa" w:w="3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dm, ex, lb (.sas7bdat)</w:t>
            </w:r>
          </w:p>
        </w:tc>
        <w:tc>
          <w:tcPr>
            <w:tcW w:type="dxa" w:w="46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Standardised demographics, exposure and laboratory domains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ADaM</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adsl.sas7bdat</w:t>
            </w:r>
          </w:p>
        </w:tc>
        <w:tc>
          <w:tcPr>
            <w:tcW w:type="dxa" w:w="46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Subject-level dataset, 80 rows</w:t>
            </w:r>
          </w:p>
        </w:tc>
      </w:tr>
      <w:tr>
        <w:trPr>
          <w:cantSplit/>
        </w:trPr>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ADaM</w:t>
            </w:r>
          </w:p>
        </w:tc>
        <w:tc>
          <w:tcPr>
            <w:tcW w:type="dxa" w:w="3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adlb.sas7bdat</w:t>
            </w:r>
          </w:p>
        </w:tc>
        <w:tc>
          <w:tcPr>
            <w:tcW w:type="dxa" w:w="46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Glucose analysis dataset, 394 rows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Table</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Table_Glucose_Wk12.rtf</w:t>
            </w:r>
          </w:p>
        </w:tc>
        <w:tc>
          <w:tcPr>
            <w:tcW w:type="dxa" w:w="46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Week 12 efficacy table (baseline, Week 12, change)</w:t>
            </w:r>
          </w:p>
        </w:tc>
      </w:tr>
      <w:tr>
        <w:trPr>
          <w:cantSplit/>
        </w:trPr>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Table</w:t>
            </w:r>
          </w:p>
        </w:tc>
        <w:tc>
          <w:tcPr>
            <w:tcW w:type="dxa" w:w="3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SUMMARY_TABLE.csv</w:t>
            </w:r>
          </w:p>
        </w:tc>
        <w:tc>
          <w:tcPr>
            <w:tcW w:type="dxa" w:w="46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Change-from-baseline summary by treatment</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left"/>
            </w:pPr>
            <w:r>
              <w:rPr>
                <w:rFonts w:ascii="Calibri" w:cs="Calibri" w:eastAsia="Calibri" w:hAnsi="Calibri"/>
                <w:sz w:val="19"/>
                <w:szCs w:val="19"/>
              </w:rPr>
              <w:t xml:space="preserve">Listing</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LISTING.csv</w:t>
            </w:r>
          </w:p>
        </w:tc>
        <w:tc>
          <w:tcPr>
            <w:tcW w:type="dxa" w:w="4626"/>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center"/>
          </w:tcPr>
          <w:p>
            <w:pPr>
              <w:jc w:val="center"/>
            </w:pPr>
            <w:r>
              <w:rPr>
                <w:rFonts w:ascii="Calibri" w:cs="Calibri" w:eastAsia="Calibri" w:hAnsi="Calibri"/>
                <w:sz w:val="19"/>
                <w:szCs w:val="19"/>
              </w:rPr>
              <w:t xml:space="preserve">Subject-level glucose by visit</w:t>
            </w:r>
          </w:p>
        </w:tc>
      </w:tr>
      <w:tr>
        <w:trPr>
          <w:cantSplit/>
        </w:trPr>
        <w:tc>
          <w:tcPr>
            <w:tcW w:type="dxa" w:w="13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left"/>
            </w:pPr>
            <w:r>
              <w:rPr>
                <w:rFonts w:ascii="Calibri" w:cs="Calibri" w:eastAsia="Calibri" w:hAnsi="Calibri"/>
                <w:sz w:val="19"/>
                <w:szCs w:val="19"/>
              </w:rPr>
              <w:t xml:space="preserve">Figure</w:t>
            </w:r>
          </w:p>
        </w:tc>
        <w:tc>
          <w:tcPr>
            <w:tcW w:type="dxa" w:w="3100"/>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Fig_Glucose_Change.png</w:t>
            </w:r>
          </w:p>
        </w:tc>
        <w:tc>
          <w:tcPr>
            <w:tcW w:type="dxa" w:w="4626"/>
            <w:tcBorders>
              <w:top w:val="single" w:color="BFBFBF" w:sz="4"/>
              <w:left w:val="single" w:color="BFBFBF" w:sz="4"/>
              <w:bottom w:val="single" w:color="BFBFBF" w:sz="4"/>
              <w:right w:val="single" w:color="BFBFBF" w:sz="4"/>
            </w:tcBorders>
            <w:tcMar>
              <w:top w:type="dxa" w:w="55"/>
              <w:left w:type="dxa" w:w="90"/>
              <w:bottom w:type="dxa" w:w="55"/>
              <w:right w:type="dxa" w:w="90"/>
            </w:tcMar>
            <w:vAlign w:val="center"/>
          </w:tcPr>
          <w:p>
            <w:pPr>
              <w:jc w:val="center"/>
            </w:pPr>
            <w:r>
              <w:rPr>
                <w:rFonts w:ascii="Calibri" w:cs="Calibri" w:eastAsia="Calibri" w:hAnsi="Calibri"/>
                <w:sz w:val="19"/>
                <w:szCs w:val="19"/>
              </w:rPr>
              <w:t xml:space="preserve">Mean change from baseline by visit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jc w:val="right"/>
    </w:pPr>
    <w:r>
      <w:rPr>
        <w:rFonts w:ascii="Calibri" w:cs="Calibri" w:eastAsia="Calibri" w:hAnsi="Calibri"/>
        <w:color w:val="7F7F7F"/>
        <w:sz w:val="16"/>
        <w:szCs w:val="16"/>
      </w:rPr>
      <w:t xml:space="preserve">Drug X vs Placebo in Type 2 Diabetes  |  SDTM–ADaM–TLF Analysis in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d23e9700fbef7d6a358d97021a585143c7c731.png"/><Relationship Id="rId10" Type="http://schemas.openxmlformats.org/officeDocument/2006/relationships/image" Target="media/34f57ddacebcc63a5ed310695e083d3d34329147.png"/><Relationship Id="rId11" Type="http://schemas.openxmlformats.org/officeDocument/2006/relationships/image" Target="media/6bfea9e65c76e50ebf793ed096e31c891b664e4d.png"/><Relationship Id="rId12" Type="http://schemas.openxmlformats.org/officeDocument/2006/relationships/image" Target="media/612b8c360ba93344e11b1e86076c138a078b9742.png"/><Relationship Id="rId13" Type="http://schemas.openxmlformats.org/officeDocument/2006/relationships/image" Target="media/47d5e6cc442d3e047107c95bebc6a751c9c28960.png"/><Relationship Id="rId14" Type="http://schemas.openxmlformats.org/officeDocument/2006/relationships/image" Target="media/45715a128399008e1c55102e8318f34a3764c971.png"/><Relationship Id="rId15" Type="http://schemas.openxmlformats.org/officeDocument/2006/relationships/image" Target="media/41f4028312b6eff6d39e2abd28711464d111745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Efficacy of Drug X versus Placebo on Fasting Glucose in Type 2 Diabetes</dc:title>
  <dc:creator>Prakhar Gupta</dc:creator>
  <cp:lastModifiedBy>Un-named</cp:lastModifiedBy>
  <cp:revision>1</cp:revision>
  <dcterms:created xsi:type="dcterms:W3CDTF">2026-10-01T16:05:20.234Z</dcterms:created>
  <dcterms:modified xsi:type="dcterms:W3CDTF">2026-10-01T16:05:20.238Z</dcterms:modified>
</cp:coreProperties>
</file>

<file path=docProps/custom.xml><?xml version="1.0" encoding="utf-8"?>
<Properties xmlns="http://schemas.openxmlformats.org/officeDocument/2006/custom-properties" xmlns:vt="http://schemas.openxmlformats.org/officeDocument/2006/docPropsVTypes"/>
</file>