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PROJECT OBJECTIVES &amp; TECHNICAL SCOPE</w:t>
      </w:r>
    </w:p>
    <w:p>
      <w:pPr>
        <w:jc w:val="center"/>
      </w:pPr>
      <w:r>
        <w:rPr>
          <w:rFonts w:ascii="Arial" w:hAnsi="Arial"/>
          <w:i/>
          <w:sz w:val="24"/>
        </w:rPr>
        <w:t>VITyarthi - Build Your Own Project Evaluation Component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b/>
        </w:rPr>
        <w:t>1. Core Project Objectives</w:t>
      </w:r>
    </w:p>
    <w:p>
      <w:r>
        <w:t>The primary objective of this project is to implement a robust, localized, and secure transaction handling framework for a modern movie ticketing ecosystem. The application systematically solves two critical industry vulnerabilities: improper regional currency mapping and internal inventory purchasing loops. The specific objectives are as follows:</w:t>
      </w:r>
    </w:p>
    <w:p>
      <w:pPr>
        <w:pStyle w:val="ListBullet"/>
      </w:pPr>
      <w:r>
        <w:rPr>
          <w:b/>
        </w:rPr>
        <w:t xml:space="preserve">Currency System Transformation (USD to INR): </w:t>
      </w:r>
      <w:r>
        <w:t>To eliminate international dollar pricing dependencies by establishing a dedicated Indian Rupee (INR) configuration engine. This ensures compliant comma-separations (Lakhs/Crores placement via the 'en-IN' locale) and correct application of regional financial rules.</w:t>
      </w:r>
    </w:p>
    <w:p>
      <w:pPr>
        <w:pStyle w:val="ListBullet"/>
      </w:pPr>
      <w:r>
        <w:rPr>
          <w:b/>
        </w:rPr>
        <w:t xml:space="preserve">Taxation and Convenience Fee Compliance: </w:t>
      </w:r>
      <w:r>
        <w:t>To accurately map domestic transaction workflows by factoring in fixed internet handling fees and dynamically computing a standard 18% Goods and Services Tax (GST) surcharge applied directly to platform convenience parameters.</w:t>
      </w:r>
    </w:p>
    <w:p>
      <w:pPr>
        <w:pStyle w:val="ListBullet"/>
      </w:pPr>
      <w:r>
        <w:rPr>
          <w:b/>
        </w:rPr>
        <w:t xml:space="preserve">Administrative Access Guardrails: </w:t>
      </w:r>
      <w:r>
        <w:t>To secure inventory operations by introducing specialized validation gates (`validate_ticket_purchase`) that flag accounts with administrative or ownership roles, completely blocking them from buying out their own theater seats.</w:t>
      </w:r>
    </w:p>
    <w:p>
      <w:pPr>
        <w:pStyle w:val="ListBullet"/>
      </w:pPr>
      <w:r>
        <w:rPr>
          <w:b/>
        </w:rPr>
        <w:t xml:space="preserve">Academic Modularity and Clean Coding: </w:t>
      </w:r>
      <w:r>
        <w:t>To strictly fulfill the technical guidelines set by the university by organizing the software into modular, highly readable, and decoupled functions, ensuring zero structural overlaps and ease of maintainability.</w:t>
      </w:r>
    </w:p>
    <w:p>
      <w:pPr>
        <w:pStyle w:val="Heading1"/>
      </w:pPr>
      <w:r>
        <w:rPr>
          <w:rFonts w:ascii="Arial" w:hAnsi="Arial"/>
          <w:b/>
        </w:rPr>
        <w:t>2. Technical Scope Definition</w:t>
      </w:r>
    </w:p>
    <w:p>
      <w:r>
        <w:t>To ensure proper resource utilization and focus, the boundaries of the system execution have been cleanly demarcated below:</w:t>
      </w:r>
    </w:p>
    <w:p>
      <w:pPr>
        <w:pStyle w:val="Heading2"/>
      </w:pPr>
      <w:r>
        <w:rPr>
          <w:rFonts w:ascii="Arial" w:hAnsi="Arial"/>
        </w:rPr>
        <w:t>In-Scope Functionalities</w:t>
      </w:r>
    </w:p>
    <w:p>
      <w:pPr>
        <w:pStyle w:val="ListBullet"/>
      </w:pPr>
      <w:r>
        <w:t>Automated tiered calculations across three seat classes: Standard, Premium, and Luxury.</w:t>
      </w:r>
    </w:p>
    <w:p>
      <w:pPr>
        <w:pStyle w:val="ListBullet"/>
      </w:pPr>
      <w:r>
        <w:t>Role-based validation pipelines that process metadata checking (`is_owner`, `role == 'owner'`) prior to transaction routing.</w:t>
      </w:r>
    </w:p>
    <w:p>
      <w:pPr>
        <w:pStyle w:val="ListBullet"/>
      </w:pPr>
      <w:r>
        <w:t>Comprehensive mathematical processing of ticket sums, handling surcharges, and corresponding GST tax components.</w:t>
      </w:r>
    </w:p>
    <w:p>
      <w:pPr>
        <w:pStyle w:val="Heading2"/>
      </w:pPr>
      <w:r>
        <w:rPr>
          <w:rFonts w:ascii="Arial" w:hAnsi="Arial"/>
        </w:rPr>
        <w:t>Out-of-Scope Elements</w:t>
      </w:r>
    </w:p>
    <w:p>
      <w:pPr>
        <w:pStyle w:val="ListBullet"/>
      </w:pPr>
      <w:r>
        <w:t>Live payment gateway integrations (such as Razorpay or Stripe sandboxes).</w:t>
      </w:r>
    </w:p>
    <w:p>
      <w:pPr>
        <w:pStyle w:val="ListBullet"/>
      </w:pPr>
      <w:r>
        <w:t>Physical QR code scanner or ticket gate synchronization engines.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