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4FD2" w:rsidRPr="003D49C4" w:rsidRDefault="002076F5" w:rsidP="005D4FD2">
      <w:pPr>
        <w:jc w:val="center"/>
        <w:rPr>
          <w:b/>
          <w:color w:val="385623" w:themeColor="accent6" w:themeShade="80"/>
          <w:sz w:val="48"/>
          <w:szCs w:val="36"/>
        </w:rPr>
      </w:pPr>
      <w:r w:rsidRPr="001A3A37">
        <w:rPr>
          <w:b/>
          <w:noProof/>
          <w:color w:val="385623" w:themeColor="accent6" w:themeShade="80"/>
          <w:sz w:val="34"/>
          <w:szCs w:val="36"/>
          <w:lang w:eastAsia="en-IN"/>
        </w:rPr>
        <mc:AlternateContent>
          <mc:Choice Requires="wps">
            <w:drawing>
              <wp:anchor distT="0" distB="0" distL="114300" distR="114300" simplePos="0" relativeHeight="251665920" behindDoc="0" locked="0" layoutInCell="1" allowOverlap="1" wp14:anchorId="3B04E86C" wp14:editId="465547EF">
                <wp:simplePos x="0" y="0"/>
                <wp:positionH relativeFrom="column">
                  <wp:posOffset>4689806</wp:posOffset>
                </wp:positionH>
                <wp:positionV relativeFrom="paragraph">
                  <wp:posOffset>-148660</wp:posOffset>
                </wp:positionV>
                <wp:extent cx="1623520" cy="409433"/>
                <wp:effectExtent l="0" t="38100" r="15240" b="10160"/>
                <wp:wrapNone/>
                <wp:docPr id="1" name="Horizontal Scroll 1"/>
                <wp:cNvGraphicFramePr/>
                <a:graphic xmlns:a="http://schemas.openxmlformats.org/drawingml/2006/main">
                  <a:graphicData uri="http://schemas.microsoft.com/office/word/2010/wordprocessingShape">
                    <wps:wsp>
                      <wps:cNvSpPr/>
                      <wps:spPr>
                        <a:xfrm>
                          <a:off x="0" y="0"/>
                          <a:ext cx="1623520" cy="409433"/>
                        </a:xfrm>
                        <a:prstGeom prst="horizontalScroll">
                          <a:avLst/>
                        </a:prstGeom>
                        <a:solidFill>
                          <a:schemeClr val="accent2">
                            <a:lumMod val="75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C2925" w:rsidRPr="003237A5" w:rsidRDefault="001C2925" w:rsidP="000D70EE">
                            <w:pPr>
                              <w:rPr>
                                <w:b/>
                                <w:color w:val="FFFFFF" w:themeColor="background1"/>
                                <w:sz w:val="20"/>
                                <w:lang w:val="en-US"/>
                              </w:rPr>
                            </w:pPr>
                            <w:r w:rsidRPr="003237A5">
                              <w:rPr>
                                <w:b/>
                                <w:color w:val="FFFFFF" w:themeColor="background1"/>
                                <w:sz w:val="20"/>
                                <w:lang w:val="en-US"/>
                              </w:rPr>
                              <w:t xml:space="preserve">Team ID: </w:t>
                            </w:r>
                            <w:r>
                              <w:rPr>
                                <w:b/>
                                <w:color w:val="FFFFFF" w:themeColor="background1"/>
                                <w:sz w:val="20"/>
                                <w:lang w:val="en-US"/>
                              </w:rPr>
                              <w:t xml:space="preserve">[to be entered]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04E86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1" o:spid="_x0000_s1026" type="#_x0000_t98" style="position:absolute;left:0;text-align:left;margin-left:369.3pt;margin-top:-11.7pt;width:127.85pt;height:32.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" fillcolor="#c45911 [2405]" strokecolor="#823b0b [1605]" strokeweight="1pt">
                <v:stroke joinstyle="miter"/>
                <v:textbox>
                  <w:txbxContent>
                    <w:p w:rsidR="001C2925" w:rsidRPr="003237A5" w:rsidRDefault="001C2925" w:rsidP="000D70EE">
                      <w:pPr>
                        <w:rPr>
                          <w:b/>
                          <w:color w:val="FFFFFF" w:themeColor="background1"/>
                          <w:sz w:val="20"/>
                          <w:lang w:val="en-US"/>
                        </w:rPr>
                      </w:pPr>
                      <w:r w:rsidRPr="003237A5">
                        <w:rPr>
                          <w:b/>
                          <w:color w:val="FFFFFF" w:themeColor="background1"/>
                          <w:sz w:val="20"/>
                          <w:lang w:val="en-US"/>
                        </w:rPr>
                        <w:t xml:space="preserve">Team ID: </w:t>
                      </w:r>
                      <w:r>
                        <w:rPr>
                          <w:b/>
                          <w:color w:val="FFFFFF" w:themeColor="background1"/>
                          <w:sz w:val="20"/>
                          <w:lang w:val="en-US"/>
                        </w:rPr>
                        <w:t xml:space="preserve">[to be entered]</w:t>
                      </w:r>
                    </w:p>
                  </w:txbxContent>
                </v:textbox>
              </v:shape>
            </w:pict>
          </mc:Fallback>
        </mc:AlternateContent>
      </w:r>
      <w:r w:rsidR="00C82C83" w:rsidRPr="001A3A37">
        <w:rPr>
          <w:b/>
          <w:color w:val="385623" w:themeColor="accent6" w:themeShade="80"/>
          <w:sz w:val="34"/>
          <w:szCs w:val="36"/>
        </w:rPr>
        <w:t>Case-Study Report</w:t>
      </w:r>
    </w:p>
    <w:p w:rsidR="008D1026" w:rsidRPr="001C29DB" w:rsidRDefault="008D1026" w:rsidP="005D4FD2">
      <w:pPr>
        <w:jc w:val="center"/>
        <w:rPr>
          <w:b/>
          <w:color w:val="385623" w:themeColor="accent6" w:themeShade="80"/>
          <w:sz w:val="64"/>
          <w:szCs w:val="36"/>
        </w:rPr>
      </w:pPr>
      <w:r w:rsidRPr="008D1026">
        <w:rPr>
          <w:b/>
          <w:color w:val="385623" w:themeColor="accent6" w:themeShade="80"/>
          <w:sz w:val="28"/>
          <w:szCs w:val="36"/>
        </w:rPr>
        <w:t>On</w:t>
      </w:r>
      <w:r>
        <w:rPr>
          <w:b/>
          <w:color w:val="385623" w:themeColor="accent6" w:themeShade="80"/>
          <w:sz w:val="44"/>
          <w:szCs w:val="44"/>
        </w:rPr>
        <w:br/>
        <w:t>“</w:t>
      </w:r>
      <w:r w:rsidR="003D49C4">
        <w:rPr>
          <w:b/>
          <w:color w:val="385623" w:themeColor="accent6" w:themeShade="80"/>
          <w:sz w:val="44"/>
          <w:szCs w:val="44"/>
        </w:rPr>
      </w:r>
      <w:r>
        <w:rPr>
          <w:b/>
          <w:color w:val="385623" w:themeColor="accent6" w:themeShade="80"/>
          <w:sz w:val="44"/>
          <w:szCs w:val="44"/>
        </w:rPr>
        <w:t>Self-Adaptive Big Data Programming Using Reinforcement Learning and Spark</w:t>
      </w:r>
      <w:r w:rsidR="003D49C4">
        <w:rPr>
          <w:b/>
          <w:color w:val="385623" w:themeColor="accent6" w:themeShade="80"/>
          <w:sz w:val="44"/>
          <w:szCs w:val="44"/>
        </w:rPr>
      </w:r>
      <w:r>
        <w:rPr>
          <w:b/>
          <w:color w:val="385623" w:themeColor="accent6" w:themeShade="80"/>
          <w:sz w:val="44"/>
          <w:szCs w:val="44"/>
        </w:rPr>
        <w:t>”</w:t>
      </w:r>
    </w:p>
    <w:p w:rsidR="005D4FD2" w:rsidRPr="001C29DB" w:rsidRDefault="005D4FD2" w:rsidP="005D4FD2">
      <w:pPr>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 xml:space="preserve">Programming for Data Science </w:t>
      </w:r>
      <w:bookmarkStart w:id="0" w:name="_GoBack"/>
      <w:bookmarkEnd w:id="0"/>
    </w:p>
    <w:p w:rsidR="004F0101"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1C0A67" w:rsidRPr="00B406A6" w:rsidRDefault="001C0A67" w:rsidP="00C60B63">
      <w:pPr>
        <w:jc w:val="center"/>
        <w:rPr>
          <w:b/>
          <w:noProof/>
          <w:color w:val="C45911" w:themeColor="accent2" w:themeShade="BF"/>
          <w:sz w:val="26"/>
          <w:lang w:eastAsia="en-IN"/>
        </w:rPr>
      </w:pPr>
    </w:p>
    <w:p w:rsidR="00F32071" w:rsidRPr="001C29DB" w:rsidRDefault="00F32071" w:rsidP="00C60B63">
      <w:pPr>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jc w:val="center"/>
        <w:rPr>
          <w:b/>
          <w:noProof/>
          <w:color w:val="C45911" w:themeColor="accent2" w:themeShade="BF"/>
          <w:sz w:val="30"/>
          <w:lang w:eastAsia="en-IN"/>
        </w:rPr>
      </w:pPr>
    </w:p>
    <w:p w:rsidR="005C6839"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6DEA88AE" wp14:editId="598A5FC3">
            <wp:extent cx="6893560" cy="2545308"/>
            <wp:effectExtent l="0" t="57150" r="0" b="6477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jc w:val="center"/>
        <w:rPr>
          <w:noProof/>
          <w:color w:val="C45911" w:themeColor="accent2" w:themeShade="BF"/>
          <w:lang w:eastAsia="en-IN"/>
        </w:rPr>
      </w:pPr>
      <w:r w:rsidRPr="00B406A6">
        <w:rPr>
          <w:noProof/>
          <w:color w:val="C45911" w:themeColor="accent2" w:themeShade="BF"/>
          <w:lang w:eastAsia="en-IN"/>
        </w:rPr>
        <w:t xml:space="preserve">            </w:t>
      </w:r>
    </w:p>
    <w:p w:rsidR="00336E02"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32"/>
          <w:lang w:eastAsia="en-IN"/>
        </w:rPr>
        <w:t xml:space="preserve"> </w:t>
      </w:r>
    </w:p>
    <w:p w:rsidR="00336E02" w:rsidRPr="00B406A6" w:rsidRDefault="00336E02" w:rsidP="009C36D8">
      <w:pPr>
        <w:jc w:val="center"/>
        <w:rPr>
          <w:b/>
          <w:noProof/>
          <w:color w:val="C45911" w:themeColor="accent2" w:themeShade="BF"/>
          <w:sz w:val="32"/>
          <w:lang w:eastAsia="en-IN"/>
        </w:rPr>
      </w:pPr>
    </w:p>
    <w:p w:rsidR="00D67AFE"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jc w:val="center"/>
        <w:rPr>
          <w:b/>
          <w:noProof/>
          <w:color w:val="C45911" w:themeColor="accent2" w:themeShade="BF"/>
          <w:lang w:eastAsia="en-IN"/>
        </w:rPr>
      </w:pPr>
    </w:p>
    <w:p w:rsidR="00F924BA"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5C6839" w:rsidRPr="001C29DB" w:rsidRDefault="00851ABE" w:rsidP="00A74005">
      <w:pPr>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Default="00C82C83" w:rsidP="004F0101">
      <w:pPr>
        <w:jc w:val="center"/>
        <w:rPr>
          <w:b/>
          <w:noProof/>
          <w:color w:val="385623" w:themeColor="accent6" w:themeShade="80"/>
          <w:sz w:val="32"/>
          <w:lang w:eastAsia="en-IN"/>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rsidR="007B2778" w:rsidRDefault="007B2778">
      <w:pPr>
        <w:rPr>
          <w:b/>
        </w:rPr>
      </w:pPr>
      <w:r>
        <w:rPr>
          <w:b/>
        </w:rPr>
        <w:br w:type="page"/>
      </w:r>
    </w:p>
    <w:p w:rsidR="00717774" w:rsidRDefault="00152395" w:rsidP="00152395">
      <w:pPr>
        <w:jc w:val="center"/>
        <w:rPr>
          <w:b/>
        </w:rPr>
      </w:pPr>
      <w:r w:rsidRPr="00152395">
        <w:rPr>
          <w:b/>
        </w:rPr>
        <w:lastRenderedPageBreak/>
        <w:t>Index</w:t>
      </w:r>
    </w:p>
    <w:p w:rsidR="00152395" w:rsidRPr="00152395" w:rsidRDefault="00152395" w:rsidP="00152395">
      <w:pPr>
        <w:jc w:val="center"/>
        <w:rPr>
          <w:b/>
        </w:rPr>
      </w:pPr>
    </w:p>
    <w:p w:rsidR="001A3A37" w:rsidRDefault="001A3A37" w:rsidP="004F0101">
      <w:pPr>
        <w:jc w:val="center"/>
        <w:rPr>
          <w:b/>
          <w:color w:val="385623" w:themeColor="accent6" w:themeShade="80"/>
          <w:szCs w:val="24"/>
        </w:rPr>
      </w:pPr>
      <w:r w:rsidRPr="001A3A37">
        <w:rPr>
          <w:b/>
          <w:color w:val="385623" w:themeColor="accent6" w:themeShade="80"/>
          <w:sz w:val="28"/>
          <w:szCs w:val="24"/>
        </w:rPr>
        <w:t>Index</w:t>
      </w:r>
      <w:r>
        <w:rPr>
          <w:b/>
          <w:color w:val="385623" w:themeColor="accent6" w:themeShade="80"/>
          <w:szCs w:val="24"/>
        </w:rPr>
        <w:br/>
      </w:r>
    </w:p>
    <w:tbl>
      <w:tblPr>
        <w:tblStyle w:val="GridTable4-Accent2"/>
        <w:tblW w:w="80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9"/>
        <w:gridCol w:w="5904"/>
        <w:gridCol w:w="1134"/>
      </w:tblGrid>
      <w:tr w:rsidR="001A3A37" w:rsidRPr="00F55979" w:rsidTr="001A3A3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99" w:type="dxa"/>
            <w:tcBorders>
              <w:top w:val="single" w:sz="4" w:space="0" w:color="auto"/>
              <w:left w:val="single" w:sz="4" w:space="0" w:color="auto"/>
              <w:bottom w:val="single" w:sz="4" w:space="0" w:color="auto"/>
              <w:right w:val="single" w:sz="4" w:space="0" w:color="auto"/>
            </w:tcBorders>
          </w:tcPr>
          <w:p w:rsidR="001A3A37" w:rsidRPr="00F55979" w:rsidRDefault="001A3A37" w:rsidP="00D760F4">
            <w:pPr>
              <w:spacing w:line="360" w:lineRule="auto"/>
              <w:rPr>
                <w:rFonts w:ascii="Times New Roman" w:hAnsi="Times New Roman" w:cs="Times New Roman"/>
                <w:noProof/>
                <w:szCs w:val="24"/>
              </w:rPr>
            </w:pPr>
            <w:r w:rsidRPr="00F55979">
              <w:rPr>
                <w:rFonts w:ascii="Times New Roman" w:hAnsi="Times New Roman" w:cs="Times New Roman"/>
                <w:noProof/>
                <w:szCs w:val="24"/>
              </w:rPr>
              <w:t xml:space="preserve">Sl. No. </w:t>
            </w:r>
          </w:p>
        </w:tc>
        <w:tc>
          <w:tcPr>
            <w:tcW w:w="5904" w:type="dxa"/>
            <w:tcBorders>
              <w:top w:val="single" w:sz="4" w:space="0" w:color="auto"/>
              <w:left w:val="single" w:sz="4" w:space="0" w:color="auto"/>
              <w:bottom w:val="single" w:sz="4" w:space="0" w:color="auto"/>
              <w:right w:val="single" w:sz="4" w:space="0" w:color="auto"/>
            </w:tcBorders>
          </w:tcPr>
          <w:p w:rsidR="001A3A37" w:rsidRPr="00F55979" w:rsidRDefault="001A3A37" w:rsidP="00D760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F55979">
              <w:rPr>
                <w:rFonts w:ascii="Times New Roman" w:hAnsi="Times New Roman" w:cs="Times New Roman"/>
                <w:szCs w:val="24"/>
              </w:rPr>
              <w:t>Section Topic</w:t>
            </w:r>
          </w:p>
        </w:tc>
        <w:tc>
          <w:tcPr>
            <w:tcW w:w="1134" w:type="dxa"/>
            <w:tcBorders>
              <w:top w:val="single" w:sz="4" w:space="0" w:color="auto"/>
              <w:left w:val="single" w:sz="4" w:space="0" w:color="auto"/>
              <w:bottom w:val="single" w:sz="4" w:space="0" w:color="auto"/>
              <w:right w:val="single" w:sz="4" w:space="0" w:color="auto"/>
            </w:tcBorders>
          </w:tcPr>
          <w:p w:rsidR="001A3A37" w:rsidRPr="00F55979" w:rsidRDefault="001A3A37" w:rsidP="00D760F4">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F55979">
              <w:rPr>
                <w:rFonts w:ascii="Times New Roman" w:hAnsi="Times New Roman" w:cs="Times New Roman"/>
                <w:szCs w:val="24"/>
              </w:rPr>
              <w:t xml:space="preserve">Page No. </w:t>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Borders>
              <w:top w:val="single" w:sz="4" w:space="0" w:color="auto"/>
            </w:tcBorders>
          </w:tcPr>
          <w:p w:rsidR="001A3A37" w:rsidRPr="00F55979" w:rsidRDefault="001A3A37" w:rsidP="00D760F4">
            <w:pPr>
              <w:spacing w:line="360" w:lineRule="auto"/>
              <w:jc w:val="center"/>
              <w:rPr>
                <w:rFonts w:ascii="Times New Roman" w:hAnsi="Times New Roman" w:cs="Times New Roman"/>
                <w:szCs w:val="24"/>
              </w:rPr>
            </w:pPr>
          </w:p>
        </w:tc>
        <w:tc>
          <w:tcPr>
            <w:tcW w:w="5904" w:type="dxa"/>
            <w:tcBorders>
              <w:top w:val="single" w:sz="4" w:space="0" w:color="auto"/>
            </w:tcBorders>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Abstract</w:t>
            </w:r>
          </w:p>
        </w:tc>
        <w:tc>
          <w:tcPr>
            <w:tcW w:w="1134" w:type="dxa"/>
            <w:tcBorders>
              <w:top w:val="single" w:sz="4" w:space="0" w:color="auto"/>
            </w:tcBorders>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_AdaSec0 \h </w:instrText>
            </w:r>
            <w:r>
              <w:rPr>
                <w:rFonts w:ascii="Times New Roman" w:hAnsi="Times New Roman" w:cs="Times New Roman"/>
                <w:szCs w:val="24"/>
              </w:rPr>
              <w:fldChar w:fldCharType="separate"/>
            </w:r>
            <w:r>
              <w:rPr>
                <w:rFonts w:ascii="Times New Roman" w:hAnsi="Times New Roman" w:cs="Times New Roman"/>
                <w:szCs w:val="24"/>
              </w:rPr>
              <w:t>6</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Borders>
              <w:top w:val="single" w:sz="4" w:space="0" w:color="auto"/>
            </w:tcBorders>
          </w:tcPr>
          <w:p w:rsidR="001A3A37" w:rsidRPr="00F55979" w:rsidRDefault="001A3A37" w:rsidP="00D760F4">
            <w:pPr>
              <w:spacing w:line="360" w:lineRule="auto"/>
              <w:jc w:val="center"/>
              <w:rPr>
                <w:rFonts w:ascii="Times New Roman" w:hAnsi="Times New Roman" w:cs="Times New Roman"/>
                <w:szCs w:val="24"/>
              </w:rPr>
            </w:pPr>
          </w:p>
        </w:tc>
        <w:tc>
          <w:tcPr>
            <w:tcW w:w="5904" w:type="dxa"/>
            <w:tcBorders>
              <w:top w:val="single" w:sz="4" w:space="0" w:color="auto"/>
            </w:tcBorders>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Executive Summary</w:t>
            </w:r>
          </w:p>
        </w:tc>
        <w:tc>
          <w:tcPr>
            <w:tcW w:w="1134" w:type="dxa"/>
            <w:tcBorders>
              <w:top w:val="single" w:sz="4" w:space="0" w:color="auto"/>
            </w:tcBorders>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_AdaSecES \h </w:instrText>
            </w:r>
            <w:r>
              <w:rPr>
                <w:rFonts w:ascii="Times New Roman" w:hAnsi="Times New Roman" w:cs="Times New Roman"/>
                <w:szCs w:val="24"/>
              </w:rPr>
              <w:fldChar w:fldCharType="separate"/>
            </w:r>
            <w:r>
              <w:rPr>
                <w:rFonts w:ascii="Times New Roman" w:hAnsi="Times New Roman" w:cs="Times New Roman"/>
                <w:szCs w:val="24"/>
              </w:rPr>
              <w:t>6</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Introduction</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 \h </w:instrText>
            </w:r>
            <w:r>
              <w:rPr>
                <w:rFonts w:ascii="Times New Roman" w:hAnsi="Times New Roman" w:cs="Times New Roman"/>
                <w:szCs w:val="24"/>
              </w:rPr>
              <w:fldChar w:fldCharType="separate"/>
            </w:r>
            <w:r>
              <w:rPr>
                <w:rFonts w:ascii="Times New Roman" w:hAnsi="Times New Roman" w:cs="Times New Roman"/>
                <w:szCs w:val="24"/>
              </w:rPr>
              <w:t>7</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Problem Statement</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 \h </w:instrText>
            </w:r>
            <w:r>
              <w:rPr>
                <w:rFonts w:ascii="Times New Roman" w:hAnsi="Times New Roman" w:cs="Times New Roman"/>
                <w:szCs w:val="24"/>
              </w:rPr>
              <w:fldChar w:fldCharType="separate"/>
            </w:r>
            <w:r>
              <w:rPr>
                <w:rFonts w:ascii="Times New Roman" w:hAnsi="Times New Roman" w:cs="Times New Roman"/>
                <w:szCs w:val="24"/>
              </w:rPr>
              <w:t>8</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Background and Literature Review</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_AdaSec3 \h </w:instrText>
            </w:r>
            <w:r>
              <w:rPr>
                <w:rFonts w:ascii="Times New Roman" w:hAnsi="Times New Roman" w:cs="Times New Roman"/>
                <w:szCs w:val="24"/>
              </w:rPr>
              <w:fldChar w:fldCharType="separate"/>
            </w:r>
            <w:r>
              <w:rPr>
                <w:rFonts w:ascii="Times New Roman" w:hAnsi="Times New Roman" w:cs="Times New Roman"/>
                <w:szCs w:val="24"/>
              </w:rPr>
              <w:t>9</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Requirements Analysis for Self-Adaptive Big Data Systems</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_AdaSec4 \h </w:instrText>
            </w:r>
            <w:r>
              <w:rPr>
                <w:rFonts w:ascii="Times New Roman" w:hAnsi="Times New Roman" w:cs="Times New Roman"/>
                <w:szCs w:val="24"/>
              </w:rPr>
              <w:fldChar w:fldCharType="separate"/>
            </w:r>
            <w:r>
              <w:rPr>
                <w:rFonts w:ascii="Times New Roman" w:hAnsi="Times New Roman" w:cs="Times New Roman"/>
                <w:szCs w:val="24"/>
              </w:rPr>
              <w:t>12</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Reinforcement Learning-Driven Spark Architecture</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_AdaSec5 \h </w:instrText>
            </w:r>
            <w:r>
              <w:rPr>
                <w:rFonts w:ascii="Times New Roman" w:hAnsi="Times New Roman" w:cs="Times New Roman"/>
                <w:szCs w:val="24"/>
              </w:rPr>
              <w:fldChar w:fldCharType="separate"/>
            </w:r>
            <w:r>
              <w:rPr>
                <w:rFonts w:ascii="Times New Roman" w:hAnsi="Times New Roman" w:cs="Times New Roman"/>
                <w:szCs w:val="24"/>
              </w:rPr>
              <w:t>13</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Big Data Programming and Execution Layer</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_AdaSec6 \h </w:instrText>
            </w:r>
            <w:r>
              <w:rPr>
                <w:rFonts w:ascii="Times New Roman" w:hAnsi="Times New Roman" w:cs="Times New Roman"/>
                <w:szCs w:val="24"/>
              </w:rPr>
              <w:fldChar w:fldCharType="separate"/>
            </w:r>
            <w:r>
              <w:rPr>
                <w:rFonts w:ascii="Times New Roman" w:hAnsi="Times New Roman" w:cs="Times New Roman"/>
                <w:szCs w:val="24"/>
              </w:rPr>
              <w:t>14</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Reinforcement Learning Optimization Layer</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_AdaSec7 \h </w:instrText>
            </w:r>
            <w:r>
              <w:rPr>
                <w:rFonts w:ascii="Times New Roman" w:hAnsi="Times New Roman" w:cs="Times New Roman"/>
                <w:szCs w:val="24"/>
              </w:rPr>
              <w:fldChar w:fldCharType="separate"/>
            </w:r>
            <w:r>
              <w:rPr>
                <w:rFonts w:ascii="Times New Roman" w:hAnsi="Times New Roman" w:cs="Times New Roman"/>
                <w:szCs w:val="24"/>
              </w:rPr>
              <w:t>15</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Adaptive Resource Allocation and Scheduling Framework</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_AdaSec8 \h </w:instrText>
            </w:r>
            <w:r>
              <w:rPr>
                <w:rFonts w:ascii="Times New Roman" w:hAnsi="Times New Roman" w:cs="Times New Roman"/>
                <w:szCs w:val="24"/>
              </w:rPr>
              <w:fldChar w:fldCharType="separate"/>
            </w:r>
            <w:r>
              <w:rPr>
                <w:rFonts w:ascii="Times New Roman" w:hAnsi="Times New Roman" w:cs="Times New Roman"/>
                <w:szCs w:val="24"/>
              </w:rPr>
              <w:t>17</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Self-Tuning Performance Optimization Layer</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_AdaSec9 \h </w:instrText>
            </w:r>
            <w:r>
              <w:rPr>
                <w:rFonts w:ascii="Times New Roman" w:hAnsi="Times New Roman" w:cs="Times New Roman"/>
                <w:szCs w:val="24"/>
              </w:rPr>
              <w:fldChar w:fldCharType="separate"/>
            </w:r>
            <w:r>
              <w:rPr>
                <w:rFonts w:ascii="Times New Roman" w:hAnsi="Times New Roman" w:cs="Times New Roman"/>
                <w:szCs w:val="24"/>
              </w:rPr>
              <w:t>18</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Explainability and Decision Intelligence Layer</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_AdaSec10 \h </w:instrText>
            </w:r>
            <w:r>
              <w:rPr>
                <w:rFonts w:ascii="Times New Roman" w:hAnsi="Times New Roman" w:cs="Times New Roman"/>
                <w:szCs w:val="24"/>
              </w:rPr>
              <w:fldChar w:fldCharType="separate"/>
            </w:r>
            <w:r>
              <w:rPr>
                <w:rFonts w:ascii="Times New Roman" w:hAnsi="Times New Roman" w:cs="Times New Roman"/>
                <w:szCs w:val="24"/>
              </w:rPr>
              <w:t>19</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Monitoring, Feedback, and Learning Layer</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_AdaSec11 \h </w:instrText>
            </w:r>
            <w:r>
              <w:rPr>
                <w:rFonts w:ascii="Times New Roman" w:hAnsi="Times New Roman" w:cs="Times New Roman"/>
                <w:szCs w:val="24"/>
              </w:rPr>
              <w:fldChar w:fldCharType="separate"/>
            </w:r>
            <w:r>
              <w:rPr>
                <w:rFonts w:ascii="Times New Roman" w:hAnsi="Times New Roman" w:cs="Times New Roman"/>
                <w:szCs w:val="24"/>
              </w:rPr>
              <w:t>20</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Security, Reliability, and Governance Layer</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_AdaSec12 \h </w:instrText>
            </w:r>
            <w:r>
              <w:rPr>
                <w:rFonts w:ascii="Times New Roman" w:hAnsi="Times New Roman" w:cs="Times New Roman"/>
                <w:szCs w:val="24"/>
              </w:rPr>
              <w:fldChar w:fldCharType="separate"/>
            </w:r>
            <w:r>
              <w:rPr>
                <w:rFonts w:ascii="Times New Roman" w:hAnsi="Times New Roman" w:cs="Times New Roman"/>
                <w:szCs w:val="24"/>
              </w:rPr>
              <w:t>21</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Experimental Setup</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_AdaSec13 \h </w:instrText>
            </w:r>
            <w:r>
              <w:rPr>
                <w:rFonts w:ascii="Times New Roman" w:hAnsi="Times New Roman" w:cs="Times New Roman"/>
                <w:szCs w:val="24"/>
              </w:rPr>
              <w:fldChar w:fldCharType="separate"/>
            </w:r>
            <w:r>
              <w:rPr>
                <w:rFonts w:ascii="Times New Roman" w:hAnsi="Times New Roman" w:cs="Times New Roman"/>
                <w:szCs w:val="24"/>
              </w:rPr>
              <w:t>22</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Evaluation Metrics</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_AdaSec14 \h </w:instrText>
            </w:r>
            <w:r>
              <w:rPr>
                <w:rFonts w:ascii="Times New Roman" w:hAnsi="Times New Roman" w:cs="Times New Roman"/>
                <w:szCs w:val="24"/>
              </w:rPr>
              <w:fldChar w:fldCharType="separate"/>
            </w:r>
            <w:r>
              <w:rPr>
                <w:rFonts w:ascii="Times New Roman" w:hAnsi="Times New Roman" w:cs="Times New Roman"/>
                <w:szCs w:val="24"/>
              </w:rPr>
              <w:t>23</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Results and Findings</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_AdaSec15 \h </w:instrText>
            </w:r>
            <w:r>
              <w:rPr>
                <w:rFonts w:ascii="Times New Roman" w:hAnsi="Times New Roman" w:cs="Times New Roman"/>
                <w:szCs w:val="24"/>
              </w:rPr>
              <w:fldChar w:fldCharType="separate"/>
            </w:r>
            <w:r>
              <w:rPr>
                <w:rFonts w:ascii="Times New Roman" w:hAnsi="Times New Roman" w:cs="Times New Roman"/>
                <w:szCs w:val="24"/>
              </w:rPr>
              <w:t>24</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Comparative Analysis</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_AdaSec16 \h </w:instrText>
            </w:r>
            <w:r>
              <w:rPr>
                <w:rFonts w:ascii="Times New Roman" w:hAnsi="Times New Roman" w:cs="Times New Roman"/>
                <w:szCs w:val="24"/>
              </w:rPr>
              <w:fldChar w:fldCharType="separate"/>
            </w:r>
            <w:r>
              <w:rPr>
                <w:rFonts w:ascii="Times New Roman" w:hAnsi="Times New Roman" w:cs="Times New Roman"/>
                <w:szCs w:val="24"/>
              </w:rPr>
              <w:t>27</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Explainability, Reliability, and Trustworthiness Assessment</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_AdaSec17 \h </w:instrText>
            </w:r>
            <w:r>
              <w:rPr>
                <w:rFonts w:ascii="Times New Roman" w:hAnsi="Times New Roman" w:cs="Times New Roman"/>
                <w:szCs w:val="24"/>
              </w:rPr>
              <w:fldChar w:fldCharType="separate"/>
            </w:r>
            <w:r>
              <w:rPr>
                <w:rFonts w:ascii="Times New Roman" w:hAnsi="Times New Roman" w:cs="Times New Roman"/>
                <w:szCs w:val="24"/>
              </w:rPr>
              <w:t>28</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Industry Use Cases and Case Study Evaluation</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_AdaSec18 \h </w:instrText>
            </w:r>
            <w:r>
              <w:rPr>
                <w:rFonts w:ascii="Times New Roman" w:hAnsi="Times New Roman" w:cs="Times New Roman"/>
                <w:szCs w:val="24"/>
              </w:rPr>
              <w:fldChar w:fldCharType="separate"/>
            </w:r>
            <w:r>
              <w:rPr>
                <w:rFonts w:ascii="Times New Roman" w:hAnsi="Times New Roman" w:cs="Times New Roman"/>
                <w:szCs w:val="24"/>
              </w:rPr>
              <w:t>29</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Business Impact Assessment</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_AdaSec19 \h </w:instrText>
            </w:r>
            <w:r>
              <w:rPr>
                <w:rFonts w:ascii="Times New Roman" w:hAnsi="Times New Roman" w:cs="Times New Roman"/>
                <w:szCs w:val="24"/>
              </w:rPr>
              <w:fldChar w:fldCharType="separate"/>
            </w:r>
            <w:r>
              <w:rPr>
                <w:rFonts w:ascii="Times New Roman" w:hAnsi="Times New Roman" w:cs="Times New Roman"/>
                <w:szCs w:val="24"/>
              </w:rPr>
              <w:t>30</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Challenges and Limitations</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_AdaSec20 \h </w:instrText>
            </w:r>
            <w:r>
              <w:rPr>
                <w:rFonts w:ascii="Times New Roman" w:hAnsi="Times New Roman" w:cs="Times New Roman"/>
                <w:szCs w:val="24"/>
              </w:rPr>
              <w:fldChar w:fldCharType="separate"/>
            </w:r>
            <w:r>
              <w:rPr>
                <w:rFonts w:ascii="Times New Roman" w:hAnsi="Times New Roman" w:cs="Times New Roman"/>
                <w:szCs w:val="24"/>
              </w:rPr>
              <w:t>31</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Future Research Directions</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_AdaSec21 \h </w:instrText>
            </w:r>
            <w:r>
              <w:rPr>
                <w:rFonts w:ascii="Times New Roman" w:hAnsi="Times New Roman" w:cs="Times New Roman"/>
                <w:szCs w:val="24"/>
              </w:rPr>
              <w:fldChar w:fldCharType="separate"/>
            </w:r>
            <w:r>
              <w:rPr>
                <w:rFonts w:ascii="Times New Roman" w:hAnsi="Times New Roman" w:cs="Times New Roman"/>
                <w:szCs w:val="24"/>
              </w:rPr>
              <w:t>32</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pStyle w:val="ListParagraph"/>
              <w:numPr>
                <w:ilvl w:val="0"/>
                <w:numId w:val="17"/>
              </w:numPr>
              <w:spacing w:line="360" w:lineRule="auto"/>
              <w:jc w:val="center"/>
              <w:rPr>
                <w:rFonts w:ascii="Times New Roman" w:eastAsia="Times New Roman" w:hAnsi="Times New Roman" w:cs="Times New Roman"/>
                <w:szCs w:val="24"/>
                <w:lang w:eastAsia="en-IN"/>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Conclusion</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_AdaSec22 \h </w:instrText>
            </w:r>
            <w:r>
              <w:rPr>
                <w:rFonts w:ascii="Times New Roman" w:hAnsi="Times New Roman" w:cs="Times New Roman"/>
                <w:szCs w:val="24"/>
              </w:rPr>
              <w:fldChar w:fldCharType="separate"/>
            </w:r>
            <w:r>
              <w:rPr>
                <w:rFonts w:ascii="Times New Roman" w:hAnsi="Times New Roman" w:cs="Times New Roman"/>
                <w:szCs w:val="24"/>
              </w:rPr>
              <w:t>33</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Data Availability</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_AdaSec23 \h </w:instrText>
            </w:r>
            <w:r>
              <w:rPr>
                <w:rFonts w:ascii="Times New Roman" w:hAnsi="Times New Roman" w:cs="Times New Roman"/>
                <w:szCs w:val="24"/>
              </w:rPr>
              <w:fldChar w:fldCharType="separate"/>
            </w:r>
            <w:r>
              <w:rPr>
                <w:rFonts w:ascii="Times New Roman" w:hAnsi="Times New Roman" w:cs="Times New Roman"/>
                <w:szCs w:val="24"/>
              </w:rPr>
              <w:t>34</w:t>
            </w:r>
            <w:r>
              <w:rPr>
                <w:rFonts w:ascii="Times New Roman" w:hAnsi="Times New Roman" w:cs="Times New Roman"/>
                <w:szCs w:val="24"/>
              </w:rPr>
              <w:fldChar w:fldCharType="end"/>
            </w:r>
          </w:p>
        </w:tc>
      </w:tr>
      <w:tr w:rsidR="001A3A37" w:rsidRPr="00F55979" w:rsidTr="001A3A37">
        <w:trPr>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References</w:t>
            </w:r>
          </w:p>
        </w:tc>
        <w:tc>
          <w:tcPr>
            <w:tcW w:w="1134" w:type="dxa"/>
          </w:tcPr>
          <w:p w:rsidR="001A3A37" w:rsidRPr="00F55979" w:rsidRDefault="001A3A37" w:rsidP="00D760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_AdaSec24 \h </w:instrText>
            </w:r>
            <w:r>
              <w:rPr>
                <w:rFonts w:ascii="Times New Roman" w:hAnsi="Times New Roman" w:cs="Times New Roman"/>
                <w:szCs w:val="24"/>
              </w:rPr>
              <w:fldChar w:fldCharType="separate"/>
            </w:r>
            <w:r>
              <w:rPr>
                <w:rFonts w:ascii="Times New Roman" w:hAnsi="Times New Roman" w:cs="Times New Roman"/>
                <w:szCs w:val="24"/>
              </w:rPr>
              <w:t>34</w:t>
            </w:r>
            <w:r>
              <w:rPr>
                <w:rFonts w:ascii="Times New Roman" w:hAnsi="Times New Roman" w:cs="Times New Roman"/>
                <w:szCs w:val="24"/>
              </w:rPr>
              <w:fldChar w:fldCharType="end"/>
            </w:r>
          </w:p>
        </w:tc>
      </w:tr>
      <w:tr w:rsidR="001A3A37" w:rsidRPr="00F55979" w:rsidTr="001A3A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9" w:type="dxa"/>
          </w:tcPr>
          <w:p w:rsidR="001A3A37" w:rsidRPr="00F55979" w:rsidRDefault="001A3A37" w:rsidP="00D760F4">
            <w:pPr>
              <w:spacing w:line="360" w:lineRule="auto"/>
              <w:jc w:val="center"/>
              <w:rPr>
                <w:rFonts w:ascii="Times New Roman" w:hAnsi="Times New Roman" w:cs="Times New Roman"/>
                <w:szCs w:val="24"/>
              </w:rPr>
            </w:pPr>
          </w:p>
        </w:tc>
        <w:tc>
          <w:tcPr>
            <w:tcW w:w="590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Appendix</w:t>
            </w:r>
          </w:p>
        </w:tc>
        <w:tc>
          <w:tcPr>
            <w:tcW w:w="1134" w:type="dxa"/>
          </w:tcPr>
          <w:p w:rsidR="001A3A37" w:rsidRPr="00F55979" w:rsidRDefault="001A3A37" w:rsidP="00D760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_AdaSec25 \h </w:instrText>
            </w:r>
            <w:r>
              <w:rPr>
                <w:rFonts w:ascii="Times New Roman" w:hAnsi="Times New Roman" w:cs="Times New Roman"/>
                <w:szCs w:val="24"/>
              </w:rPr>
              <w:fldChar w:fldCharType="separate"/>
            </w:r>
            <w:r>
              <w:rPr>
                <w:rFonts w:ascii="Times New Roman" w:hAnsi="Times New Roman" w:cs="Times New Roman"/>
                <w:szCs w:val="24"/>
              </w:rPr>
              <w:t>38</w:t>
            </w:r>
            <w:r>
              <w:rPr>
                <w:rFonts w:ascii="Times New Roman" w:hAnsi="Times New Roman" w:cs="Times New Roman"/>
                <w:szCs w:val="24"/>
              </w:rPr>
              <w:fldChar w:fldCharType="end"/>
            </w:r>
          </w:p>
        </w:tc>
      </w:tr>
    </w:tbl>
    <w:p w:rsidR="00BD79A8" w:rsidRPr="00152395" w:rsidRDefault="00152395" w:rsidP="00152395">
      <w:pPr>
        <w:pageBreakBefore/>
        <w:jc w:val="center"/>
        <w:rPr>
          <w:b/>
        </w:rPr>
      </w:pPr>
      <w:r w:rsidRPr="00152395">
        <w:rPr>
          <w:b/>
        </w:rPr>
        <w:t>List of Figures</w:t>
      </w:r>
    </w:p>
    <w:p w:rsidR="00BD79A8" w:rsidRDefault="00BD79A8"/>
    <w:tbl>
      <w:tblPr>
        <w:tblStyle w:val="GridTable4-Accent2"/>
        <w:tblW w:w="849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7"/>
        <w:gridCol w:w="5904"/>
        <w:gridCol w:w="1134"/>
      </w:tblGrid>
      <w:tr w:rsidR="00BD79A8" w:rsidRPr="00F55979" w:rsidTr="001523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57" w:type="dxa"/>
            <w:tcBorders>
              <w:top w:val="single" w:sz="4" w:space="0" w:color="auto"/>
              <w:left w:val="single" w:sz="4" w:space="0" w:color="auto"/>
              <w:bottom w:val="single" w:sz="4" w:space="0" w:color="auto"/>
              <w:right w:val="single" w:sz="4" w:space="0" w:color="auto"/>
            </w:tcBorders>
          </w:tcPr>
          <w:p w:rsidR="00BD79A8" w:rsidRPr="00F55979" w:rsidRDefault="00BD79A8" w:rsidP="001C2925">
            <w:pPr>
              <w:spacing w:line="360" w:lineRule="auto"/>
              <w:rPr>
                <w:rFonts w:ascii="Times New Roman" w:hAnsi="Times New Roman" w:cs="Times New Roman"/>
                <w:noProof/>
                <w:szCs w:val="24"/>
              </w:rPr>
            </w:pPr>
            <w:r>
              <w:rPr>
                <w:rFonts w:ascii="Times New Roman" w:hAnsi="Times New Roman" w:cs="Times New Roman"/>
                <w:noProof/>
                <w:szCs w:val="24"/>
              </w:rPr>
              <w:t>Fig</w:t>
            </w:r>
            <w:r w:rsidRPr="00F55979">
              <w:rPr>
                <w:rFonts w:ascii="Times New Roman" w:hAnsi="Times New Roman" w:cs="Times New Roman"/>
                <w:noProof/>
                <w:szCs w:val="24"/>
              </w:rPr>
              <w:t xml:space="preserve">. No. </w:t>
            </w:r>
          </w:p>
        </w:tc>
        <w:tc>
          <w:tcPr>
            <w:tcW w:w="5904" w:type="dxa"/>
            <w:tcBorders>
              <w:top w:val="single" w:sz="4" w:space="0" w:color="auto"/>
              <w:left w:val="single" w:sz="4" w:space="0" w:color="auto"/>
              <w:bottom w:val="single" w:sz="4" w:space="0" w:color="auto"/>
              <w:right w:val="single" w:sz="4" w:space="0" w:color="auto"/>
            </w:tcBorders>
          </w:tcPr>
          <w:p w:rsidR="00BD79A8" w:rsidRPr="00F55979" w:rsidRDefault="00BD79A8" w:rsidP="001C292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Figure Title</w:t>
            </w:r>
          </w:p>
        </w:tc>
        <w:tc>
          <w:tcPr>
            <w:tcW w:w="1134" w:type="dxa"/>
            <w:tcBorders>
              <w:top w:val="single" w:sz="4" w:space="0" w:color="auto"/>
              <w:left w:val="single" w:sz="4" w:space="0" w:color="auto"/>
              <w:bottom w:val="single" w:sz="4" w:space="0" w:color="auto"/>
              <w:right w:val="single" w:sz="4" w:space="0" w:color="auto"/>
            </w:tcBorders>
          </w:tcPr>
          <w:p w:rsidR="00BD79A8" w:rsidRPr="00F55979" w:rsidRDefault="00BD79A8" w:rsidP="001C292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F55979">
              <w:rPr>
                <w:rFonts w:ascii="Times New Roman" w:hAnsi="Times New Roman" w:cs="Times New Roman"/>
                <w:szCs w:val="24"/>
              </w:rPr>
              <w:t xml:space="preserve">Page No. </w:t>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Evolution of Big Data Programming Frameworks</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 \h </w:instrText>
            </w:r>
            <w:r>
              <w:rPr>
                <w:rFonts w:ascii="Times New Roman" w:hAnsi="Times New Roman" w:cs="Times New Roman"/>
                <w:szCs w:val="24"/>
              </w:rPr>
              <w:fldChar w:fldCharType="separate"/>
            </w:r>
            <w:r>
              <w:rPr>
                <w:rFonts w:ascii="Times New Roman" w:hAnsi="Times New Roman" w:cs="Times New Roman"/>
                <w:szCs w:val="24"/>
              </w:rPr>
              <w:t>8</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Self-Adaptive Analytics Ecosystem</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 \h </w:instrText>
            </w:r>
            <w:r>
              <w:rPr>
                <w:rFonts w:ascii="Times New Roman" w:hAnsi="Times New Roman" w:cs="Times New Roman"/>
                <w:szCs w:val="24"/>
              </w:rPr>
              <w:fldChar w:fldCharType="separate"/>
            </w:r>
            <w:r>
              <w:rPr>
                <w:rFonts w:ascii="Times New Roman" w:hAnsi="Times New Roman" w:cs="Times New Roman"/>
                <w:szCs w:val="24"/>
              </w:rPr>
              <w:t>8</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Big Data Programming Challenges Landscape</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_AdaFig3 \h </w:instrText>
            </w:r>
            <w:r>
              <w:rPr>
                <w:rFonts w:ascii="Times New Roman" w:hAnsi="Times New Roman" w:cs="Times New Roman"/>
                <w:szCs w:val="24"/>
              </w:rPr>
              <w:fldChar w:fldCharType="separate"/>
            </w:r>
            <w:r>
              <w:rPr>
                <w:rFonts w:ascii="Times New Roman" w:hAnsi="Times New Roman" w:cs="Times New Roman"/>
                <w:szCs w:val="24"/>
              </w:rPr>
              <w:t>9</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Literature Taxonomy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_AdaFig4 \h </w:instrText>
            </w:r>
            <w:r>
              <w:rPr>
                <w:rFonts w:ascii="Times New Roman" w:hAnsi="Times New Roman" w:cs="Times New Roman"/>
                <w:szCs w:val="24"/>
              </w:rPr>
              <w:fldChar w:fldCharType="separate"/>
            </w:r>
            <w:r>
              <w:rPr>
                <w:rFonts w:ascii="Times New Roman" w:hAnsi="Times New Roman" w:cs="Times New Roman"/>
                <w:szCs w:val="24"/>
              </w:rPr>
              <w:t>12</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Requirements Engineering Model</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_AdaFig5 \h </w:instrText>
            </w:r>
            <w:r>
              <w:rPr>
                <w:rFonts w:ascii="Times New Roman" w:hAnsi="Times New Roman" w:cs="Times New Roman"/>
                <w:szCs w:val="24"/>
              </w:rPr>
              <w:fldChar w:fldCharType="separate"/>
            </w:r>
            <w:r>
              <w:rPr>
                <w:rFonts w:ascii="Times New Roman" w:hAnsi="Times New Roman" w:cs="Times New Roman"/>
                <w:szCs w:val="24"/>
              </w:rPr>
              <w:t>13</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RL-Driven Spark Architecture</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_AdaFig6 \h </w:instrText>
            </w:r>
            <w:r>
              <w:rPr>
                <w:rFonts w:ascii="Times New Roman" w:hAnsi="Times New Roman" w:cs="Times New Roman"/>
                <w:szCs w:val="24"/>
              </w:rPr>
              <w:fldChar w:fldCharType="separate"/>
            </w:r>
            <w:r>
              <w:rPr>
                <w:rFonts w:ascii="Times New Roman" w:hAnsi="Times New Roman" w:cs="Times New Roman"/>
                <w:szCs w:val="24"/>
              </w:rPr>
              <w:t>14</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Layered System Architecture</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_AdaFig7 \h </w:instrText>
            </w:r>
            <w:r>
              <w:rPr>
                <w:rFonts w:ascii="Times New Roman" w:hAnsi="Times New Roman" w:cs="Times New Roman"/>
                <w:szCs w:val="24"/>
              </w:rPr>
              <w:fldChar w:fldCharType="separate"/>
            </w:r>
            <w:r>
              <w:rPr>
                <w:rFonts w:ascii="Times New Roman" w:hAnsi="Times New Roman" w:cs="Times New Roman"/>
                <w:szCs w:val="24"/>
              </w:rPr>
              <w:t>14</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Apache Spark Execution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_AdaFig8 \h </w:instrText>
            </w:r>
            <w:r>
              <w:rPr>
                <w:rFonts w:ascii="Times New Roman" w:hAnsi="Times New Roman" w:cs="Times New Roman"/>
                <w:szCs w:val="24"/>
              </w:rPr>
              <w:fldChar w:fldCharType="separate"/>
            </w:r>
            <w:r>
              <w:rPr>
                <w:rFonts w:ascii="Times New Roman" w:hAnsi="Times New Roman" w:cs="Times New Roman"/>
                <w:szCs w:val="24"/>
              </w:rPr>
              <w:t>15</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Reinforcement Learning Workflow</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_AdaFig9 \h </w:instrText>
            </w:r>
            <w:r>
              <w:rPr>
                <w:rFonts w:ascii="Times New Roman" w:hAnsi="Times New Roman" w:cs="Times New Roman"/>
                <w:szCs w:val="24"/>
              </w:rPr>
              <w:fldChar w:fldCharType="separate"/>
            </w:r>
            <w:r>
              <w:rPr>
                <w:rFonts w:ascii="Times New Roman" w:hAnsi="Times New Roman" w:cs="Times New Roman"/>
                <w:szCs w:val="24"/>
              </w:rPr>
              <w:t>16</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hAnsi="Times New Roman" w:cs="Times New Roman"/>
                <w:szCs w:val="24"/>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RL Agent Interaction Model</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_AdaFig10 \h </w:instrText>
            </w:r>
            <w:r>
              <w:rPr>
                <w:rFonts w:ascii="Times New Roman" w:hAnsi="Times New Roman" w:cs="Times New Roman"/>
                <w:szCs w:val="24"/>
              </w:rPr>
              <w:fldChar w:fldCharType="separate"/>
            </w:r>
            <w:r>
              <w:rPr>
                <w:rFonts w:ascii="Times New Roman" w:hAnsi="Times New Roman" w:cs="Times New Roman"/>
                <w:szCs w:val="24"/>
              </w:rPr>
              <w:t>17</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Dynamic Resource Allocation Model</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_AdaFig11 \h </w:instrText>
            </w:r>
            <w:r>
              <w:rPr>
                <w:rFonts w:ascii="Times New Roman" w:hAnsi="Times New Roman" w:cs="Times New Roman"/>
                <w:szCs w:val="24"/>
              </w:rPr>
              <w:fldChar w:fldCharType="separate"/>
            </w:r>
            <w:r>
              <w:rPr>
                <w:rFonts w:ascii="Times New Roman" w:hAnsi="Times New Roman" w:cs="Times New Roman"/>
                <w:szCs w:val="24"/>
              </w:rPr>
              <w:t>18</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Adaptive Scheduling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_AdaFig12 \h </w:instrText>
            </w:r>
            <w:r>
              <w:rPr>
                <w:rFonts w:ascii="Times New Roman" w:hAnsi="Times New Roman" w:cs="Times New Roman"/>
                <w:szCs w:val="24"/>
              </w:rPr>
              <w:fldChar w:fldCharType="separate"/>
            </w:r>
            <w:r>
              <w:rPr>
                <w:rFonts w:ascii="Times New Roman" w:hAnsi="Times New Roman" w:cs="Times New Roman"/>
                <w:szCs w:val="24"/>
              </w:rPr>
              <w:t>18</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Self-Tuning Architecture</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_AdaFig13 \h </w:instrText>
            </w:r>
            <w:r>
              <w:rPr>
                <w:rFonts w:ascii="Times New Roman" w:hAnsi="Times New Roman" w:cs="Times New Roman"/>
                <w:szCs w:val="24"/>
              </w:rPr>
              <w:fldChar w:fldCharType="separate"/>
            </w:r>
            <w:r>
              <w:rPr>
                <w:rFonts w:ascii="Times New Roman" w:hAnsi="Times New Roman" w:cs="Times New Roman"/>
                <w:szCs w:val="24"/>
              </w:rPr>
              <w:t>19</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Parameter Optimization Lifecycle</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_AdaFig14 \h </w:instrText>
            </w:r>
            <w:r>
              <w:rPr>
                <w:rFonts w:ascii="Times New Roman" w:hAnsi="Times New Roman" w:cs="Times New Roman"/>
                <w:szCs w:val="24"/>
              </w:rPr>
              <w:fldChar w:fldCharType="separate"/>
            </w:r>
            <w:r>
              <w:rPr>
                <w:rFonts w:ascii="Times New Roman" w:hAnsi="Times New Roman" w:cs="Times New Roman"/>
                <w:szCs w:val="24"/>
              </w:rPr>
              <w:t>19</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Explainable RL Framework</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_AdaFig15 \h </w:instrText>
            </w:r>
            <w:r>
              <w:rPr>
                <w:rFonts w:ascii="Times New Roman" w:hAnsi="Times New Roman" w:cs="Times New Roman"/>
                <w:szCs w:val="24"/>
              </w:rPr>
              <w:fldChar w:fldCharType="separate"/>
            </w:r>
            <w:r>
              <w:rPr>
                <w:rFonts w:ascii="Times New Roman" w:hAnsi="Times New Roman" w:cs="Times New Roman"/>
                <w:szCs w:val="24"/>
              </w:rPr>
              <w:t>20</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Decision Intelligence Workflow</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_AdaFig16 \h </w:instrText>
            </w:r>
            <w:r>
              <w:rPr>
                <w:rFonts w:ascii="Times New Roman" w:hAnsi="Times New Roman" w:cs="Times New Roman"/>
                <w:szCs w:val="24"/>
              </w:rPr>
              <w:fldChar w:fldCharType="separate"/>
            </w:r>
            <w:r>
              <w:rPr>
                <w:rFonts w:ascii="Times New Roman" w:hAnsi="Times New Roman" w:cs="Times New Roman"/>
                <w:szCs w:val="24"/>
              </w:rPr>
              <w:t>20</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Monitoring and Feedback Loop</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_AdaFig17 \h </w:instrText>
            </w:r>
            <w:r>
              <w:rPr>
                <w:rFonts w:ascii="Times New Roman" w:hAnsi="Times New Roman" w:cs="Times New Roman"/>
                <w:szCs w:val="24"/>
              </w:rPr>
              <w:fldChar w:fldCharType="separate"/>
            </w:r>
            <w:r>
              <w:rPr>
                <w:rFonts w:ascii="Times New Roman" w:hAnsi="Times New Roman" w:cs="Times New Roman"/>
                <w:szCs w:val="24"/>
              </w:rPr>
              <w:t>21</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Security and Governance Architecture</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_AdaFig18 \h </w:instrText>
            </w:r>
            <w:r>
              <w:rPr>
                <w:rFonts w:ascii="Times New Roman" w:hAnsi="Times New Roman" w:cs="Times New Roman"/>
                <w:szCs w:val="24"/>
              </w:rPr>
              <w:fldChar w:fldCharType="separate"/>
            </w:r>
            <w:r>
              <w:rPr>
                <w:rFonts w:ascii="Times New Roman" w:hAnsi="Times New Roman" w:cs="Times New Roman"/>
                <w:szCs w:val="24"/>
              </w:rPr>
              <w:t>22</w:t>
            </w:r>
            <w:r>
              <w:rPr>
                <w:rFonts w:ascii="Times New Roman" w:hAnsi="Times New Roman" w:cs="Times New Roman"/>
                <w:szCs w:val="24"/>
              </w:rPr>
              <w:fldChar w:fldCharType="end"/>
            </w:r>
          </w:p>
        </w:tc>
      </w:tr>
      <w:tr w:rsidR="00BD79A8" w:rsidRPr="00F55979" w:rsidTr="00152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Experimental Testbed Architecture</w:t>
            </w:r>
          </w:p>
        </w:tc>
        <w:tc>
          <w:tcPr>
            <w:tcW w:w="1134" w:type="dxa"/>
          </w:tcPr>
          <w:p w:rsidR="00BD79A8" w:rsidRPr="00F55979" w:rsidRDefault="00BD79A8"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_AdaFig19 \h </w:instrText>
            </w:r>
            <w:r>
              <w:rPr>
                <w:rFonts w:ascii="Times New Roman" w:hAnsi="Times New Roman" w:cs="Times New Roman"/>
                <w:szCs w:val="24"/>
              </w:rPr>
              <w:fldChar w:fldCharType="separate"/>
            </w:r>
            <w:r>
              <w:rPr>
                <w:rFonts w:ascii="Times New Roman" w:hAnsi="Times New Roman" w:cs="Times New Roman"/>
                <w:szCs w:val="24"/>
              </w:rPr>
              <w:t>23</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Evaluation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_AdaFig20 \h </w:instrText>
            </w:r>
            <w:r>
              <w:rPr>
                <w:rFonts w:ascii="Times New Roman" w:hAnsi="Times New Roman" w:cs="Times New Roman"/>
                <w:szCs w:val="24"/>
              </w:rPr>
              <w:fldChar w:fldCharType="separate"/>
            </w:r>
            <w:r>
              <w:rPr>
                <w:rFonts w:ascii="Times New Roman" w:hAnsi="Times New Roman" w:cs="Times New Roman"/>
                <w:szCs w:val="24"/>
              </w:rPr>
              <w:t>24</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Performance Benchmark Results</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_AdaFig21 \h </w:instrText>
            </w:r>
            <w:r>
              <w:rPr>
                <w:rFonts w:ascii="Times New Roman" w:hAnsi="Times New Roman" w:cs="Times New Roman"/>
                <w:szCs w:val="24"/>
              </w:rPr>
              <w:fldChar w:fldCharType="separate"/>
            </w:r>
            <w:r>
              <w:rPr>
                <w:rFonts w:ascii="Times New Roman" w:hAnsi="Times New Roman" w:cs="Times New Roman"/>
                <w:szCs w:val="24"/>
              </w:rPr>
              <w:t>26</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Resource Utilization Analysis</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_AdaFig22 \h </w:instrText>
            </w:r>
            <w:r>
              <w:rPr>
                <w:rFonts w:ascii="Times New Roman" w:hAnsi="Times New Roman" w:cs="Times New Roman"/>
                <w:szCs w:val="24"/>
              </w:rPr>
              <w:fldChar w:fldCharType="separate"/>
            </w:r>
            <w:r>
              <w:rPr>
                <w:rFonts w:ascii="Times New Roman" w:hAnsi="Times New Roman" w:cs="Times New Roman"/>
                <w:szCs w:val="24"/>
              </w:rPr>
              <w:t>27</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RL Convergence Analysis</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_AdaFig23 \h </w:instrText>
            </w:r>
            <w:r>
              <w:rPr>
                <w:rFonts w:ascii="Times New Roman" w:hAnsi="Times New Roman" w:cs="Times New Roman"/>
                <w:szCs w:val="24"/>
              </w:rPr>
              <w:fldChar w:fldCharType="separate"/>
            </w:r>
            <w:r>
              <w:rPr>
                <w:rFonts w:ascii="Times New Roman" w:hAnsi="Times New Roman" w:cs="Times New Roman"/>
                <w:szCs w:val="24"/>
              </w:rPr>
              <w:t>27</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Comparative Radar Chart</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_AdaFig24 \h </w:instrText>
            </w:r>
            <w:r>
              <w:rPr>
                <w:rFonts w:ascii="Times New Roman" w:hAnsi="Times New Roman" w:cs="Times New Roman"/>
                <w:szCs w:val="24"/>
              </w:rPr>
              <w:fldChar w:fldCharType="separate"/>
            </w:r>
            <w:r>
              <w:rPr>
                <w:rFonts w:ascii="Times New Roman" w:hAnsi="Times New Roman" w:cs="Times New Roman"/>
                <w:szCs w:val="24"/>
              </w:rPr>
              <w:t>28</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Reliability Assessment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_AdaFig25 \h </w:instrText>
            </w:r>
            <w:r>
              <w:rPr>
                <w:rFonts w:ascii="Times New Roman" w:hAnsi="Times New Roman" w:cs="Times New Roman"/>
                <w:szCs w:val="24"/>
              </w:rPr>
              <w:fldChar w:fldCharType="separate"/>
            </w:r>
            <w:r>
              <w:rPr>
                <w:rFonts w:ascii="Times New Roman" w:hAnsi="Times New Roman" w:cs="Times New Roman"/>
                <w:szCs w:val="24"/>
              </w:rPr>
              <w:t>29</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Smart Manufacturing Analytics Ecosystem</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_AdaFig26 \h </w:instrText>
            </w:r>
            <w:r>
              <w:rPr>
                <w:rFonts w:ascii="Times New Roman" w:hAnsi="Times New Roman" w:cs="Times New Roman"/>
                <w:szCs w:val="24"/>
              </w:rPr>
              <w:fldChar w:fldCharType="separate"/>
            </w:r>
            <w:r>
              <w:rPr>
                <w:rFonts w:ascii="Times New Roman" w:hAnsi="Times New Roman" w:cs="Times New Roman"/>
                <w:szCs w:val="24"/>
              </w:rPr>
              <w:t>30</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Financial Analytics Optimization Platform</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_AdaFig27 \h </w:instrText>
            </w:r>
            <w:r>
              <w:rPr>
                <w:rFonts w:ascii="Times New Roman" w:hAnsi="Times New Roman" w:cs="Times New Roman"/>
                <w:szCs w:val="24"/>
              </w:rPr>
              <w:fldChar w:fldCharType="separate"/>
            </w:r>
            <w:r>
              <w:rPr>
                <w:rFonts w:ascii="Times New Roman" w:hAnsi="Times New Roman" w:cs="Times New Roman"/>
                <w:szCs w:val="24"/>
              </w:rPr>
              <w:t>30</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Business Impact Dashboard</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_AdaFig28 \h </w:instrText>
            </w:r>
            <w:r>
              <w:rPr>
                <w:rFonts w:ascii="Times New Roman" w:hAnsi="Times New Roman" w:cs="Times New Roman"/>
                <w:szCs w:val="24"/>
              </w:rPr>
              <w:fldChar w:fldCharType="separate"/>
            </w:r>
            <w:r>
              <w:rPr>
                <w:rFonts w:ascii="Times New Roman" w:hAnsi="Times New Roman" w:cs="Times New Roman"/>
                <w:szCs w:val="24"/>
              </w:rPr>
              <w:t>31</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Challenges and Limitations Roadmap</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_AdaFig29 \h </w:instrText>
            </w:r>
            <w:r>
              <w:rPr>
                <w:rFonts w:ascii="Times New Roman" w:hAnsi="Times New Roman" w:cs="Times New Roman"/>
                <w:szCs w:val="24"/>
              </w:rPr>
              <w:fldChar w:fldCharType="separate"/>
            </w:r>
            <w:r>
              <w:rPr>
                <w:rFonts w:ascii="Times New Roman" w:hAnsi="Times New Roman" w:cs="Times New Roman"/>
                <w:szCs w:val="24"/>
              </w:rPr>
              <w:t>32</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Future Research Roadmap</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_AdaFig30 \h </w:instrText>
            </w:r>
            <w:r>
              <w:rPr>
                <w:rFonts w:ascii="Times New Roman" w:hAnsi="Times New Roman" w:cs="Times New Roman"/>
                <w:szCs w:val="24"/>
              </w:rPr>
              <w:fldChar w:fldCharType="separate"/>
            </w:r>
            <w:r>
              <w:rPr>
                <w:rFonts w:ascii="Times New Roman" w:hAnsi="Times New Roman" w:cs="Times New Roman"/>
                <w:szCs w:val="24"/>
              </w:rPr>
              <w:t>33</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Next-Generation Autonomous Analytics Ecosystem</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_AdaFig31 \h </w:instrText>
            </w:r>
            <w:r>
              <w:rPr>
                <w:rFonts w:ascii="Times New Roman" w:hAnsi="Times New Roman" w:cs="Times New Roman"/>
                <w:szCs w:val="24"/>
              </w:rPr>
              <w:fldChar w:fldCharType="separate"/>
            </w:r>
            <w:r>
              <w:rPr>
                <w:rFonts w:ascii="Times New Roman" w:hAnsi="Times New Roman" w:cs="Times New Roman"/>
                <w:szCs w:val="24"/>
              </w:rPr>
              <w:t>33</w:t>
            </w:r>
            <w:r>
              <w:rPr>
                <w:rFonts w:ascii="Times New Roman" w:hAnsi="Times New Roman" w:cs="Times New Roman"/>
                <w:szCs w:val="24"/>
              </w:rPr>
              <w:fldChar w:fldCharType="end"/>
            </w:r>
          </w:p>
        </w:tc>
      </w:tr>
      <w:tr w:rsidR="00BD79A8" w:rsidRPr="00F55979" w:rsidTr="00152395">
        <w:tc>
          <w:tcPr>
            <w:cnfStyle w:val="001000000000" w:firstRow="0" w:lastRow="0" w:firstColumn="1" w:lastColumn="0" w:oddVBand="0" w:evenVBand="0" w:oddHBand="0" w:evenHBand="0" w:firstRowFirstColumn="0" w:firstRowLastColumn="0" w:lastRowFirstColumn="0" w:lastRowLastColumn="0"/>
            <w:tcW w:w="1457" w:type="dxa"/>
          </w:tcPr>
          <w:p w:rsidR="00BD79A8" w:rsidRPr="00F55979" w:rsidRDefault="00BD79A8" w:rsidP="00BD79A8">
            <w:pPr>
              <w:pStyle w:val="ListParagraph"/>
              <w:numPr>
                <w:ilvl w:val="0"/>
                <w:numId w:val="18"/>
              </w:numPr>
              <w:spacing w:line="360" w:lineRule="auto"/>
              <w:jc w:val="center"/>
              <w:rPr>
                <w:rFonts w:ascii="Times New Roman" w:eastAsia="Times New Roman" w:hAnsi="Times New Roman" w:cs="Times New Roman"/>
                <w:szCs w:val="24"/>
                <w:lang w:eastAsia="en-IN"/>
              </w:rPr>
            </w:pPr>
          </w:p>
        </w:tc>
        <w:tc>
          <w:tcPr>
            <w:tcW w:w="590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Research Contribution Framework</w:t>
            </w:r>
          </w:p>
        </w:tc>
        <w:tc>
          <w:tcPr>
            <w:tcW w:w="1134" w:type="dxa"/>
          </w:tcPr>
          <w:p w:rsidR="00BD79A8" w:rsidRPr="00F55979" w:rsidRDefault="00BD79A8"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_AdaFig32 \h </w:instrText>
            </w:r>
            <w:r>
              <w:rPr>
                <w:rFonts w:ascii="Times New Roman" w:hAnsi="Times New Roman" w:cs="Times New Roman"/>
                <w:szCs w:val="24"/>
              </w:rPr>
              <w:fldChar w:fldCharType="separate"/>
            </w:r>
            <w:r>
              <w:rPr>
                <w:rFonts w:ascii="Times New Roman" w:hAnsi="Times New Roman" w:cs="Times New Roman"/>
                <w:szCs w:val="24"/>
              </w:rPr>
              <w:t>34</w:t>
            </w:r>
            <w:r>
              <w:rPr>
                <w:rFonts w:ascii="Times New Roman" w:hAnsi="Times New Roman" w:cs="Times New Roman"/>
                <w:szCs w:val="24"/>
              </w:rPr>
              <w:fldChar w:fldCharType="end"/>
            </w:r>
          </w:p>
        </w:tc>
      </w:tr>
    </w:tbl>
    <w:p w:rsidR="00152395" w:rsidRDefault="00152395" w:rsidP="004F0101">
      <w:pPr>
        <w:pageBreakBefore/>
        <w:jc w:val="center"/>
        <w:rPr>
          <w:b/>
          <w:color w:val="385623" w:themeColor="accent6" w:themeShade="80"/>
          <w:szCs w:val="24"/>
        </w:rPr>
      </w:pPr>
      <w:r>
        <w:rPr>
          <w:b/>
          <w:color w:val="385623" w:themeColor="accent6" w:themeShade="80"/>
          <w:szCs w:val="24"/>
        </w:rPr>
        <w:t>List of Tables</w:t>
      </w:r>
    </w:p>
    <w:p w:rsidR="00152395" w:rsidRDefault="00152395" w:rsidP="004F0101">
      <w:pPr>
        <w:jc w:val="center"/>
        <w:rPr>
          <w:b/>
          <w:color w:val="385623" w:themeColor="accent6" w:themeShade="80"/>
          <w:szCs w:val="24"/>
        </w:rPr>
      </w:pPr>
    </w:p>
    <w:tbl>
      <w:tblPr>
        <w:tblStyle w:val="GridTable4-Accent2"/>
        <w:tblW w:w="8495" w:type="dxa"/>
        <w:tblInd w:w="6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7"/>
        <w:gridCol w:w="5904"/>
        <w:gridCol w:w="1134"/>
      </w:tblGrid>
      <w:tr w:rsidR="00152395" w:rsidRPr="00F55979" w:rsidTr="001C292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57" w:type="dxa"/>
            <w:tcBorders>
              <w:top w:val="single" w:sz="4" w:space="0" w:color="auto"/>
              <w:left w:val="single" w:sz="4" w:space="0" w:color="auto"/>
              <w:bottom w:val="single" w:sz="4" w:space="0" w:color="auto"/>
              <w:right w:val="single" w:sz="4" w:space="0" w:color="auto"/>
            </w:tcBorders>
          </w:tcPr>
          <w:p w:rsidR="00152395" w:rsidRPr="00F55979" w:rsidRDefault="00152395" w:rsidP="001C2925">
            <w:pPr>
              <w:spacing w:line="360" w:lineRule="auto"/>
              <w:rPr>
                <w:rFonts w:ascii="Times New Roman" w:hAnsi="Times New Roman" w:cs="Times New Roman"/>
                <w:noProof/>
                <w:szCs w:val="24"/>
              </w:rPr>
            </w:pPr>
            <w:r>
              <w:rPr>
                <w:rFonts w:ascii="Times New Roman" w:hAnsi="Times New Roman" w:cs="Times New Roman"/>
                <w:noProof/>
                <w:szCs w:val="24"/>
              </w:rPr>
              <w:t>Table</w:t>
            </w:r>
            <w:r w:rsidRPr="00F55979">
              <w:rPr>
                <w:rFonts w:ascii="Times New Roman" w:hAnsi="Times New Roman" w:cs="Times New Roman"/>
                <w:noProof/>
                <w:szCs w:val="24"/>
              </w:rPr>
              <w:t xml:space="preserve">. No. </w:t>
            </w:r>
          </w:p>
        </w:tc>
        <w:tc>
          <w:tcPr>
            <w:tcW w:w="5904" w:type="dxa"/>
            <w:tcBorders>
              <w:top w:val="single" w:sz="4" w:space="0" w:color="auto"/>
              <w:left w:val="single" w:sz="4" w:space="0" w:color="auto"/>
              <w:bottom w:val="single" w:sz="4" w:space="0" w:color="auto"/>
              <w:right w:val="single" w:sz="4" w:space="0" w:color="auto"/>
            </w:tcBorders>
          </w:tcPr>
          <w:p w:rsidR="00152395" w:rsidRPr="00F55979" w:rsidRDefault="00152395" w:rsidP="001C292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Table Title</w:t>
            </w:r>
          </w:p>
        </w:tc>
        <w:tc>
          <w:tcPr>
            <w:tcW w:w="1134" w:type="dxa"/>
            <w:tcBorders>
              <w:top w:val="single" w:sz="4" w:space="0" w:color="auto"/>
              <w:left w:val="single" w:sz="4" w:space="0" w:color="auto"/>
              <w:bottom w:val="single" w:sz="4" w:space="0" w:color="auto"/>
              <w:right w:val="single" w:sz="4" w:space="0" w:color="auto"/>
            </w:tcBorders>
          </w:tcPr>
          <w:p w:rsidR="00152395" w:rsidRPr="00F55979" w:rsidRDefault="00152395" w:rsidP="001C292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F55979">
              <w:rPr>
                <w:rFonts w:ascii="Times New Roman" w:hAnsi="Times New Roman" w:cs="Times New Roman"/>
                <w:szCs w:val="24"/>
              </w:rPr>
              <w:t xml:space="preserve">Page No. </w:t>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Executive Summary of Contributions and Outcomes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 \h </w:instrText>
            </w:r>
            <w:r>
              <w:rPr>
                <w:rFonts w:ascii="Times New Roman" w:hAnsi="Times New Roman" w:cs="Times New Roman"/>
                <w:szCs w:val="24"/>
              </w:rPr>
              <w:fldChar w:fldCharType="separate"/>
            </w:r>
            <w:r>
              <w:rPr>
                <w:rFonts w:ascii="Times New Roman" w:hAnsi="Times New Roman" w:cs="Times New Roman"/>
                <w:szCs w:val="24"/>
              </w:rPr>
              <w:t>7</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Problem Definition and Research Gaps</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_AdaTab2 \h </w:instrText>
            </w:r>
            <w:r>
              <w:rPr>
                <w:rFonts w:ascii="Times New Roman" w:hAnsi="Times New Roman" w:cs="Times New Roman"/>
                <w:szCs w:val="24"/>
              </w:rPr>
              <w:fldChar w:fldCharType="separate"/>
            </w:r>
            <w:r>
              <w:rPr>
                <w:rFonts w:ascii="Times New Roman" w:hAnsi="Times New Roman" w:cs="Times New Roman"/>
                <w:szCs w:val="24"/>
              </w:rPr>
              <w:t>9</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Comparative Review of Existing Optimization Approaches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_AdaTab3 \h </w:instrText>
            </w:r>
            <w:r>
              <w:rPr>
                <w:rFonts w:ascii="Times New Roman" w:hAnsi="Times New Roman" w:cs="Times New Roman"/>
                <w:szCs w:val="24"/>
              </w:rPr>
              <w:fldChar w:fldCharType="separate"/>
            </w:r>
            <w:r>
              <w:rPr>
                <w:rFonts w:ascii="Times New Roman" w:hAnsi="Times New Roman" w:cs="Times New Roman"/>
                <w:szCs w:val="24"/>
              </w:rPr>
              <w:t>11</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Functional and Non-Functional Requirements Matrix</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_AdaTab4 \h </w:instrText>
            </w:r>
            <w:r>
              <w:rPr>
                <w:rFonts w:ascii="Times New Roman" w:hAnsi="Times New Roman" w:cs="Times New Roman"/>
                <w:szCs w:val="24"/>
              </w:rPr>
              <w:fldChar w:fldCharType="separate"/>
            </w:r>
            <w:r>
              <w:rPr>
                <w:rFonts w:ascii="Times New Roman" w:hAnsi="Times New Roman" w:cs="Times New Roman"/>
                <w:szCs w:val="24"/>
              </w:rPr>
              <w:t>12</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Spark Components and Responsibilities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_AdaTab5 \h </w:instrText>
            </w:r>
            <w:r>
              <w:rPr>
                <w:rFonts w:ascii="Times New Roman" w:hAnsi="Times New Roman" w:cs="Times New Roman"/>
                <w:szCs w:val="24"/>
              </w:rPr>
              <w:fldChar w:fldCharType="separate"/>
            </w:r>
            <w:r>
              <w:rPr>
                <w:rFonts w:ascii="Times New Roman" w:hAnsi="Times New Roman" w:cs="Times New Roman"/>
                <w:szCs w:val="24"/>
              </w:rPr>
              <w:t>15</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Resource Management Policies</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_AdaTab6 \h </w:instrText>
            </w:r>
            <w:r>
              <w:rPr>
                <w:rFonts w:ascii="Times New Roman" w:hAnsi="Times New Roman" w:cs="Times New Roman"/>
                <w:szCs w:val="24"/>
              </w:rPr>
              <w:fldChar w:fldCharType="separate"/>
            </w:r>
            <w:r>
              <w:rPr>
                <w:rFonts w:ascii="Times New Roman" w:hAnsi="Times New Roman" w:cs="Times New Roman"/>
                <w:szCs w:val="24"/>
              </w:rPr>
              <w:t>17</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Monitoring Metrics and Indicators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_AdaTab7 \h </w:instrText>
            </w:r>
            <w:r>
              <w:rPr>
                <w:rFonts w:ascii="Times New Roman" w:hAnsi="Times New Roman" w:cs="Times New Roman"/>
                <w:szCs w:val="24"/>
              </w:rPr>
              <w:fldChar w:fldCharType="separate"/>
            </w:r>
            <w:r>
              <w:rPr>
                <w:rFonts w:ascii="Times New Roman" w:hAnsi="Times New Roman" w:cs="Times New Roman"/>
                <w:szCs w:val="24"/>
              </w:rPr>
              <w:t>21</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Reliability and Governance Controls</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_AdaTab8 \h </w:instrText>
            </w:r>
            <w:r>
              <w:rPr>
                <w:rFonts w:ascii="Times New Roman" w:hAnsi="Times New Roman" w:cs="Times New Roman"/>
                <w:szCs w:val="24"/>
              </w:rPr>
              <w:fldChar w:fldCharType="separate"/>
            </w:r>
            <w:r>
              <w:rPr>
                <w:rFonts w:ascii="Times New Roman" w:hAnsi="Times New Roman" w:cs="Times New Roman"/>
                <w:szCs w:val="24"/>
              </w:rPr>
              <w:t>22</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Experimental Configuration Details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_AdaTab9 \h </w:instrText>
            </w:r>
            <w:r>
              <w:rPr>
                <w:rFonts w:ascii="Times New Roman" w:hAnsi="Times New Roman" w:cs="Times New Roman"/>
                <w:szCs w:val="24"/>
              </w:rPr>
              <w:fldChar w:fldCharType="separate"/>
            </w:r>
            <w:r>
              <w:rPr>
                <w:rFonts w:ascii="Times New Roman" w:hAnsi="Times New Roman" w:cs="Times New Roman"/>
                <w:szCs w:val="24"/>
              </w:rPr>
              <w:t>23</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hAnsi="Times New Roman" w:cs="Times New Roman"/>
                <w:szCs w:val="24"/>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Metrics Definition Matrix</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_AdaTab10 \h </w:instrText>
            </w:r>
            <w:r>
              <w:rPr>
                <w:rFonts w:ascii="Times New Roman" w:hAnsi="Times New Roman" w:cs="Times New Roman"/>
                <w:szCs w:val="24"/>
              </w:rPr>
              <w:fldChar w:fldCharType="separate"/>
            </w:r>
            <w:r>
              <w:rPr>
                <w:rFonts w:ascii="Times New Roman" w:hAnsi="Times New Roman" w:cs="Times New Roman"/>
                <w:szCs w:val="24"/>
              </w:rPr>
              <w:t>23</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eastAsia="Times New Roman" w:hAnsi="Times New Roman" w:cs="Times New Roman"/>
                <w:szCs w:val="24"/>
                <w:lang w:eastAsia="en-IN"/>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Experimental Results Summary</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_AdaTab11 \h </w:instrText>
            </w:r>
            <w:r>
              <w:rPr>
                <w:rFonts w:ascii="Times New Roman" w:hAnsi="Times New Roman" w:cs="Times New Roman"/>
                <w:szCs w:val="24"/>
              </w:rPr>
              <w:fldChar w:fldCharType="separate"/>
            </w:r>
            <w:r>
              <w:rPr>
                <w:rFonts w:ascii="Times New Roman" w:hAnsi="Times New Roman" w:cs="Times New Roman"/>
                <w:szCs w:val="24"/>
              </w:rPr>
              <w:t>26</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eastAsia="Times New Roman" w:hAnsi="Times New Roman" w:cs="Times New Roman"/>
                <w:szCs w:val="24"/>
                <w:lang w:eastAsia="en-IN"/>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Comparative Benchmark Analysis</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_AdaTab12 \h </w:instrText>
            </w:r>
            <w:r>
              <w:rPr>
                <w:rFonts w:ascii="Times New Roman" w:hAnsi="Times New Roman" w:cs="Times New Roman"/>
                <w:szCs w:val="24"/>
              </w:rPr>
              <w:fldChar w:fldCharType="separate"/>
            </w:r>
            <w:r>
              <w:rPr>
                <w:rFonts w:ascii="Times New Roman" w:hAnsi="Times New Roman" w:cs="Times New Roman"/>
                <w:szCs w:val="24"/>
              </w:rPr>
              <w:t>28</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eastAsia="Times New Roman" w:hAnsi="Times New Roman" w:cs="Times New Roman"/>
                <w:szCs w:val="24"/>
                <w:lang w:eastAsia="en-IN"/>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Trustworthiness Evaluation Matrix</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_AdaTab13 \h </w:instrText>
            </w:r>
            <w:r>
              <w:rPr>
                <w:rFonts w:ascii="Times New Roman" w:hAnsi="Times New Roman" w:cs="Times New Roman"/>
                <w:szCs w:val="24"/>
              </w:rPr>
              <w:fldChar w:fldCharType="separate"/>
            </w:r>
            <w:r>
              <w:rPr>
                <w:rFonts w:ascii="Times New Roman" w:hAnsi="Times New Roman" w:cs="Times New Roman"/>
                <w:szCs w:val="24"/>
              </w:rPr>
              <w:t>29</w:t>
            </w:r>
            <w:r>
              <w:rPr>
                <w:rFonts w:ascii="Times New Roman" w:hAnsi="Times New Roman" w:cs="Times New Roman"/>
                <w:szCs w:val="24"/>
              </w:rPr>
              <w:fldChar w:fldCharType="end"/>
            </w:r>
          </w:p>
        </w:tc>
      </w:tr>
      <w:tr w:rsidR="00152395" w:rsidRPr="00F55979" w:rsidTr="001C2925">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eastAsia="Times New Roman" w:hAnsi="Times New Roman" w:cs="Times New Roman"/>
                <w:szCs w:val="24"/>
                <w:lang w:eastAsia="en-IN"/>
              </w:rPr>
            </w:pPr>
          </w:p>
        </w:tc>
        <w:tc>
          <w:tcPr>
            <w:tcW w:w="590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Industry Use Cases Matrix</w:t>
            </w:r>
          </w:p>
        </w:tc>
        <w:tc>
          <w:tcPr>
            <w:tcW w:w="1134" w:type="dxa"/>
          </w:tcPr>
          <w:p w:rsidR="00152395" w:rsidRPr="00F55979" w:rsidRDefault="00152395" w:rsidP="001C292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_AdaTab14 \h </w:instrText>
            </w:r>
            <w:r>
              <w:rPr>
                <w:rFonts w:ascii="Times New Roman" w:hAnsi="Times New Roman" w:cs="Times New Roman"/>
                <w:szCs w:val="24"/>
              </w:rPr>
              <w:fldChar w:fldCharType="separate"/>
            </w:r>
            <w:r>
              <w:rPr>
                <w:rFonts w:ascii="Times New Roman" w:hAnsi="Times New Roman" w:cs="Times New Roman"/>
                <w:szCs w:val="24"/>
              </w:rPr>
              <w:t>30</w:t>
            </w:r>
            <w:r>
              <w:rPr>
                <w:rFonts w:ascii="Times New Roman" w:hAnsi="Times New Roman" w:cs="Times New Roman"/>
                <w:szCs w:val="24"/>
              </w:rPr>
              <w:fldChar w:fldCharType="end"/>
            </w:r>
          </w:p>
        </w:tc>
      </w:tr>
      <w:tr w:rsidR="00152395"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7" w:type="dxa"/>
          </w:tcPr>
          <w:p w:rsidR="00152395" w:rsidRPr="00F55979" w:rsidRDefault="00152395" w:rsidP="00152395">
            <w:pPr>
              <w:pStyle w:val="ListParagraph"/>
              <w:numPr>
                <w:ilvl w:val="0"/>
                <w:numId w:val="19"/>
              </w:numPr>
              <w:spacing w:line="360" w:lineRule="auto"/>
              <w:jc w:val="center"/>
              <w:rPr>
                <w:rFonts w:ascii="Times New Roman" w:eastAsia="Times New Roman" w:hAnsi="Times New Roman" w:cs="Times New Roman"/>
                <w:szCs w:val="24"/>
                <w:lang w:eastAsia="en-IN"/>
              </w:rPr>
            </w:pPr>
          </w:p>
        </w:tc>
        <w:tc>
          <w:tcPr>
            <w:tcW w:w="590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Cost-Benefit Analysis</w:t>
            </w:r>
          </w:p>
        </w:tc>
        <w:tc>
          <w:tcPr>
            <w:tcW w:w="1134" w:type="dxa"/>
          </w:tcPr>
          <w:p w:rsidR="00152395" w:rsidRPr="00F55979" w:rsidRDefault="00152395" w:rsidP="001C292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fldChar w:fldCharType="begin"/>
            </w:r>
            <w:r>
              <w:rPr>
                <w:rFonts w:ascii="Times New Roman" w:hAnsi="Times New Roman" w:cs="Times New Roman"/>
                <w:szCs w:val="24"/>
              </w:rPr>
              <w:instrText xml:space="preserve"> PAGEREF _AdaTab15 \h </w:instrText>
            </w:r>
            <w:r>
              <w:rPr>
                <w:rFonts w:ascii="Times New Roman" w:hAnsi="Times New Roman" w:cs="Times New Roman"/>
                <w:szCs w:val="24"/>
              </w:rPr>
              <w:fldChar w:fldCharType="separate"/>
            </w:r>
            <w:r>
              <w:rPr>
                <w:rFonts w:ascii="Times New Roman" w:hAnsi="Times New Roman" w:cs="Times New Roman"/>
                <w:szCs w:val="24"/>
              </w:rPr>
              <w:t>31</w:t>
            </w:r>
            <w:r>
              <w:rPr>
                <w:rFonts w:ascii="Times New Roman" w:hAnsi="Times New Roman" w:cs="Times New Roman"/>
                <w:szCs w:val="24"/>
              </w:rPr>
              <w:fldChar w:fldCharType="end"/>
            </w:r>
          </w:p>
        </w:tc>
      </w:tr>
    </w:tbl>
    <w:p w:rsidR="002449A8" w:rsidRPr="001C2925" w:rsidRDefault="002449A8" w:rsidP="002449A8">
      <w:pPr>
        <w:pageBreakBefore/>
        <w:jc w:val="center"/>
        <w:rPr>
          <w:b/>
        </w:rPr>
      </w:pPr>
      <w:r w:rsidRPr="001C2925">
        <w:rPr>
          <w:b/>
        </w:rPr>
        <w:lastRenderedPageBreak/>
        <w:t>Contributions</w:t>
      </w:r>
    </w:p>
    <w:p w:rsidR="002449A8" w:rsidRDefault="002449A8"/>
    <w:tbl>
      <w:tblPr>
        <w:tblStyle w:val="GridTable4-Accent2"/>
        <w:tblW w:w="8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4255"/>
        <w:gridCol w:w="2404"/>
        <w:gridCol w:w="1117"/>
      </w:tblGrid>
      <w:tr w:rsidR="002449A8" w:rsidRPr="00F55979" w:rsidTr="001C292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5" w:type="dxa"/>
            <w:tcBorders>
              <w:top w:val="single" w:sz="4" w:space="0" w:color="auto"/>
              <w:left w:val="single" w:sz="4" w:space="0" w:color="auto"/>
              <w:bottom w:val="single" w:sz="4" w:space="0" w:color="auto"/>
              <w:right w:val="single" w:sz="4" w:space="0" w:color="auto"/>
            </w:tcBorders>
          </w:tcPr>
          <w:p w:rsidR="002449A8" w:rsidRPr="00F55979" w:rsidRDefault="002449A8" w:rsidP="001C2925">
            <w:pPr>
              <w:rPr>
                <w:rFonts w:ascii="Times New Roman" w:hAnsi="Times New Roman" w:cs="Times New Roman"/>
                <w:noProof/>
                <w:szCs w:val="24"/>
              </w:rPr>
            </w:pPr>
            <w:r w:rsidRPr="00F55979">
              <w:rPr>
                <w:rFonts w:ascii="Times New Roman" w:hAnsi="Times New Roman" w:cs="Times New Roman"/>
                <w:noProof/>
                <w:szCs w:val="24"/>
              </w:rPr>
              <w:t xml:space="preserve">Sl. No. </w:t>
            </w:r>
          </w:p>
        </w:tc>
        <w:tc>
          <w:tcPr>
            <w:tcW w:w="4255" w:type="dxa"/>
            <w:tcBorders>
              <w:top w:val="single" w:sz="4" w:space="0" w:color="auto"/>
              <w:left w:val="single" w:sz="4" w:space="0" w:color="auto"/>
              <w:bottom w:val="single" w:sz="4" w:space="0" w:color="auto"/>
              <w:right w:val="single" w:sz="4" w:space="0" w:color="auto"/>
            </w:tcBorders>
          </w:tcPr>
          <w:p w:rsidR="002449A8" w:rsidRPr="00F55979" w:rsidRDefault="002449A8" w:rsidP="001C292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F55979">
              <w:rPr>
                <w:rFonts w:ascii="Times New Roman" w:hAnsi="Times New Roman" w:cs="Times New Roman"/>
                <w:szCs w:val="24"/>
              </w:rPr>
              <w:t>Section Topic</w:t>
            </w:r>
          </w:p>
        </w:tc>
        <w:tc>
          <w:tcPr>
            <w:tcW w:w="2404" w:type="dxa"/>
            <w:tcBorders>
              <w:top w:val="single" w:sz="4" w:space="0" w:color="auto"/>
              <w:left w:val="single" w:sz="4" w:space="0" w:color="auto"/>
              <w:bottom w:val="single" w:sz="4" w:space="0" w:color="auto"/>
              <w:right w:val="single" w:sz="4" w:space="0" w:color="auto"/>
            </w:tcBorders>
          </w:tcPr>
          <w:p w:rsidR="002449A8" w:rsidRPr="00F55979" w:rsidRDefault="002449A8" w:rsidP="001C292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Reg. No. of Team Member contributed</w:t>
            </w:r>
          </w:p>
        </w:tc>
        <w:tc>
          <w:tcPr>
            <w:tcW w:w="1117" w:type="dxa"/>
            <w:tcBorders>
              <w:top w:val="single" w:sz="4" w:space="0" w:color="auto"/>
              <w:left w:val="single" w:sz="4" w:space="0" w:color="auto"/>
              <w:bottom w:val="single" w:sz="4" w:space="0" w:color="auto"/>
              <w:right w:val="single" w:sz="4" w:space="0" w:color="auto"/>
            </w:tcBorders>
          </w:tcPr>
          <w:p w:rsidR="002449A8" w:rsidRPr="00F55979" w:rsidRDefault="002449A8" w:rsidP="001C292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No. of Words</w:t>
            </w:r>
            <w:r w:rsidRPr="00F55979">
              <w:rPr>
                <w:rFonts w:ascii="Times New Roman" w:hAnsi="Times New Roman" w:cs="Times New Roman"/>
                <w:szCs w:val="24"/>
              </w:rPr>
              <w:t xml:space="preserve"> </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top w:val="single" w:sz="4" w:space="0" w:color="auto"/>
            </w:tcBorders>
          </w:tcPr>
          <w:p w:rsidR="002449A8" w:rsidRPr="00F55979" w:rsidRDefault="002449A8" w:rsidP="001C2925">
            <w:pPr>
              <w:jc w:val="center"/>
              <w:rPr>
                <w:rFonts w:ascii="Times New Roman" w:hAnsi="Times New Roman" w:cs="Times New Roman"/>
                <w:szCs w:val="24"/>
              </w:rPr>
            </w:pPr>
          </w:p>
        </w:tc>
        <w:tc>
          <w:tcPr>
            <w:tcW w:w="4255"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Abstract</w:t>
            </w:r>
          </w:p>
        </w:tc>
        <w:tc>
          <w:tcPr>
            <w:tcW w:w="2404"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243</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top w:val="single" w:sz="4" w:space="0" w:color="auto"/>
            </w:tcBorders>
          </w:tcPr>
          <w:p w:rsidR="002449A8" w:rsidRPr="00F55979" w:rsidRDefault="002449A8" w:rsidP="001C2925">
            <w:pPr>
              <w:jc w:val="center"/>
              <w:rPr>
                <w:rFonts w:ascii="Times New Roman" w:hAnsi="Times New Roman" w:cs="Times New Roman"/>
                <w:szCs w:val="24"/>
              </w:rPr>
            </w:pPr>
          </w:p>
        </w:tc>
        <w:tc>
          <w:tcPr>
            <w:tcW w:w="4255"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Index Terms (Keywords)</w:t>
            </w:r>
          </w:p>
        </w:tc>
        <w:tc>
          <w:tcPr>
            <w:tcW w:w="2404"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20</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top w:val="single" w:sz="4" w:space="0" w:color="auto"/>
            </w:tcBorders>
          </w:tcPr>
          <w:p w:rsidR="002449A8" w:rsidRPr="00F55979" w:rsidRDefault="002449A8" w:rsidP="001C2925">
            <w:pPr>
              <w:jc w:val="center"/>
              <w:rPr>
                <w:rFonts w:ascii="Times New Roman" w:hAnsi="Times New Roman" w:cs="Times New Roman"/>
                <w:szCs w:val="24"/>
              </w:rPr>
            </w:pPr>
          </w:p>
        </w:tc>
        <w:tc>
          <w:tcPr>
            <w:tcW w:w="4255"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Executive Summary (with Table 1)</w:t>
            </w:r>
          </w:p>
        </w:tc>
        <w:tc>
          <w:tcPr>
            <w:tcW w:w="2404"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Borders>
              <w:top w:val="single" w:sz="4" w:space="0" w:color="auto"/>
            </w:tcBorders>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506</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Introduction</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698</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Problem Statement</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493</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Background and Literature Review</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1584</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Requirements Analysis for Self-Adaptive Big Data Systems</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508</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Reinforcement Learning-Driven Spark Architecture</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607</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Big Data Programming and Execution Layer</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526</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Reinforcement Learning Optimization Layer</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839</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Adaptive Resource Allocation and Scheduling Framework</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622</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Self-Tuning Performance Optimization Layer</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455</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Explainability and Decision Intelligence Layer</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524</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Monitoring, Feedback, and Learning Layer</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440</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Security, Reliability, and Governance Layer</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395</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Experimental Setup</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668</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Evaluation Metrics</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530</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Results and Findings</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1676</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Comparative Analysis</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456</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Explainability, Reliability, and Trustworthiness Assessment</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344</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Industry Use Cases and Case Study Evaluation</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465</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Business Impact Assessment</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350</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Challenges and Limitations</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436</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Future Research Directions</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459</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2449A8">
            <w:pPr>
              <w:pStyle w:val="ListParagraph"/>
              <w:numPr>
                <w:ilvl w:val="0"/>
                <w:numId w:val="20"/>
              </w:numPr>
              <w:jc w:val="center"/>
              <w:rPr>
                <w:rFonts w:ascii="Times New Roman" w:eastAsia="Times New Roman" w:hAnsi="Times New Roman" w:cs="Times New Roman"/>
                <w:szCs w:val="24"/>
                <w:lang w:eastAsia="en-IN"/>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n-IN"/>
              </w:rPr>
            </w:pPr>
            <w:r>
              <w:rPr>
                <w:rFonts w:ascii="Times New Roman" w:eastAsia="Times New Roman" w:hAnsi="Times New Roman" w:cs="Times New Roman"/>
                <w:szCs w:val="24"/>
                <w:lang w:eastAsia="en-IN"/>
              </w:rPr>
              <w:t xml:space="preserve">Conclusion</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507</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Data Availability</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119</w:t>
            </w:r>
          </w:p>
        </w:tc>
      </w:tr>
      <w:tr w:rsidR="002449A8" w:rsidRPr="00F55979" w:rsidTr="001C2925">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p>
        </w:tc>
        <w:tc>
          <w:tcPr>
            <w:tcW w:w="425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References</w:t>
            </w:r>
          </w:p>
        </w:tc>
        <w:tc>
          <w:tcPr>
            <w:tcW w:w="2404"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Excl.</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p>
        </w:tc>
        <w:tc>
          <w:tcPr>
            <w:tcW w:w="425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Appendix</w:t>
            </w:r>
          </w:p>
        </w:tc>
        <w:tc>
          <w:tcPr>
            <w:tcW w:w="2404"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1117"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 xml:space="preserve">487</w:t>
            </w:r>
          </w:p>
        </w:tc>
      </w:tr>
    </w:tbl>
    <w:p w:rsidR="002449A8" w:rsidRDefault="002449A8"/>
    <w:tbl>
      <w:tblPr>
        <w:tblStyle w:val="GridTable4-Accent2"/>
        <w:tblW w:w="69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2271"/>
        <w:gridCol w:w="3685"/>
      </w:tblGrid>
      <w:tr w:rsidR="002449A8" w:rsidRPr="00F55979" w:rsidTr="001C29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41" w:type="dxa"/>
            <w:gridSpan w:val="3"/>
          </w:tcPr>
          <w:p w:rsidR="002449A8" w:rsidRPr="00F55979" w:rsidRDefault="002449A8" w:rsidP="001C2925">
            <w:pPr>
              <w:jc w:val="center"/>
              <w:rPr>
                <w:rFonts w:ascii="Times New Roman" w:hAnsi="Times New Roman" w:cs="Times New Roman"/>
                <w:b w:val="0"/>
                <w:bCs w:val="0"/>
                <w:szCs w:val="24"/>
              </w:rPr>
            </w:pPr>
            <w:r>
              <w:rPr>
                <w:rFonts w:ascii="Times New Roman" w:hAnsi="Times New Roman" w:cs="Times New Roman"/>
                <w:szCs w:val="24"/>
              </w:rPr>
              <w:t>Consolidated Report on contributions</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shd w:val="clear" w:color="auto" w:fill="F4B083" w:themeFill="accent2" w:themeFillTint="99"/>
          </w:tcPr>
          <w:p w:rsidR="002449A8" w:rsidRPr="00F55979" w:rsidRDefault="002449A8" w:rsidP="001C2925">
            <w:pPr>
              <w:jc w:val="center"/>
              <w:rPr>
                <w:rFonts w:ascii="Times New Roman" w:hAnsi="Times New Roman" w:cs="Times New Roman"/>
                <w:szCs w:val="24"/>
              </w:rPr>
            </w:pPr>
            <w:r>
              <w:rPr>
                <w:rFonts w:ascii="Times New Roman" w:hAnsi="Times New Roman" w:cs="Times New Roman"/>
                <w:szCs w:val="24"/>
              </w:rPr>
              <w:t xml:space="preserve">Sl. No. </w:t>
            </w:r>
          </w:p>
        </w:tc>
        <w:tc>
          <w:tcPr>
            <w:tcW w:w="2271" w:type="dxa"/>
            <w:shd w:val="clear" w:color="auto" w:fill="F4B083" w:themeFill="accent2" w:themeFillTint="99"/>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Reg. No. of Student</w:t>
            </w:r>
          </w:p>
        </w:tc>
        <w:tc>
          <w:tcPr>
            <w:tcW w:w="3685" w:type="dxa"/>
            <w:shd w:val="clear" w:color="auto" w:fill="F4B083" w:themeFill="accent2" w:themeFillTint="99"/>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Total number of Words contributed across the sections</w:t>
            </w:r>
          </w:p>
        </w:tc>
      </w:tr>
      <w:tr w:rsidR="002449A8" w:rsidRPr="00F55979" w:rsidTr="001C2925">
        <w:trPr>
          <w:jc w:val="center"/>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r>
              <w:rPr>
                <w:rFonts w:ascii="Times New Roman" w:hAnsi="Times New Roman" w:cs="Times New Roman"/>
                <w:szCs w:val="24"/>
              </w:rPr>
              <w:t>1</w:t>
            </w:r>
          </w:p>
        </w:tc>
        <w:tc>
          <w:tcPr>
            <w:tcW w:w="2271"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368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r>
              <w:rPr>
                <w:rFonts w:ascii="Times New Roman" w:hAnsi="Times New Roman" w:cs="Times New Roman"/>
                <w:szCs w:val="24"/>
              </w:rPr>
              <w:t>2</w:t>
            </w:r>
          </w:p>
        </w:tc>
        <w:tc>
          <w:tcPr>
            <w:tcW w:w="2271"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368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r>
      <w:tr w:rsidR="002449A8" w:rsidRPr="00F55979" w:rsidTr="001C2925">
        <w:trPr>
          <w:jc w:val="center"/>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r>
              <w:rPr>
                <w:rFonts w:ascii="Times New Roman" w:hAnsi="Times New Roman" w:cs="Times New Roman"/>
                <w:szCs w:val="24"/>
              </w:rPr>
              <w:t>3</w:t>
            </w:r>
          </w:p>
        </w:tc>
        <w:tc>
          <w:tcPr>
            <w:tcW w:w="2271"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3685" w:type="dxa"/>
          </w:tcPr>
          <w:p w:rsidR="002449A8" w:rsidRPr="00F55979" w:rsidRDefault="002449A8" w:rsidP="001C292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r>
      <w:tr w:rsidR="002449A8" w:rsidRPr="00F55979" w:rsidTr="001C29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tcPr>
          <w:p w:rsidR="002449A8" w:rsidRPr="00F55979" w:rsidRDefault="002449A8" w:rsidP="001C2925">
            <w:pPr>
              <w:jc w:val="center"/>
              <w:rPr>
                <w:rFonts w:ascii="Times New Roman" w:hAnsi="Times New Roman" w:cs="Times New Roman"/>
                <w:szCs w:val="24"/>
              </w:rPr>
            </w:pPr>
            <w:r>
              <w:rPr>
                <w:rFonts w:ascii="Times New Roman" w:hAnsi="Times New Roman" w:cs="Times New Roman"/>
                <w:szCs w:val="24"/>
              </w:rPr>
              <w:t>4</w:t>
            </w:r>
          </w:p>
        </w:tc>
        <w:tc>
          <w:tcPr>
            <w:tcW w:w="2271"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c>
          <w:tcPr>
            <w:tcW w:w="3685" w:type="dxa"/>
          </w:tcPr>
          <w:p w:rsidR="002449A8" w:rsidRPr="00F55979" w:rsidRDefault="002449A8" w:rsidP="001C292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highlight w:val="yellow"/>
              </w:rPr>
              <w:t xml:space="preserve">[to be entered]</w:t>
            </w:r>
          </w:p>
        </w:tc>
      </w:tr>
      <w:tr w:rsidR="002449A8" w:rsidRPr="00F55979" w:rsidTr="001C2925">
        <w:trPr>
          <w:jc w:val="center"/>
        </w:trPr>
        <w:tc>
          <w:tcPr>
            <w:cnfStyle w:val="001000000000" w:firstRow="0" w:lastRow="0" w:firstColumn="1" w:lastColumn="0" w:oddVBand="0" w:evenVBand="0" w:oddHBand="0" w:evenHBand="0" w:firstRowFirstColumn="0" w:firstRowLastColumn="0" w:lastRowFirstColumn="0" w:lastRowLastColumn="0"/>
            <w:tcW w:w="3256" w:type="dxa"/>
            <w:gridSpan w:val="2"/>
            <w:shd w:val="clear" w:color="auto" w:fill="833C0B" w:themeFill="accent2" w:themeFillShade="80"/>
          </w:tcPr>
          <w:p w:rsidR="002449A8" w:rsidRPr="002F3DAF" w:rsidRDefault="002449A8" w:rsidP="001C2925">
            <w:pPr>
              <w:jc w:val="center"/>
              <w:rPr>
                <w:rFonts w:ascii="Times New Roman" w:hAnsi="Times New Roman" w:cs="Times New Roman"/>
                <w:color w:val="FFFFFF" w:themeColor="background1"/>
                <w:szCs w:val="24"/>
              </w:rPr>
            </w:pPr>
            <w:r w:rsidRPr="002F3DAF">
              <w:rPr>
                <w:rFonts w:ascii="Times New Roman" w:hAnsi="Times New Roman" w:cs="Times New Roman"/>
                <w:color w:val="FFFFFF" w:themeColor="background1"/>
                <w:szCs w:val="24"/>
              </w:rPr>
              <w:t>Total number of words</w:t>
            </w:r>
          </w:p>
        </w:tc>
        <w:tc>
          <w:tcPr>
            <w:tcW w:w="3685" w:type="dxa"/>
            <w:shd w:val="clear" w:color="auto" w:fill="833C0B" w:themeFill="accent2" w:themeFillShade="80"/>
          </w:tcPr>
          <w:p w:rsidR="002449A8" w:rsidRPr="002F3DAF" w:rsidRDefault="002449A8" w:rsidP="001C292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szCs w:val="24"/>
              </w:rPr>
            </w:pPr>
            <w:r>
              <w:rPr>
                <w:rFonts w:ascii="Times New Roman" w:hAnsi="Times New Roman" w:cs="Times New Roman"/>
                <w:color w:val="FFFFFF" w:themeColor="background1"/>
                <w:szCs w:val="24"/>
              </w:rPr>
              <w:t xml:space="preserve">14957</w:t>
            </w:r>
          </w:p>
        </w:tc>
      </w:tr>
    </w:tbl>
    <w:p w:rsidR="00575101" w:rsidRDefault="00575101" w:rsidP="00575101">
      <w:pPr>
        <w:pageBreakBefore/>
        <w:pBdr>
          <w:top w:val="nil"/>
          <w:left w:val="nil"/>
          <w:bottom w:val="nil"/>
          <w:right w:val="nil"/>
          <w:between w:val="nil"/>
        </w:pBdr>
        <w:spacing w:before="480" w:after="300"/>
        <w:jc w:val="center"/>
        <w:rPr>
          <w:rFonts w:ascii="Helvetica Neue" w:eastAsia="Helvetica Neue" w:hAnsi="Helvetica Neue" w:cs="Helvetica Neue"/>
          <w:b/>
          <w:bCs/>
          <w:color w:val="00629B"/>
          <w:sz w:val="44"/>
          <w:szCs w:val="44"/>
        </w:rPr>
      </w:pPr>
      <w:r>
        <w:rPr>
          <w:rFonts w:ascii="Helvetica Neue" w:eastAsia="Helvetica Neue" w:hAnsi="Helvetica Neue" w:cs="Helvetica Neue"/>
          <w:b/>
          <w:bCs/>
          <w:color w:val="00629B"/>
          <w:sz w:val="44"/>
          <w:szCs w:val="44"/>
        </w:rPr>
        <w:lastRenderedPageBreak/>
        <w:t>Self-Adaptive Big Data Programming Using Reinforcement Learning and Spark</w:t>
      </w:r>
    </w:p>
    <w:p w:rsidR="00575101" w:rsidRPr="001A3A37" w:rsidRDefault="001A3A37" w:rsidP="00906A6C">
      <w:pPr>
        <w:pBdr>
          <w:top w:val="nil"/>
          <w:left w:val="nil"/>
          <w:bottom w:val="nil"/>
          <w:right w:val="nil"/>
          <w:between w:val="nil"/>
        </w:pBdr>
        <w:ind w:right="-46"/>
        <w:jc w:val="center"/>
        <w:rPr>
          <w:rFonts w:ascii="Helvetica Neue" w:eastAsia="Helvetica Neue" w:hAnsi="Helvetica Neue" w:cs="Helvetica Neue"/>
          <w:b/>
          <w:bCs/>
          <w:sz w:val="20"/>
          <w:szCs w:val="20"/>
        </w:rPr>
      </w:pPr>
      <w:r>
        <w:rPr>
          <w:rFonts w:ascii="Helvetica Neue" w:eastAsia="Helvetica Neue" w:hAnsi="Helvetica Neue" w:cs="Helvetica Neue"/>
          <w:b/>
          <w:bCs/>
          <w:sz w:val="20"/>
          <w:szCs w:val="20"/>
        </w:rPr>
        <w:t xml:space="preserve">Dr. </w:t>
      </w:r>
      <w:r w:rsidR="00575101">
        <w:rPr>
          <w:rFonts w:ascii="Helvetica Neue" w:eastAsia="Helvetica Neue" w:hAnsi="Helvetica Neue" w:cs="Helvetica Neue"/>
          <w:b/>
          <w:bCs/>
          <w:sz w:val="20"/>
          <w:szCs w:val="20"/>
        </w:rPr>
        <w:t>M Rajasekhara Babu</w:t>
      </w:r>
      <w:r w:rsidR="00575101">
        <w:rPr>
          <w:rFonts w:ascii="Helvetica Neue" w:eastAsia="Helvetica Neue" w:hAnsi="Helvetica Neue" w:cs="Helvetica Neue"/>
          <w:b/>
          <w:bCs/>
          <w:sz w:val="20"/>
          <w:szCs w:val="20"/>
          <w:vertAlign w:val="superscript"/>
        </w:rPr>
        <w:t>1</w:t>
      </w:r>
      <w:r>
        <w:rPr>
          <w:rFonts w:ascii="Helvetica Neue" w:eastAsia="Helvetica Neue" w:hAnsi="Helvetica Neue" w:cs="Helvetica Neue"/>
          <w:b/>
          <w:bCs/>
          <w:sz w:val="20"/>
          <w:szCs w:val="20"/>
        </w:rPr>
        <w:t xml:space="preserve">, </w:t>
      </w:r>
      <w:r>
        <w:rPr>
          <w:rFonts w:ascii="Helvetica Neue" w:eastAsia="Helvetica Neue" w:hAnsi="Helvetica Neue" w:cs="Helvetica Neue"/>
          <w:b/>
          <w:bCs/>
          <w:sz w:val="20"/>
          <w:szCs w:val="20"/>
          <w:highlight w:val="yellow"/>
        </w:rPr>
        <w:t xml:space="preserve">[Student 1 name — to be entered]</w:t>
      </w:r>
      <w:r>
        <w:rPr>
          <w:rFonts w:ascii="Helvetica Neue" w:eastAsia="Helvetica Neue" w:hAnsi="Helvetica Neue" w:cs="Helvetica Neue"/>
          <w:b/>
          <w:bCs/>
          <w:sz w:val="20"/>
          <w:szCs w:val="20"/>
          <w:vertAlign w:val="superscript"/>
        </w:rPr>
        <w:t xml:space="preserve">2</w:t>
      </w:r>
      <w:r>
        <w:rPr>
          <w:rFonts w:ascii="Helvetica Neue" w:eastAsia="Helvetica Neue" w:hAnsi="Helvetica Neue" w:cs="Helvetica Neue"/>
          <w:b/>
          <w:bCs/>
          <w:sz w:val="20"/>
          <w:szCs w:val="20"/>
        </w:rPr>
        <w:t xml:space="preserve">, </w:t>
      </w:r>
      <w:r>
        <w:rPr>
          <w:rFonts w:ascii="Helvetica Neue" w:eastAsia="Helvetica Neue" w:hAnsi="Helvetica Neue" w:cs="Helvetica Neue"/>
          <w:b/>
          <w:bCs/>
          <w:sz w:val="20"/>
          <w:szCs w:val="20"/>
          <w:highlight w:val="yellow"/>
        </w:rPr>
        <w:t xml:space="preserve">[Student 2 name — to be entered]</w:t>
      </w:r>
      <w:r>
        <w:rPr>
          <w:rFonts w:ascii="Helvetica Neue" w:eastAsia="Helvetica Neue" w:hAnsi="Helvetica Neue" w:cs="Helvetica Neue"/>
          <w:b/>
          <w:bCs/>
          <w:sz w:val="20"/>
          <w:szCs w:val="20"/>
          <w:vertAlign w:val="superscript"/>
        </w:rPr>
        <w:t xml:space="preserve">3</w:t>
      </w:r>
      <w:r>
        <w:rPr>
          <w:rFonts w:ascii="Helvetica Neue" w:eastAsia="Helvetica Neue" w:hAnsi="Helvetica Neue" w:cs="Helvetica Neue"/>
          <w:b/>
          <w:bCs/>
          <w:sz w:val="20"/>
          <w:szCs w:val="20"/>
        </w:rPr>
        <w:t xml:space="preserve">, </w:t>
      </w:r>
      <w:r>
        <w:rPr>
          <w:rFonts w:ascii="Helvetica Neue" w:eastAsia="Helvetica Neue" w:hAnsi="Helvetica Neue" w:cs="Helvetica Neue"/>
          <w:b/>
          <w:bCs/>
          <w:sz w:val="20"/>
          <w:szCs w:val="20"/>
          <w:highlight w:val="yellow"/>
        </w:rPr>
        <w:t xml:space="preserve">[Student 3 name — to be entered]</w:t>
      </w:r>
      <w:r>
        <w:rPr>
          <w:rFonts w:ascii="Helvetica Neue" w:eastAsia="Helvetica Neue" w:hAnsi="Helvetica Neue" w:cs="Helvetica Neue"/>
          <w:b/>
          <w:bCs/>
          <w:sz w:val="20"/>
          <w:szCs w:val="20"/>
          <w:vertAlign w:val="superscript"/>
        </w:rPr>
        <w:t xml:space="preserve">4</w:t>
      </w:r>
      <w:r>
        <w:rPr>
          <w:rFonts w:ascii="Helvetica Neue" w:eastAsia="Helvetica Neue" w:hAnsi="Helvetica Neue" w:cs="Helvetica Neue"/>
          <w:b/>
          <w:bCs/>
          <w:sz w:val="20"/>
          <w:szCs w:val="20"/>
        </w:rPr>
        <w:t xml:space="preserve">, </w:t>
      </w:r>
      <w:r>
        <w:rPr>
          <w:rFonts w:ascii="Helvetica Neue" w:eastAsia="Helvetica Neue" w:hAnsi="Helvetica Neue" w:cs="Helvetica Neue"/>
          <w:b/>
          <w:bCs/>
          <w:sz w:val="20"/>
          <w:szCs w:val="20"/>
          <w:highlight w:val="yellow"/>
        </w:rPr>
        <w:t xml:space="preserve">[Student 4 name — to be entered]</w:t>
      </w:r>
      <w:r>
        <w:rPr>
          <w:rFonts w:ascii="Helvetica Neue" w:eastAsia="Helvetica Neue" w:hAnsi="Helvetica Neue" w:cs="Helvetica Neue"/>
          <w:b/>
          <w:bCs/>
          <w:sz w:val="20"/>
          <w:szCs w:val="20"/>
          <w:vertAlign w:val="superscript"/>
        </w:rPr>
        <w:t xml:space="preserve">5</w:t>
      </w:r>
    </w:p>
    <w:p w:rsidR="00575101" w:rsidRDefault="00575101" w:rsidP="00906A6C">
      <w:pPr>
        <w:pBdr>
          <w:top w:val="nil"/>
          <w:left w:val="nil"/>
          <w:bottom w:val="nil"/>
          <w:right w:val="nil"/>
          <w:between w:val="nil"/>
        </w:pBdr>
        <w:spacing w:line="180" w:lineRule="auto"/>
        <w:ind w:right="-46"/>
        <w:jc w:val="center"/>
        <w:rPr>
          <w:sz w:val="14"/>
          <w:szCs w:val="14"/>
        </w:rPr>
      </w:pPr>
      <w:r>
        <w:rPr>
          <w:sz w:val="14"/>
          <w:szCs w:val="14"/>
        </w:rPr>
        <w:t>School of Computer Science and Engineering, Vellore Institute of Technology (VIT), Vellore-632014, T.N., India</w:t>
      </w:r>
    </w:p>
    <w:p w:rsidR="00575101" w:rsidRPr="00FB13EB" w:rsidRDefault="003F31CF" w:rsidP="00906A6C">
      <w:pPr>
        <w:pBdr>
          <w:top w:val="nil"/>
          <w:left w:val="nil"/>
          <w:bottom w:val="nil"/>
          <w:right w:val="nil"/>
          <w:between w:val="nil"/>
        </w:pBdr>
        <w:spacing w:line="180" w:lineRule="auto"/>
        <w:ind w:right="-46"/>
        <w:jc w:val="center"/>
        <w:rPr>
          <w:sz w:val="14"/>
          <w:szCs w:val="14"/>
        </w:rPr>
      </w:pPr>
      <w:hyperlink r:id="rId19" w:history="1">
        <w:r w:rsidR="00575101" w:rsidRPr="001512C6">
          <w:rPr>
            <w:rStyle w:val="Hyperlink"/>
            <w:sz w:val="14"/>
            <w:szCs w:val="14"/>
            <w:vertAlign w:val="superscript"/>
          </w:rPr>
          <w:t>1</w:t>
        </w:r>
        <w:r w:rsidR="00575101" w:rsidRPr="001512C6">
          <w:rPr>
            <w:rStyle w:val="Hyperlink"/>
            <w:sz w:val="14"/>
            <w:szCs w:val="14"/>
          </w:rPr>
          <w:t>mrajasekharababu@vit.ac.in</w:t>
        </w:r>
      </w:hyperlink>
      <w:r>
        <w:rPr>
          <w:sz w:val="14"/>
          <w:szCs w:val="14"/>
        </w:rPr>
        <w:t xml:space="preserve">, </w:t>
      </w:r>
      <w:r>
        <w:rPr>
          <w:sz w:val="14"/>
          <w:szCs w:val="14"/>
          <w:vertAlign w:val="superscript"/>
        </w:rPr>
        <w:t xml:space="preserve">2</w:t>
      </w:r>
      <w:r>
        <w:rPr>
          <w:sz w:val="14"/>
          <w:szCs w:val="14"/>
          <w:highlight w:val="yellow"/>
        </w:rPr>
        <w:t xml:space="preserve">[Student 1 VIT e-mail — to be entered]</w:t>
      </w:r>
      <w:r>
        <w:rPr>
          <w:sz w:val="14"/>
          <w:szCs w:val="14"/>
        </w:rPr>
        <w:t xml:space="preserve">, </w:t>
      </w:r>
      <w:r>
        <w:rPr>
          <w:sz w:val="14"/>
          <w:szCs w:val="14"/>
          <w:vertAlign w:val="superscript"/>
        </w:rPr>
        <w:t xml:space="preserve">3</w:t>
      </w:r>
      <w:r>
        <w:rPr>
          <w:sz w:val="14"/>
          <w:szCs w:val="14"/>
          <w:highlight w:val="yellow"/>
        </w:rPr>
        <w:t xml:space="preserve">[Student 2 VIT e-mail — to be entered]</w:t>
      </w:r>
      <w:r>
        <w:rPr>
          <w:sz w:val="14"/>
          <w:szCs w:val="14"/>
        </w:rPr>
        <w:t xml:space="preserve">, </w:t>
      </w:r>
      <w:r>
        <w:rPr>
          <w:sz w:val="14"/>
          <w:szCs w:val="14"/>
          <w:vertAlign w:val="superscript"/>
        </w:rPr>
        <w:t xml:space="preserve">4</w:t>
      </w:r>
      <w:r>
        <w:rPr>
          <w:sz w:val="14"/>
          <w:szCs w:val="14"/>
          <w:highlight w:val="yellow"/>
        </w:rPr>
        <w:t xml:space="preserve">[Student 3 VIT e-mail — to be entered]</w:t>
      </w:r>
      <w:r>
        <w:rPr>
          <w:sz w:val="14"/>
          <w:szCs w:val="14"/>
        </w:rPr>
        <w:t xml:space="preserve">, </w:t>
      </w:r>
      <w:r>
        <w:rPr>
          <w:sz w:val="14"/>
          <w:szCs w:val="14"/>
          <w:vertAlign w:val="superscript"/>
        </w:rPr>
        <w:t xml:space="preserve">5</w:t>
      </w:r>
      <w:r>
        <w:rPr>
          <w:sz w:val="14"/>
          <w:szCs w:val="14"/>
          <w:highlight w:val="yellow"/>
        </w:rPr>
        <w:t xml:space="preserve">[Student 4 VIT e-mail — to be entered]</w:t>
      </w:r>
    </w:p>
    <w:p w:rsidR="00575101" w:rsidRDefault="00575101" w:rsidP="00906A6C">
      <w:pPr>
        <w:pBdr>
          <w:top w:val="nil"/>
          <w:left w:val="nil"/>
          <w:bottom w:val="nil"/>
          <w:right w:val="nil"/>
          <w:between w:val="nil"/>
        </w:pBdr>
        <w:spacing w:before="100" w:after="100" w:line="180" w:lineRule="auto"/>
        <w:ind w:right="-46"/>
        <w:jc w:val="center"/>
        <w:rPr>
          <w:sz w:val="15"/>
          <w:szCs w:val="15"/>
        </w:rPr>
      </w:pPr>
      <w:r>
        <w:rPr>
          <w:sz w:val="15"/>
          <w:szCs w:val="15"/>
        </w:rPr>
        <w:t>Corresponding author: M Rajasekhara Babu (e-mail: mrajasekharababu@vit.ac.in).</w:t>
      </w:r>
    </w:p>
    <w:p w:rsidR="00575101" w:rsidRDefault="00575101">
      <w:pPr>
        <w:pBdr>
          <w:top w:val="nil"/>
          <w:left w:val="nil"/>
          <w:bottom w:val="nil"/>
          <w:right w:val="nil"/>
          <w:between w:val="nil"/>
        </w:pBdr>
        <w:spacing w:after="540"/>
        <w:jc w:val="both"/>
        <w:rPr>
          <w:sz w:val="16"/>
          <w:szCs w:val="16"/>
        </w:rPr>
      </w:pPr>
    </w:p>
    <w:p w:rsidR="00575101" w:rsidRDefault="00575101" w:rsidP="00906A6C">
      <w:pPr>
        <w:pBdr>
          <w:top w:val="nil"/>
          <w:left w:val="nil"/>
          <w:bottom w:val="nil"/>
          <w:right w:val="nil"/>
          <w:between w:val="nil"/>
        </w:pBdr>
        <w:spacing w:after="340"/>
        <w:ind w:right="95"/>
        <w:jc w:val="both"/>
        <w:rPr>
          <w:sz w:val="20"/>
          <w:szCs w:val="20"/>
        </w:rPr>
      </w:pPr>
      <w:bookmarkStart w:id="100" w:name="_AdaSec0"/>
      <w:r>
        <w:rPr>
          <w:rFonts w:ascii="Helvetica Neue" w:eastAsia="Helvetica Neue" w:hAnsi="Helvetica Neue" w:cs="Helvetica Neue"/>
          <w:b/>
          <w:bCs/>
          <w:color w:val="00629B"/>
          <w:sz w:val="20"/>
          <w:szCs w:val="20"/>
        </w:rPr>
        <w:t>ABSTRACT</w:t>
      </w:r>
      <w:r>
        <w:rPr>
          <w:sz w:val="20"/>
          <w:szCs w:val="20"/>
        </w:rPr>
        <w:t xml:space="preserve"> Apache Spark jobs usually run under one fixed configuration, although the best setting shifts with operator mix, data scale and skew. This case study presents AdaSpark, a self-adaptive big data programming framework whose reinforcement learning agent selects shuffle partitions and execution parallelism before each run and learns from measured outcomes within a hard budget of 500 training executions. Its monitor–analyze–plan–execute loop never rewards failed configurations, seals test data until evaluation and keeps every decision traceable. On a frozen single-node testbed with five workload families at three data scales, configuration choice moved median execution time by at least 10% on all four families tested, and training used 483 of the budgeted executions with no failed submitted configuration. In a pre-registered confirmatory evaluation on 42 frozen test cells, the learned policy was 4.0 times faster than Spark defaults (significantly, by at least 10%, on 36 of 37 decidable cells) but 1.22 times slower than a tuned static configuration, to which a rule heuristic and equal-budget random search also resolved, so superiority over these baselines was rejected. Policies trained from different seeds disagreed on training states, and generalization was not evaluable. A 1 Hz system sampler kept monitoring overhead below 5% on six of seven cells in two studies, whereas an earlier pass for the Spark event log was not re-established. A pre-registered prediction that interval width shrinks with the square root of the repetition count failed on all seven cells because repetitions were serially correlated.</w:t>
      </w:r>
      <w:bookmarkEnd w:id="100"/>
    </w:p>
    <w:p w:rsidR="00E67B87" w:rsidRDefault="00575101">
      <w:pPr>
        <w:pBdr>
          <w:top w:val="nil"/>
          <w:left w:val="nil"/>
          <w:bottom w:val="nil"/>
          <w:right w:val="nil"/>
          <w:between w:val="nil"/>
        </w:pBdr>
        <w:spacing w:after="520"/>
        <w:ind w:right="1380"/>
        <w:rPr>
          <w:sz w:val="20"/>
          <w:szCs w:val="20"/>
        </w:rPr>
      </w:pPr>
      <w:r>
        <w:rPr>
          <w:rFonts w:ascii="Helvetica Neue" w:eastAsia="Helvetica Neue" w:hAnsi="Helvetica Neue" w:cs="Helvetica Neue"/>
          <w:b/>
          <w:bCs/>
          <w:color w:val="00629B"/>
          <w:sz w:val="20"/>
          <w:szCs w:val="20"/>
        </w:rPr>
        <w:t>INDEX TERMS</w:t>
      </w:r>
      <w:r>
        <w:rPr>
          <w:sz w:val="20"/>
          <w:szCs w:val="20"/>
        </w:rPr>
        <w:t xml:space="preserve"> Adaptive Analytics, Apache Spark, Autonomous Computing, Big Data Programming, Configuration Auto-Tuning, DataOps, Intelligent Resource Allocation, Q-Learning, Reinforcement Learning, Self-Tuning Systems.</w:t>
      </w: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01" w:name="_AdaSecES"/>
      <w:r>
        <w:rPr>
          <w:rFonts w:ascii="Helvetica Neue" w:eastAsia="Helvetica Neue" w:hAnsi="Helvetica Neue" w:cs="Helvetica Neue"/>
          <w:b/>
          <w:bCs/>
          <w:color w:val="00629B"/>
          <w:sz w:val="18"/>
          <w:szCs w:val="18"/>
        </w:rPr>
        <w:t xml:space="preserve">EXECUTIVE SUMMARY</w:t>
      </w:r>
      <w:bookmarkEnd w:id="101"/>
    </w:p>
    <w:p w:rsidR="00A7482C" w:rsidRDefault="00A7482C" w:rsidP="00A7482C">
      <w:pPr>
        <w:pBdr>
          <w:top w:val="nil"/>
          <w:left w:val="nil"/>
          <w:bottom w:val="nil"/>
          <w:right w:val="nil"/>
          <w:between w:val="nil"/>
        </w:pBdr>
        <w:jc w:val="both"/>
        <w:rPr>
          <w:sz w:val="20"/>
          <w:szCs w:val="20"/>
        </w:rPr>
      </w:pPr>
      <w:r>
        <w:rPr>
          <w:sz w:val="20"/>
          <w:szCs w:val="20"/>
        </w:rPr>
        <w:t xml:space="preserve">Big-data programming on Spark remains dominated by static decisions: a workload is submitted under a default or hand-tuned configuration that stays fixed while data volumes, skew and operator mixes change. With about two hundred parameters, manual tuning goes stale as workloads drift, and built-in Adaptive Query Execution (AQE) covers only some runtime decisions.</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AdaSpark</w:t>
      </w:r>
      <w:r>
        <w:rPr>
          <w:sz w:val="20"/>
          <w:szCs w:val="20"/>
        </w:rPr>
        <w:t xml:space="preserve"> closes the loop around Spark execution with reinforcement learning (RL): an agent observes a compact workload-context and runtime-feedback state, selects shuffle partitions × execution parallelism before each run, and learns from the measured outcome within ≤500 training executions. It follows the Monitor–Analyze–Plan–Execute–Knowledge (MAPE-K) pattern, with a governance layer that never rewards failed configurations.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On a frozen single-node backend (five workload families, three data scales, plus a 4,842-run overhead study) the findings are: (i) configuration choice moves median execution time by ≥10% on all four tested families (EXP-002 gate, PASS); (ii) training used 483 of the 500 executions with zero failed submitted configurations; (iii) the pre-registered, drift-controlled confirmatory evaluation on 42 frozen test cells (EXP-013) accepted H2 — 4.0× faster than Spark defaults across 37 decidable cells and ≥10% faster on 36 of them — and rejected H3: 1.22× slower than a well-chosen static tuning, to which equal-budget random search also converged; (iv) cross-seed agreement failed on training states (0.20 vs 0.70), yet on test inputs the three replicates collapse to one per-family rule, and generalization (EXP-006) is not evaluable; (v) the 1 Hz sampler stays below the 5% overhead budget on six of seven cells in both EXP-009 and the paired re-measurement EXP-014, whereas the event log's earlier six-of-seven pass was not re-established (three pass, four inconclusive, none fail); and (vi) the pre-registered prediction that interval width shrinks as 1/√n failed on all seven cells because repetitions are serially correlated (lag-1 autocorrelation +0.58…+0.89), so roughly 3,000 of the 4,842 runs were unnecessary.</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Organizationally, AdaSpark turns tuning into a governed, auditable control loop: every decision traces to a policy checkpoint, every measurement carries provenance, and every limitation — including the failed agreement gate and three earlier conclusions the two confirmatory studies refuted — is recorded in the decision log and the claim–experiment map. Table 1 summarizes the contributions and outcomes.</w:t>
      </w:r>
    </w:p>
    <w:p w:rsidR="00A7482C" w:rsidRDefault="00A7482C" w:rsidP="00A7482C">
      <w:pPr>
        <w:keepNext/>
        <w:pBdr>
          <w:top w:val="nil"/>
          <w:left w:val="nil"/>
          <w:bottom w:val="nil"/>
          <w:right w:val="nil"/>
          <w:between w:val="nil"/>
        </w:pBdr>
        <w:jc w:val="center"/>
        <w:rPr>
          <w:smallCaps/>
          <w:sz w:val="16"/>
          <w:szCs w:val="16"/>
        </w:rPr>
      </w:pPr>
      <w:bookmarkStart w:id="102" w:name="_AdaTab1"/>
      <w:r>
        <w:rPr>
          <w:smallCaps/>
          <w:sz w:val="16"/>
          <w:szCs w:val="16"/>
        </w:rPr>
        <w:t xml:space="preserve">TABLE 1</w:t>
      </w:r>
      <w:bookmarkEnd w:id="102"/>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Executive Summary of Contributions and Outcomes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w:t>
            </w:r>
          </w:p>
        </w:tc>
        <w:tc>
          <w:tcPr>
            <w:tcW w:type="dxa" w:w="3009"/>
          </w:tcPr>
          <w:p>
            <w:pPr>
              <w:keepNext/>
            </w:pPr>
            <w:r>
              <w:rPr>
                <w:b/>
                <w:sz w:val="16"/>
                <w:szCs w:val="16"/>
              </w:rPr>
              <w:t xml:space="preserve">Contribution</w:t>
            </w:r>
          </w:p>
        </w:tc>
        <w:tc>
          <w:tcPr>
            <w:tcW w:type="dxa" w:w="3009"/>
          </w:tcPr>
          <w:p>
            <w:pPr>
              <w:keepNext/>
            </w:pPr>
            <w:r>
              <w:rPr>
                <w:b/>
                <w:sz w:val="16"/>
                <w:szCs w:val="16"/>
              </w:rPr>
              <w:t xml:space="preserve">Outcome (measured)</w:t>
            </w:r>
          </w:p>
        </w:tc>
      </w:tr>
      <w:tr>
        <w:trPr>
          <w:cantSplit/>
        </w:trPr>
        <w:tc>
          <w:tcPr>
            <w:tcW w:type="dxa" w:w="3009"/>
          </w:tcPr>
          <w:p>
            <w:pPr>
              <w:keepNext/>
            </w:pPr>
            <w:r>
              <w:rPr>
                <w:sz w:val="16"/>
                <w:szCs w:val="16"/>
              </w:rPr>
              <w:t xml:space="preserve">C1</w:t>
            </w:r>
          </w:p>
        </w:tc>
        <w:tc>
          <w:tcPr>
            <w:tcW w:type="dxa" w:w="3009"/>
          </w:tcPr>
          <w:p>
            <w:pPr>
              <w:keepNext/>
            </w:pPr>
            <w:r>
              <w:rPr>
                <w:sz w:val="16"/>
                <w:szCs w:val="16"/>
              </w:rPr>
              <w:t xml:space="preserve">RL-driven self-adaptive Spark configuration loop (MAPE-K)</w:t>
            </w:r>
          </w:p>
        </w:tc>
        <w:tc>
          <w:tcPr>
            <w:tcW w:type="dxa" w:w="3009"/>
          </w:tcPr>
          <w:p>
            <w:pPr>
              <w:keepNext/>
            </w:pPr>
            <w:r>
              <w:rPr>
                <w:sz w:val="16"/>
                <w:szCs w:val="16"/>
              </w:rPr>
              <w:t xml:space="preserve">Implemented; 12-action space; tabular Q-learning + Q0 offline init</w:t>
            </w:r>
          </w:p>
        </w:tc>
      </w:tr>
      <w:tr>
        <w:trPr>
          <w:cantSplit/>
        </w:trPr>
        <w:tc>
          <w:tcPr>
            <w:tcW w:type="dxa" w:w="3009"/>
          </w:tcPr>
          <w:p>
            <w:pPr>
              <w:keepNext/>
            </w:pPr>
            <w:r>
              <w:rPr>
                <w:sz w:val="16"/>
                <w:szCs w:val="16"/>
              </w:rPr>
              <w:t xml:space="preserve">C2</w:t>
            </w:r>
          </w:p>
        </w:tc>
        <w:tc>
          <w:tcPr>
            <w:tcW w:type="dxa" w:w="3009"/>
          </w:tcPr>
          <w:p>
            <w:pPr>
              <w:keepNext/>
            </w:pPr>
            <w:r>
              <w:rPr>
                <w:sz w:val="16"/>
                <w:szCs w:val="16"/>
              </w:rPr>
              <w:t xml:space="preserve">Bounded-budget learning (≤500 executions)</w:t>
            </w:r>
          </w:p>
        </w:tc>
        <w:tc>
          <w:tcPr>
            <w:tcW w:type="dxa" w:w="3009"/>
          </w:tcPr>
          <w:p>
            <w:pPr>
              <w:keepNext/>
            </w:pPr>
            <w:r>
              <w:rPr>
                <w:sz w:val="16"/>
                <w:szCs w:val="16"/>
              </w:rPr>
              <w:t xml:space="preserve">483 SC6-counted spent, 17 remaining (488/500 combined incl. 5 disclosed demo runs); 0 failed submitted configs</w:t>
            </w:r>
          </w:p>
        </w:tc>
      </w:tr>
      <w:tr>
        <w:trPr>
          <w:cantSplit/>
        </w:trPr>
        <w:tc>
          <w:tcPr>
            <w:tcW w:type="dxa" w:w="3009"/>
          </w:tcPr>
          <w:p>
            <w:pPr>
              <w:keepNext/>
            </w:pPr>
            <w:r>
              <w:rPr>
                <w:sz w:val="16"/>
                <w:szCs w:val="16"/>
              </w:rPr>
              <w:t xml:space="preserve">C3</w:t>
            </w:r>
          </w:p>
        </w:tc>
        <w:tc>
          <w:tcPr>
            <w:tcW w:type="dxa" w:w="3009"/>
          </w:tcPr>
          <w:p>
            <w:pPr>
              <w:keepNext/>
            </w:pPr>
            <w:r>
              <w:rPr>
                <w:sz w:val="16"/>
                <w:szCs w:val="16"/>
              </w:rPr>
              <w:t xml:space="preserve">Sensitivity feasibility gate (EXP-002)</w:t>
            </w:r>
          </w:p>
        </w:tc>
        <w:tc>
          <w:tcPr>
            <w:tcW w:type="dxa" w:w="3009"/>
          </w:tcPr>
          <w:p>
            <w:pPr>
              <w:keepNext/>
            </w:pPr>
            <w:r>
              <w:rPr>
                <w:sz w:val="16"/>
                <w:szCs w:val="16"/>
              </w:rPr>
              <w:t xml:space="preserve">PASS — ≥10% spread on 4/4 families</w:t>
            </w:r>
          </w:p>
        </w:tc>
      </w:tr>
      <w:tr>
        <w:trPr>
          <w:cantSplit/>
        </w:trPr>
        <w:tc>
          <w:tcPr>
            <w:tcW w:type="dxa" w:w="3009"/>
          </w:tcPr>
          <w:p>
            <w:pPr>
              <w:keepNext/>
            </w:pPr>
            <w:r>
              <w:rPr>
                <w:sz w:val="16"/>
                <w:szCs w:val="16"/>
              </w:rPr>
              <w:t xml:space="preserve">C4</w:t>
            </w:r>
          </w:p>
        </w:tc>
        <w:tc>
          <w:tcPr>
            <w:tcW w:type="dxa" w:w="3009"/>
          </w:tcPr>
          <w:p>
            <w:pPr>
              <w:keepNext/>
            </w:pPr>
            <w:r>
              <w:rPr>
                <w:sz w:val="16"/>
                <w:szCs w:val="16"/>
              </w:rPr>
              <w:t xml:space="preserve">Main comparison vs baselines incl. random search (EXP-005 → EXP-013)</w:t>
            </w:r>
          </w:p>
        </w:tc>
        <w:tc>
          <w:tcPr>
            <w:tcW w:type="dxa" w:w="3009"/>
          </w:tcPr>
          <w:p>
            <w:pPr>
              <w:keepNext/>
            </w:pPr>
            <w:r>
              <w:rPr>
                <w:sz w:val="16"/>
                <w:szCs w:val="16"/>
              </w:rPr>
              <w:t xml:space="preserve">245 + 900 queue entries; H2 ACCEPTED (4.0× vs defaults); H3 REJECTED (1.22× slower than static tuning)</w:t>
            </w:r>
          </w:p>
        </w:tc>
      </w:tr>
      <w:tr>
        <w:trPr>
          <w:cantSplit/>
        </w:trPr>
        <w:tc>
          <w:tcPr>
            <w:tcW w:type="dxa" w:w="3009"/>
          </w:tcPr>
          <w:p>
            <w:pPr>
              <w:keepNext/>
            </w:pPr>
            <w:r>
              <w:rPr>
                <w:sz w:val="16"/>
                <w:szCs w:val="16"/>
              </w:rPr>
              <w:t xml:space="preserve">C5</w:t>
            </w:r>
          </w:p>
        </w:tc>
        <w:tc>
          <w:tcPr>
            <w:tcW w:type="dxa" w:w="3009"/>
          </w:tcPr>
          <w:p>
            <w:pPr>
              <w:keepNext/>
            </w:pPr>
            <w:r>
              <w:rPr>
                <w:sz w:val="16"/>
                <w:szCs w:val="16"/>
              </w:rPr>
              <w:t xml:space="preserve">Generalization study (EXP-006)</w:t>
            </w:r>
          </w:p>
        </w:tc>
        <w:tc>
          <w:tcPr>
            <w:tcW w:type="dxa" w:w="3009"/>
          </w:tcPr>
          <w:p>
            <w:pPr>
              <w:keepNext/>
            </w:pPr>
            <w:r>
              <w:rPr>
                <w:sz w:val="16"/>
                <w:szCs w:val="16"/>
              </w:rPr>
              <w:t xml:space="preserve">Partial (high failure on unseen cells); SC5 not evaluable</w:t>
            </w:r>
          </w:p>
        </w:tc>
      </w:tr>
      <w:tr>
        <w:trPr>
          <w:cantSplit/>
        </w:trPr>
        <w:tc>
          <w:tcPr>
            <w:tcW w:type="dxa" w:w="3009"/>
          </w:tcPr>
          <w:p>
            <w:pPr>
              <w:keepNext/>
            </w:pPr>
            <w:r>
              <w:rPr>
                <w:sz w:val="16"/>
                <w:szCs w:val="16"/>
              </w:rPr>
              <w:t xml:space="preserve">C6</w:t>
            </w:r>
          </w:p>
        </w:tc>
        <w:tc>
          <w:tcPr>
            <w:tcW w:type="dxa" w:w="3009"/>
          </w:tcPr>
          <w:p>
            <w:pPr>
              <w:keepNext/>
            </w:pPr>
            <w:r>
              <w:rPr>
                <w:sz w:val="16"/>
                <w:szCs w:val="16"/>
              </w:rPr>
              <w:t xml:space="preserve">Monitoring-overhead measurement (EXP-009 → EXP-014)</w:t>
            </w:r>
          </w:p>
        </w:tc>
        <w:tc>
          <w:tcPr>
            <w:tcW w:type="dxa" w:w="3009"/>
          </w:tcPr>
          <w:p>
            <w:pPr>
              <w:keepNext/>
            </w:pPr>
            <w:r>
              <w:rPr>
                <w:sz w:val="16"/>
                <w:szCs w:val="16"/>
              </w:rPr>
              <w:t xml:space="preserve">Sampler 6/7 PASS in both; event log 6/7 → 3/7 PASS (0 FAIL) under the paired statistic</w:t>
            </w:r>
          </w:p>
        </w:tc>
      </w:tr>
      <w:tr>
        <w:trPr>
          <w:cantSplit/>
        </w:trPr>
        <w:tc>
          <w:tcPr>
            <w:tcW w:type="dxa" w:w="3009"/>
          </w:tcPr>
          <w:p>
            <w:pPr>
              <w:keepNext/>
            </w:pPr>
            <w:r>
              <w:rPr>
                <w:sz w:val="16"/>
                <w:szCs w:val="16"/>
              </w:rPr>
              <w:t xml:space="preserve">C7</w:t>
            </w:r>
          </w:p>
        </w:tc>
        <w:tc>
          <w:tcPr>
            <w:tcW w:type="dxa" w:w="3009"/>
          </w:tcPr>
          <w:p>
            <w:pPr>
              <w:keepNext/>
            </w:pPr>
            <w:r>
              <w:rPr>
                <w:sz w:val="16"/>
                <w:szCs w:val="16"/>
              </w:rPr>
              <w:t xml:space="preserve">Pre-registered √n falsification (4,842 runs)</w:t>
            </w:r>
          </w:p>
        </w:tc>
        <w:tc>
          <w:tcPr>
            <w:tcW w:type="dxa" w:w="3009"/>
          </w:tcPr>
          <w:p>
            <w:pPr>
              <w:keepNext/>
            </w:pPr>
            <w:r>
              <w:rPr>
                <w:sz w:val="16"/>
                <w:szCs w:val="16"/>
              </w:rPr>
              <w:t xml:space="preserve">Failed 7/7 — serial dependence measured, cost quantified</w:t>
            </w:r>
          </w:p>
        </w:tc>
      </w:tr>
      <w:tr>
        <w:trPr>
          <w:cantSplit/>
        </w:trPr>
        <w:tc>
          <w:tcPr>
            <w:tcW w:type="dxa" w:w="3009"/>
          </w:tcPr>
          <w:p>
            <w:r>
              <w:rPr>
                <w:sz w:val="16"/>
                <w:szCs w:val="16"/>
              </w:rPr>
              <w:t xml:space="preserve">C8</w:t>
            </w:r>
          </w:p>
        </w:tc>
        <w:tc>
          <w:tcPr>
            <w:tcW w:type="dxa" w:w="3009"/>
          </w:tcPr>
          <w:p>
            <w:r>
              <w:rPr>
                <w:sz w:val="16"/>
                <w:szCs w:val="16"/>
              </w:rPr>
              <w:t xml:space="preserve">Governance: decision log, provenance, sealed test discipline</w:t>
            </w:r>
          </w:p>
        </w:tc>
        <w:tc>
          <w:tcPr>
            <w:tcW w:type="dxa" w:w="3009"/>
          </w:tcPr>
          <w:p>
            <w:r>
              <w:rPr>
                <w:sz w:val="16"/>
                <w:szCs w:val="16"/>
              </w:rPr>
              <w:t xml:space="preserve">Decision log DEC-001–DEC-055; immutable manifests; reproducible artifact</w:t>
            </w:r>
          </w:p>
        </w:tc>
      </w:tr>
    </w:tbl>
    <w:p/>
    <w:p w:rsidR="00A7482C" w:rsidRDefault="00A7482C">
      <w:pPr>
        <w:pBdr>
          <w:top w:val="nil"/>
          <w:left w:val="nil"/>
          <w:bottom w:val="nil"/>
          <w:right w:val="nil"/>
          <w:between w:val="nil"/>
        </w:pBdr>
        <w:spacing w:after="520"/>
        <w:ind w:right="1380"/>
        <w:rPr>
          <w:sz w:val="20"/>
          <w:szCs w:val="20"/>
        </w:r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sectPr w:rsidR="00A7482C" w:rsidSect="001C2925">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03" w:name="_AdaSec1"/>
      <w:r>
        <w:rPr>
          <w:rFonts w:ascii="Helvetica Neue" w:eastAsia="Helvetica Neue" w:hAnsi="Helvetica Neue" w:cs="Helvetica Neue"/>
          <w:b/>
          <w:bCs/>
          <w:color w:val="00629B"/>
          <w:sz w:val="18"/>
          <w:szCs w:val="18"/>
        </w:rPr>
        <w:t xml:space="preserve">I. INTRODUCTION</w:t>
      </w:r>
      <w:bookmarkEnd w:id="103"/>
    </w:p>
    <w:p w:rsidR="00A7482C" w:rsidRDefault="00A7482C" w:rsidP="00A7482C">
      <w:pPr>
        <w:pBdr>
          <w:top w:val="nil"/>
          <w:left w:val="nil"/>
          <w:bottom w:val="nil"/>
          <w:right w:val="nil"/>
          <w:between w:val="nil"/>
        </w:pBdr>
        <w:jc w:val="both"/>
        <w:rPr>
          <w:sz w:val="20"/>
          <w:szCs w:val="20"/>
        </w:rPr>
      </w:pPr>
      <w:r>
        <w:rPr>
          <w:sz w:val="20"/>
          <w:szCs w:val="20"/>
        </w:rPr>
        <w:t xml:space="preserve">Big-data analytics has evolved from hand-written MapReduce jobs over batch windows to declarative, interactive, and streaming computation on unified engines. Apache Spark became the de-facto standard for this evolution by combining in-memory execution, a rich SQL and DataFrame API, and a growing set of runtime adaptations, most notably Adaptive Query Execution (AQE), which adjusts shuffle partitions and join strategies at runtime [1][2][34]. Each step in this evolution (Fig. 1) removed one class of manual effort — yet one class remains stubbornly manual: choosing the execution configuration under which a job runs. Surveys of the ecosystem trace the same arc across domains: stream processing grew from research prototypes into a family of production engines with explicit resource-management concerns [40], mobility and spatio-temporal analytics now run on purpose-built layers over Spark-class frameworks [41][42], and machine-learning pipelines increasingly execute inside Spark itself, where their scalability depends on how the engine is configured [43].</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 Spark application exposes on the order of two hundred configuration parameters, from </w:t>
      </w:r>
      <w:r>
        <w:rPr>
          <w:rFonts w:ascii="Consolas" w:hAnsi="Consolas" w:cs="Consolas" w:eastAsia="Consolas"/>
          <w:sz w:val="20"/>
          <w:szCs w:val="20"/>
        </w:rPr>
        <w:t xml:space="preserve">spark.sql.shuffle.partitions</w:t>
      </w:r>
      <w:r>
        <w:rPr>
          <w:sz w:val="20"/>
          <w:szCs w:val="20"/>
        </w:rPr>
        <w:t xml:space="preserve"> to executor memory, serialization, and spill thresholds. Defaults are compromise values; optimal values depend on workload composition (joins vs aggregations vs sorts), data scale, and skew — all of which drift over a workload's lifetime. In practice, organizations respond with static tuning: an expert studies a workload, fixes a configuration, and moves on until performance visibly degrades. Rule-based heuristics (e.g., scaling partitions with input size) improve on defaults but encode assumptions that break silently, as this project's own heuristic did — collapsing byte-identically onto the static tuning at the studied data volumes. The structural problem is that configuration selection is an open loop: nothing observes the outcome and feeds it back into the next decision.</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Reinforcement learning offers a principled way to close that loop. An RL agent learns a policy mapping observed state to configuration actions, optimized against measured reward, improving with experience rather than degrading with drift. Unlike offline Bayesian-optimization tuners that emit one static configuration, an online RL loop keeps adapting; unlike deep-RL proposals that demand thousands of training executions and cluster-scale resources, a tabular agent with offline initialization can operate inside a few hundred executions — a budget a single team can afford. This report's central proposition is therefore narrow and testable rather than visionary: that Spark execution-configuration selection can be made self-adaptive with sample-efficient RL inside a practical budget, and that the benefit — if any — can be measured against appropriate baselines with statistical validity.</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AdaSpark realizes this proposition as a layered self-adaptive analytics ecosystem (Fig. 2). Workloads execute on a standard Spark deployment; a monitoring layer instruments every run (system metrics plus Spark event logs); the RL optimization layer maps workload context and runtime feedback to configuration decisions; resource-scheduling and self-tuning layers enact those decisions within governed bounds; and explainability and governance layers keep every decision traceable. The MAPE-K loop (Monitor–Analyze–Plan–Execute–Knowledge) is not a decorative reference here but the implemented control structure: each phase corresponds to named components with frozen contracts.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remainder of this report is organized as follows. Section II formalizes the problem and research gaps; Section III surveys the literature; Section IV derives system requirements; Sections V–XII present the architecture layer by layer, with the RL-driven design (Section V) as the core figure; Sections XIII–XIV describe the experimental setup and metrics; Sections XV–XVII report results, comparative analysis, and trustworthiness assessment — including negative findings; Section XVIII maps the framework to industry use cases; Section XIX assesses business impact; Section XX discusses challenges and limitations honestly; Section XXI charts future research; and Section XXII concludes. All measured claims trace to recorded project artifacts; prospective material is labelled as such.</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Two properties shape everything that follows. First, negative results are first-class content: the failed policy-agreement gate, the undecided-then-tested main hypotheses, the falsified repetition model and the AQE-on pilot whose lead did not replicate receive the same evidentiary treatment as the positive findings, with numbers, mechanisms and consequences. Second, governance is engineering rather than administration: budget guards, test seals and decision logs are code and artifact properties with test suites, reported alongside the learning results because they make those results believable. Readers interested in the framework can focus on Sections V–XII; readers interested in what was measured can read Sections XV–XVII standalone.</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1899268"/>
            <wp:docPr id="11271" name="Picture 11271"/>
            <wp:cNvGraphicFramePr>
              <a:graphicFrameLocks noChangeAspect="1"/>
            </wp:cNvGraphicFramePr>
            <a:graphic>
              <a:graphicData uri="http://schemas.openxmlformats.org/drawingml/2006/picture">
                <pic:pic>
                  <pic:nvPicPr>
                    <pic:cNvPr id="0" name="Fig 01 Evolution of Big Data Programming Frameworks.png"/>
                    <pic:cNvPicPr/>
                  </pic:nvPicPr>
                  <pic:blipFill>
                    <a:blip r:embed="rId33"/>
                    <a:stretch>
                      <a:fillRect/>
                    </a:stretch>
                  </pic:blipFill>
                  <pic:spPr>
                    <a:xfrm>
                      <a:off x="0" y="0"/>
                      <a:ext cx="5669280" cy="18992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04" w:name="_AdaFig1"/>
      <w:r>
        <w:rPr>
          <w:rFonts w:ascii="Helvetica Neue" w:eastAsia="Helvetica Neue" w:hAnsi="Helvetica Neue" w:cs="Helvetica Neue"/>
          <w:b/>
          <w:bCs/>
          <w:color w:val="00629B"/>
          <w:sz w:val="14"/>
          <w:szCs w:val="14"/>
        </w:rPr>
        <w:t xml:space="preserve">FIGURE 1. </w:t>
      </w:r>
      <w:r>
        <w:rPr>
          <w:rFonts w:ascii="Helvetica Neue" w:eastAsia="Helvetica Neue" w:hAnsi="Helvetica Neue" w:cs="Helvetica Neue"/>
          <w:b/>
          <w:bCs/>
          <w:sz w:val="14"/>
          <w:szCs w:val="14"/>
        </w:rPr>
        <w:t xml:space="preserve">Evolution of Big Data Programming Frameworks</w:t>
      </w:r>
      <w:bookmarkEnd w:id="104"/>
    </w:p>
    <w:p>
      <w:pPr>
        <w:keepNext/>
        <w:jc w:val="center"/>
      </w:pPr>
      <w:r>
        <w:drawing>
          <wp:inline xmlns:a="http://schemas.openxmlformats.org/drawingml/2006/main" xmlns:pic="http://schemas.openxmlformats.org/drawingml/2006/picture">
            <wp:extent cx="5669280" cy="3162673"/>
            <wp:docPr id="11272" name="Picture 11272"/>
            <wp:cNvGraphicFramePr>
              <a:graphicFrameLocks noChangeAspect="1"/>
            </wp:cNvGraphicFramePr>
            <a:graphic>
              <a:graphicData uri="http://schemas.openxmlformats.org/drawingml/2006/picture">
                <pic:pic>
                  <pic:nvPicPr>
                    <pic:cNvPr id="0" name="Fig 02 Self-Adaptive Analytics Ecosystem.png"/>
                    <pic:cNvPicPr/>
                  </pic:nvPicPr>
                  <pic:blipFill>
                    <a:blip r:embed="rId34"/>
                    <a:stretch>
                      <a:fillRect/>
                    </a:stretch>
                  </pic:blipFill>
                  <pic:spPr>
                    <a:xfrm>
                      <a:off x="0" y="0"/>
                      <a:ext cx="5669280" cy="3162673"/>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05" w:name="_AdaFig2"/>
      <w:r>
        <w:rPr>
          <w:rFonts w:ascii="Helvetica Neue" w:eastAsia="Helvetica Neue" w:hAnsi="Helvetica Neue" w:cs="Helvetica Neue"/>
          <w:b/>
          <w:bCs/>
          <w:color w:val="00629B"/>
          <w:sz w:val="14"/>
          <w:szCs w:val="14"/>
        </w:rPr>
        <w:t xml:space="preserve">FIGURE 2. </w:t>
      </w:r>
      <w:r>
        <w:rPr>
          <w:rFonts w:ascii="Helvetica Neue" w:eastAsia="Helvetica Neue" w:hAnsi="Helvetica Neue" w:cs="Helvetica Neue"/>
          <w:b/>
          <w:bCs/>
          <w:sz w:val="14"/>
          <w:szCs w:val="14"/>
        </w:rPr>
        <w:t xml:space="preserve">Self-Adaptive Analytics Ecosystem</w:t>
      </w:r>
      <w:bookmarkEnd w:id="105"/>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06" w:name="_AdaSec2"/>
      <w:r>
        <w:rPr>
          <w:rFonts w:ascii="Helvetica Neue" w:eastAsia="Helvetica Neue" w:hAnsi="Helvetica Neue" w:cs="Helvetica Neue"/>
          <w:b/>
          <w:bCs/>
          <w:color w:val="00629B"/>
          <w:sz w:val="18"/>
          <w:szCs w:val="18"/>
        </w:rPr>
        <w:t xml:space="preserve">II. PROBLEM STATEMENT</w:t>
      </w:r>
      <w:bookmarkEnd w:id="106"/>
    </w:p>
    <w:p w:rsidR="00A7482C" w:rsidRDefault="00A7482C" w:rsidP="00A7482C">
      <w:pPr>
        <w:pBdr>
          <w:top w:val="nil"/>
          <w:left w:val="nil"/>
          <w:bottom w:val="nil"/>
          <w:right w:val="nil"/>
          <w:between w:val="nil"/>
        </w:pBdr>
        <w:jc w:val="both"/>
        <w:rPr>
          <w:sz w:val="20"/>
          <w:szCs w:val="20"/>
        </w:rPr>
      </w:pPr>
      <w:r>
        <w:rPr>
          <w:sz w:val="20"/>
          <w:szCs w:val="20"/>
        </w:rPr>
        <w:t xml:space="preserve">Spark workloads are executed under a fixed configuration — a default or a statically tuned one — even though the best configuration depends on conditions that change: operator mix (joins vs aggregations vs sorts), data scale, and skew [50][53]. Manual tuning does not generalize across workloads and does not respond to drift, and it consumes expert labour each time performance visibly degrades. This is the problem AdaSpark addresses: static configuration selection leaves performance on the table and adaptation to the engineer.</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Five concrete challenges define the problem landscape (Fig. 3); Table 2 maps each problem element to its status in this project. </w:t>
      </w:r>
      <w:r>
        <w:rPr>
          <w:b/>
          <w:sz w:val="20"/>
          <w:szCs w:val="20"/>
        </w:rPr>
        <w:t xml:space="preserve">Workload variability</w:t>
      </w:r>
      <w:r>
        <w:rPr>
          <w:sz w:val="20"/>
          <w:szCs w:val="20"/>
        </w:rPr>
        <w:t xml:space="preserve">: the same pipeline exhibits different bottlenecks as data grows or skew shifts, so no single configuration stays optimal. </w:t>
      </w:r>
      <w:r>
        <w:rPr>
          <w:b/>
          <w:sz w:val="20"/>
          <w:szCs w:val="20"/>
        </w:rPr>
        <w:t xml:space="preserve">Resource utilization</w:t>
      </w:r>
      <w:r>
        <w:rPr>
          <w:sz w:val="20"/>
          <w:szCs w:val="20"/>
        </w:rPr>
        <w:t xml:space="preserve">: executors sit idle during skewed stages while others spill, wasting capacity that a better configuration would reclaim. </w:t>
      </w:r>
      <w:r>
        <w:rPr>
          <w:b/>
          <w:sz w:val="20"/>
          <w:szCs w:val="20"/>
        </w:rPr>
        <w:t xml:space="preserve">Scheduling inefficiencies</w:t>
      </w:r>
      <w:r>
        <w:rPr>
          <w:sz w:val="20"/>
          <w:szCs w:val="20"/>
        </w:rPr>
        <w:t xml:space="preserve">: partition counts and parallelism levels chosen once interact poorly with stage boundaries discovered only at runtime. </w:t>
      </w:r>
      <w:r>
        <w:rPr>
          <w:b/>
          <w:sz w:val="20"/>
          <w:szCs w:val="20"/>
        </w:rPr>
        <w:t xml:space="preserve">Dynamic cluster environments</w:t>
      </w:r>
      <w:r>
        <w:rPr>
          <w:sz w:val="20"/>
          <w:szCs w:val="20"/>
        </w:rPr>
        <w:t xml:space="preserve">: shared hosts, thermal effects, and background load move runtimes by tens of percent between sessions — our own measurements show ~22% session-to-session level shifts and contention episodes reaching 75% dispersion within one series. </w:t>
      </w:r>
      <w:r>
        <w:rPr>
          <w:b/>
          <w:sz w:val="20"/>
          <w:szCs w:val="20"/>
        </w:rPr>
        <w:t xml:space="preserve">Performance bottlenecks</w:t>
      </w:r>
      <w:r>
        <w:rPr>
          <w:sz w:val="20"/>
          <w:szCs w:val="20"/>
        </w:rPr>
        <w:t xml:space="preserve">: shuffle-heavy stages amplify every one of the above, making configuration choice load-bearing rather than cosmetic. Each challenge is documented beyond this project: co-located Spark applications interfere with one another in ways that require dedicated diagnosis [44], partition imbalance from data skew prolongs reduce stages and idles resources [45], splitting jobs into many small tasks trades lower load variance against per-task overhead [46], and learned systems degrade when the workload they were trained on shifts [47].</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feasibility of treating this as a learning problem was established empirically: varying only shuffle partitions {16, 32, 64, 128} × parallelism {local-2, local-4, local-8} moves median execution time by ≥10% on all four tested workload families (EXP-002 gate, PASS). A decision problem with no measurable effect would not be worth learning; this one clears the bar on every family.</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07" w:name="_AdaTab2"/>
      <w:r>
        <w:rPr>
          <w:smallCaps/>
          <w:sz w:val="16"/>
          <w:szCs w:val="16"/>
        </w:rPr>
        <w:t xml:space="preserve">TABLE 2</w:t>
      </w:r>
      <w:bookmarkEnd w:id="107"/>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Problem Definition and Research Gaps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w:t>
            </w:r>
          </w:p>
        </w:tc>
        <w:tc>
          <w:tcPr>
            <w:tcW w:type="dxa" w:w="3009"/>
          </w:tcPr>
          <w:p>
            <w:pPr>
              <w:keepNext/>
            </w:pPr>
            <w:r>
              <w:rPr>
                <w:b/>
                <w:sz w:val="16"/>
                <w:szCs w:val="16"/>
              </w:rPr>
              <w:t xml:space="preserve">Problem element</w:t>
            </w:r>
          </w:p>
        </w:tc>
        <w:tc>
          <w:tcPr>
            <w:tcW w:type="dxa" w:w="3009"/>
          </w:tcPr>
          <w:p>
            <w:pPr>
              <w:keepNext/>
            </w:pPr>
            <w:r>
              <w:rPr>
                <w:b/>
                <w:sz w:val="16"/>
                <w:szCs w:val="16"/>
              </w:rPr>
              <w:t xml:space="preserve">Status in this project</w:t>
            </w:r>
          </w:p>
        </w:tc>
      </w:tr>
      <w:tr>
        <w:trPr>
          <w:cantSplit/>
        </w:trPr>
        <w:tc>
          <w:tcPr>
            <w:tcW w:type="dxa" w:w="3009"/>
          </w:tcPr>
          <w:p>
            <w:pPr>
              <w:keepNext/>
            </w:pPr>
            <w:r>
              <w:rPr>
                <w:sz w:val="16"/>
                <w:szCs w:val="16"/>
              </w:rPr>
              <w:t xml:space="preserve">P1</w:t>
            </w:r>
          </w:p>
        </w:tc>
        <w:tc>
          <w:tcPr>
            <w:tcW w:type="dxa" w:w="3009"/>
          </w:tcPr>
          <w:p>
            <w:pPr>
              <w:keepNext/>
            </w:pPr>
            <w:r>
              <w:rPr>
                <w:sz w:val="16"/>
                <w:szCs w:val="16"/>
              </w:rPr>
              <w:t xml:space="preserve">Static/default configs ignore workload + drift</w:t>
            </w:r>
          </w:p>
        </w:tc>
        <w:tc>
          <w:tcPr>
            <w:tcW w:type="dxa" w:w="3009"/>
          </w:tcPr>
          <w:p>
            <w:pPr>
              <w:keepNext/>
            </w:pPr>
            <w:r>
              <w:rPr>
                <w:sz w:val="16"/>
                <w:szCs w:val="16"/>
              </w:rPr>
              <w:t xml:space="preserve">Confirmed; motivates RL loop (RQ0 gate PASS 4/4)</w:t>
            </w:r>
          </w:p>
        </w:tc>
      </w:tr>
      <w:tr>
        <w:trPr>
          <w:cantSplit/>
        </w:trPr>
        <w:tc>
          <w:tcPr>
            <w:tcW w:type="dxa" w:w="3009"/>
          </w:tcPr>
          <w:p>
            <w:pPr>
              <w:keepNext/>
            </w:pPr>
            <w:r>
              <w:rPr>
                <w:sz w:val="16"/>
                <w:szCs w:val="16"/>
              </w:rPr>
              <w:t xml:space="preserve">P2</w:t>
            </w:r>
          </w:p>
        </w:tc>
        <w:tc>
          <w:tcPr>
            <w:tcW w:type="dxa" w:w="3009"/>
          </w:tcPr>
          <w:p>
            <w:pPr>
              <w:keepNext/>
            </w:pPr>
            <w:r>
              <w:rPr>
                <w:sz w:val="16"/>
                <w:szCs w:val="16"/>
              </w:rPr>
              <w:t xml:space="preserve">Rule heuristics break silently</w:t>
            </w:r>
          </w:p>
        </w:tc>
        <w:tc>
          <w:tcPr>
            <w:tcW w:type="dxa" w:w="3009"/>
          </w:tcPr>
          <w:p>
            <w:pPr>
              <w:keepNext/>
            </w:pPr>
            <w:r>
              <w:rPr>
                <w:sz w:val="16"/>
                <w:szCs w:val="16"/>
              </w:rPr>
              <w:t xml:space="preserve">Observed: B3 ≡ B1 byte-identical at studied volumes (analytic; confirmed 7/7 executed validation cells, X1)</w:t>
            </w:r>
          </w:p>
        </w:tc>
      </w:tr>
      <w:tr>
        <w:trPr>
          <w:cantSplit/>
        </w:trPr>
        <w:tc>
          <w:tcPr>
            <w:tcW w:type="dxa" w:w="3009"/>
          </w:tcPr>
          <w:p>
            <w:pPr>
              <w:keepNext/>
            </w:pPr>
            <w:r>
              <w:rPr>
                <w:sz w:val="16"/>
                <w:szCs w:val="16"/>
              </w:rPr>
              <w:t xml:space="preserve">P3</w:t>
            </w:r>
          </w:p>
        </w:tc>
        <w:tc>
          <w:tcPr>
            <w:tcW w:type="dxa" w:w="3009"/>
          </w:tcPr>
          <w:p>
            <w:pPr>
              <w:keepNext/>
            </w:pPr>
            <w:r>
              <w:rPr>
                <w:sz w:val="16"/>
                <w:szCs w:val="16"/>
              </w:rPr>
              <w:t xml:space="preserve">Learned policies must beat strong baselines</w:t>
            </w:r>
          </w:p>
        </w:tc>
        <w:tc>
          <w:tcPr>
            <w:tcW w:type="dxa" w:w="3009"/>
          </w:tcPr>
          <w:p>
            <w:pPr>
              <w:keepNext/>
            </w:pPr>
            <w:r>
              <w:rPr>
                <w:sz w:val="16"/>
                <w:szCs w:val="16"/>
              </w:rPr>
              <w:t xml:space="preserve">Decided (EXP-013): 4.0× faster than defaults (H2 accepted); 1.22× slower than static tuning, 1.21× than random search (H3 rejected)</w:t>
            </w:r>
          </w:p>
        </w:tc>
      </w:tr>
      <w:tr>
        <w:trPr>
          <w:cantSplit/>
        </w:trPr>
        <w:tc>
          <w:tcPr>
            <w:tcW w:type="dxa" w:w="3009"/>
          </w:tcPr>
          <w:p>
            <w:pPr>
              <w:keepNext/>
            </w:pPr>
            <w:r>
              <w:rPr>
                <w:sz w:val="16"/>
                <w:szCs w:val="16"/>
              </w:rPr>
              <w:t xml:space="preserve">P4</w:t>
            </w:r>
          </w:p>
        </w:tc>
        <w:tc>
          <w:tcPr>
            <w:tcW w:type="dxa" w:w="3009"/>
          </w:tcPr>
          <w:p>
            <w:pPr>
              <w:keepNext/>
            </w:pPr>
            <w:r>
              <w:rPr>
                <w:sz w:val="16"/>
                <w:szCs w:val="16"/>
              </w:rPr>
              <w:t xml:space="preserve">Policies must generalize (scale, skew, new data)</w:t>
            </w:r>
          </w:p>
        </w:tc>
        <w:tc>
          <w:tcPr>
            <w:tcW w:type="dxa" w:w="3009"/>
          </w:tcPr>
          <w:p>
            <w:pPr>
              <w:keepNext/>
            </w:pPr>
            <w:r>
              <w:rPr>
                <w:sz w:val="16"/>
                <w:szCs w:val="16"/>
              </w:rPr>
              <w:t xml:space="preserve">Partial: unseen-cell failures high; SC5 not evaluable</w:t>
            </w:r>
          </w:p>
        </w:tc>
      </w:tr>
      <w:tr>
        <w:trPr>
          <w:cantSplit/>
        </w:trPr>
        <w:tc>
          <w:tcPr>
            <w:tcW w:type="dxa" w:w="3009"/>
          </w:tcPr>
          <w:p>
            <w:pPr>
              <w:keepNext/>
            </w:pPr>
            <w:r>
              <w:rPr>
                <w:sz w:val="16"/>
                <w:szCs w:val="16"/>
              </w:rPr>
              <w:t xml:space="preserve">P5</w:t>
            </w:r>
          </w:p>
        </w:tc>
        <w:tc>
          <w:tcPr>
            <w:tcW w:type="dxa" w:w="3009"/>
          </w:tcPr>
          <w:p>
            <w:pPr>
              <w:keepNext/>
            </w:pPr>
            <w:r>
              <w:rPr>
                <w:sz w:val="16"/>
                <w:szCs w:val="16"/>
              </w:rPr>
              <w:t xml:space="preserve">Learning must fit a practical budget</w:t>
            </w:r>
          </w:p>
        </w:tc>
        <w:tc>
          <w:tcPr>
            <w:tcW w:type="dxa" w:w="3009"/>
          </w:tcPr>
          <w:p>
            <w:pPr>
              <w:keepNext/>
            </w:pPr>
            <w:r>
              <w:rPr>
                <w:sz w:val="16"/>
                <w:szCs w:val="16"/>
              </w:rPr>
              <w:t xml:space="preserve">Met: 483/500 executions; 0 failed submitted configs</w:t>
            </w:r>
          </w:p>
        </w:tc>
      </w:tr>
      <w:tr>
        <w:trPr>
          <w:cantSplit/>
        </w:trPr>
        <w:tc>
          <w:tcPr>
            <w:tcW w:type="dxa" w:w="3009"/>
          </w:tcPr>
          <w:p>
            <w:pPr>
              <w:keepNext/>
            </w:pPr>
            <w:r>
              <w:rPr>
                <w:sz w:val="16"/>
                <w:szCs w:val="16"/>
              </w:rPr>
              <w:t xml:space="preserve">P6</w:t>
            </w:r>
          </w:p>
        </w:tc>
        <w:tc>
          <w:tcPr>
            <w:tcW w:type="dxa" w:w="3009"/>
          </w:tcPr>
          <w:p>
            <w:pPr>
              <w:keepNext/>
            </w:pPr>
            <w:r>
              <w:rPr>
                <w:sz w:val="16"/>
                <w:szCs w:val="16"/>
              </w:rPr>
              <w:t xml:space="preserve">Monitoring must be cheap enough to leave on</w:t>
            </w:r>
          </w:p>
        </w:tc>
        <w:tc>
          <w:tcPr>
            <w:tcW w:type="dxa" w:w="3009"/>
          </w:tcPr>
          <w:p>
            <w:pPr>
              <w:keepNext/>
            </w:pPr>
            <w:r>
              <w:rPr>
                <w:sz w:val="16"/>
                <w:szCs w:val="16"/>
              </w:rPr>
              <w:t xml:space="preserve">Sampler met on 6/7 cells twice (EXP-009, EXP-014 paired); event log 3/7 PASS, 0 FAIL</w:t>
            </w:r>
          </w:p>
        </w:tc>
      </w:tr>
      <w:tr>
        <w:trPr>
          <w:cantSplit/>
        </w:trPr>
        <w:tc>
          <w:tcPr>
            <w:tcW w:type="dxa" w:w="3009"/>
          </w:tcPr>
          <w:p>
            <w:pPr>
              <w:keepNext/>
            </w:pPr>
            <w:r>
              <w:rPr>
                <w:sz w:val="16"/>
                <w:szCs w:val="16"/>
              </w:rPr>
              <w:t xml:space="preserve">P7</w:t>
            </w:r>
          </w:p>
        </w:tc>
        <w:tc>
          <w:tcPr>
            <w:tcW w:type="dxa" w:w="3009"/>
          </w:tcPr>
          <w:p>
            <w:pPr>
              <w:keepNext/>
            </w:pPr>
            <w:r>
              <w:rPr>
                <w:sz w:val="16"/>
                <w:szCs w:val="16"/>
              </w:rPr>
              <w:t xml:space="preserve">Repetition statistics must handle dependence</w:t>
            </w:r>
          </w:p>
        </w:tc>
        <w:tc>
          <w:tcPr>
            <w:tcW w:type="dxa" w:w="3009"/>
          </w:tcPr>
          <w:p>
            <w:pPr>
              <w:keepNext/>
            </w:pPr>
            <w:r>
              <w:rPr>
                <w:sz w:val="16"/>
                <w:szCs w:val="16"/>
              </w:rPr>
              <w:t xml:space="preserve">Failed honestly: √n model falsified 7/7; block-CI widens 2 verdicts</w:t>
            </w:r>
          </w:p>
        </w:tc>
      </w:tr>
      <w:tr>
        <w:trPr>
          <w:cantSplit/>
        </w:trPr>
        <w:tc>
          <w:tcPr>
            <w:tcW w:type="dxa" w:w="3009"/>
          </w:tcPr>
          <w:p>
            <w:r>
              <w:rPr>
                <w:sz w:val="16"/>
                <w:szCs w:val="16"/>
              </w:rPr>
              <w:t xml:space="preserve">P8</w:t>
            </w:r>
          </w:p>
        </w:tc>
        <w:tc>
          <w:tcPr>
            <w:tcW w:type="dxa" w:w="3009"/>
          </w:tcPr>
          <w:p>
            <w:r>
              <w:rPr>
                <w:sz w:val="16"/>
                <w:szCs w:val="16"/>
              </w:rPr>
              <w:t xml:space="preserve">Interaction with built-in AQE</w:t>
            </w:r>
          </w:p>
        </w:tc>
        <w:tc>
          <w:tcPr>
            <w:tcW w:type="dxa" w:w="3009"/>
          </w:tcPr>
          <w:p>
            <w:r>
              <w:rPr>
                <w:sz w:val="16"/>
                <w:szCs w:val="16"/>
              </w:rPr>
              <w:t xml:space="preserve">Interleaved re-test (EXP-013): AQE-on faster on 0/6 cells, X6's one-cell lead not replicated; pooled interaction unevaluated</w:t>
            </w:r>
          </w:p>
        </w:tc>
      </w:tr>
    </w:tbl>
    <w:p/>
    <w:p>
      <w:pPr>
        <w:keepNext/>
        <w:jc w:val="center"/>
      </w:pPr>
      <w:r>
        <w:drawing>
          <wp:inline xmlns:a="http://schemas.openxmlformats.org/drawingml/2006/main" xmlns:pic="http://schemas.openxmlformats.org/drawingml/2006/picture">
            <wp:extent cx="5669280" cy="2008613"/>
            <wp:docPr id="11273" name="Picture 11273"/>
            <wp:cNvGraphicFramePr>
              <a:graphicFrameLocks noChangeAspect="1"/>
            </wp:cNvGraphicFramePr>
            <a:graphic>
              <a:graphicData uri="http://schemas.openxmlformats.org/drawingml/2006/picture">
                <pic:pic>
                  <pic:nvPicPr>
                    <pic:cNvPr id="0" name="Fig 03 Big Data Programming Challenges Landscape.png"/>
                    <pic:cNvPicPr/>
                  </pic:nvPicPr>
                  <pic:blipFill>
                    <a:blip r:embed="rId35"/>
                    <a:stretch>
                      <a:fillRect/>
                    </a:stretch>
                  </pic:blipFill>
                  <pic:spPr>
                    <a:xfrm>
                      <a:off x="0" y="0"/>
                      <a:ext cx="5669280" cy="2008613"/>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08" w:name="_AdaFig3"/>
      <w:r>
        <w:rPr>
          <w:rFonts w:ascii="Helvetica Neue" w:eastAsia="Helvetica Neue" w:hAnsi="Helvetica Neue" w:cs="Helvetica Neue"/>
          <w:b/>
          <w:bCs/>
          <w:color w:val="00629B"/>
          <w:sz w:val="14"/>
          <w:szCs w:val="14"/>
        </w:rPr>
        <w:t xml:space="preserve">FIGURE 3. </w:t>
      </w:r>
      <w:r>
        <w:rPr>
          <w:rFonts w:ascii="Helvetica Neue" w:eastAsia="Helvetica Neue" w:hAnsi="Helvetica Neue" w:cs="Helvetica Neue"/>
          <w:b/>
          <w:bCs/>
          <w:sz w:val="14"/>
          <w:szCs w:val="14"/>
        </w:rPr>
        <w:t xml:space="preserve">Big Data Programming Challenges Landscape</w:t>
      </w:r>
      <w:bookmarkEnd w:id="108"/>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09" w:name="_AdaSec3"/>
      <w:r>
        <w:rPr>
          <w:rFonts w:ascii="Helvetica Neue" w:eastAsia="Helvetica Neue" w:hAnsi="Helvetica Neue" w:cs="Helvetica Neue"/>
          <w:b/>
          <w:bCs/>
          <w:color w:val="00629B"/>
          <w:sz w:val="18"/>
          <w:szCs w:val="18"/>
        </w:rPr>
        <w:t xml:space="preserve">III. BACKGROUND AND LITERATURE REVIEW</w:t>
      </w:r>
      <w:bookmarkEnd w:id="109"/>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A. APACHE SPARK AND ITS OPTIMIZATION SURFACE</w:t>
      </w:r>
    </w:p>
    <w:p w:rsidR="00A7482C" w:rsidRDefault="00A7482C" w:rsidP="00A7482C">
      <w:pPr>
        <w:pBdr>
          <w:top w:val="nil"/>
          <w:left w:val="nil"/>
          <w:bottom w:val="nil"/>
          <w:right w:val="nil"/>
          <w:between w:val="nil"/>
        </w:pBdr>
        <w:jc w:val="both"/>
        <w:rPr>
          <w:sz w:val="20"/>
          <w:szCs w:val="20"/>
        </w:rPr>
      </w:pPr>
      <w:r>
        <w:rPr>
          <w:sz w:val="20"/>
          <w:szCs w:val="20"/>
        </w:rPr>
        <w:t xml:space="preserve">Modern analytics descends from MapReduce, which made batch processing fault-tolerant but forced every job through disk [35][36]. Resilient Distributed Datasets removed that bottleneck with in-memory lineage-based recovery, establishing Spark as the unified engine for batch, SQL, streaming, and machine learning workloads [1]. Spark SQL then added declarative optimization through the Catalyst optimizer [2], and lakehouse storage (Delta Lake) brought transactions to cloud object stores [33]. Each layer reduced hand-tuning — except execution configuration, which remains an exposed, high-dimensional surface of roughly two hundred parameters.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Static tuners attack this surface offline. Starfish pioneered self-tuning for MapReduce-era stacks by profiling jobs and searching configuration spaces automatically [6]. OtterTune transferred the idea to databases with Gaussian-process models over prior tuning sessions [7], and CDBTune/QTune brought deep-RL-flavoured tuning to database knobs [8][31]. For scheduling rather than configuration, Decima learns cluster scheduling policies with graph neural networks and RL [9]. Spark itself ships Adaptive Query Execution, which adjusts partitions and join strategies at runtime from observed statistics [34]. The residual gap AdaSpark targets is narrow: per-job execution-configuration selection (shuffle partitions × parallelism) by a sample-efficient online learner, complementing rather than replacing AQE.</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B. REINFORCEMENT LEARNING FOR SYSTEMS DECISIONS</w:t>
      </w:r>
    </w:p>
    <w:p w:rsidR="00A7482C" w:rsidRDefault="00A7482C" w:rsidP="00A7482C">
      <w:pPr>
        <w:pBdr>
          <w:top w:val="nil"/>
          <w:left w:val="nil"/>
          <w:bottom w:val="nil"/>
          <w:right w:val="nil"/>
          <w:between w:val="nil"/>
        </w:pBdr>
        <w:jc w:val="both"/>
        <w:rPr>
          <w:sz w:val="20"/>
          <w:szCs w:val="20"/>
        </w:rPr>
      </w:pPr>
      <w:r>
        <w:rPr>
          <w:sz w:val="20"/>
          <w:szCs w:val="20"/>
        </w:rPr>
        <w:t xml:space="preserve">Reinforcement learning formalizes sequential decision-making as states, actions, and rewards optimized by a policy [3]. Tabular Q-learning converges under standard conditions for small discrete spaces [4], which matches a 12-action configuration grid exactly. Deep variants (DQN [38], policy gradients such as PPO [39], actor-critic methods such as DDPG [37]) handle large continuous spaces but demand thousands of training episodes and substantial compute — precisely the cost profile a practical tuning loop cannot afford. AdaSpark therefore uses ε-greedy tabular Q-learning in bandit mode (γ = 0, i.e. a contextual bandit; multi-step learning was gated off), deliberately trading representational power for sample efficiency inside a 500-execution budget. The autonomic-computing vision of self-managing systems [5] and its MAPE-K control pattern [32] provide the architectural frame: monitor, analyze, plan, and execute around a shared knowledge base.</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C. RIGOROUS PERFORMANCE MEASUREMENT</w:t>
      </w:r>
    </w:p>
    <w:p w:rsidR="00A7482C" w:rsidRDefault="00A7482C" w:rsidP="00A7482C">
      <w:pPr>
        <w:pBdr>
          <w:top w:val="nil"/>
          <w:left w:val="nil"/>
          <w:bottom w:val="nil"/>
          <w:right w:val="nil"/>
          <w:between w:val="nil"/>
        </w:pBdr>
        <w:jc w:val="both"/>
        <w:rPr>
          <w:sz w:val="20"/>
          <w:szCs w:val="20"/>
        </w:rPr>
      </w:pPr>
      <w:r>
        <w:rPr>
          <w:sz w:val="20"/>
          <w:szCs w:val="20"/>
        </w:rPr>
        <w:t xml:space="preserve">A tuning claim is only as credible as its measurement. Georges et al. established statistically rigorous Java performance evaluation with confidence intervals over repetitions [11]; Kalibera and Jones gave the definitive methodology for choosing repetition counts under independence assumptions [12]. The independence assumption is exactly what breaks in practice: Mytkowicz et al. showed how easily measurement bias produces wrong data without any obvious error [14], and profiler studies show how inaccuracy compounds it [15][26]. Cloud and shared-host variability further widen the problem (predictability studies [20], microbenchmarking in the cloud [19], repeatability methods [17], duet benchmarking [18], reproducibility principles [24]), with big-data-specific evidence from networked-system studies [21][22] and analytics-framework analyses [23]. Warmup non-stationarity [13][25] and noisy-environment benchmarking practice [16] complete the picture: repetitions of the same job are serially dependent, regime-structured episodes — which is precisely what AdaSpark's own 4,842-run study measures (lag-1 autocorrelation +0.58…+0.89 across 21 series; contention episodes to 75% dispersion).</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D. MONITORING-OVERHEAD EVIDENCE</w:t>
      </w:r>
    </w:p>
    <w:p w:rsidR="00A7482C" w:rsidRDefault="00A7482C" w:rsidP="00A7482C">
      <w:pPr>
        <w:pBdr>
          <w:top w:val="nil"/>
          <w:left w:val="nil"/>
          <w:bottom w:val="nil"/>
          <w:right w:val="nil"/>
          <w:between w:val="nil"/>
        </w:pBdr>
        <w:jc w:val="both"/>
        <w:rPr>
          <w:sz w:val="20"/>
          <w:szCs w:val="20"/>
        </w:rPr>
      </w:pPr>
      <w:r>
        <w:rPr>
          <w:sz w:val="20"/>
          <w:szCs w:val="20"/>
        </w:rPr>
        <w:t xml:space="preserve">Continuous monitoring is the sensor of any MAPE-K loop, so its cost must be quantified rather than assumed. Kieker provides the canonical application-monitoring framework reference [27]; recent ICPE work attacks minimal-overhead monitoring directly [28] and compares instrumentation-framework overheads head-to-head [29]; Google-wide continuous profiling demonstrates production feasibility at data-center scale [30]. Spark's own monitoring surface (metrics system, event logs, listener bus) is documented by the project [10]. Against this background, no peer-reviewed controlled study was found measuring sampling-based system monitoring plus event logging in Spark against a stated budget with interval adjudication — the specific measurement this project contributes. The search covered the venues above over 2020–2025; the claim is scoped to that search and stated so it can be checked.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benchmarking-threats literature, finally, reads as a checklist this project was graded against: run-to-run variability and warmup [11][13][19][25], profiler and measurement bias [14][15][26], cloud variability and reproducibility [17][18][20][21][22][24], and analytics performance [23]. Each threat maps to a concrete control in Sections VI–XII (seeded determinism, per-record validity, sealed evaluation, frozen analysis code), so related work functions here as the audit standard the project holds itself to — the same standard that produced the negative findings reported in Section XV.</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E. CONFIGURATION AUTO-TUNING AND LEARNED OPTIMIZERS</w:t>
      </w:r>
    </w:p>
    <w:p w:rsidR="00A7482C" w:rsidRDefault="00A7482C" w:rsidP="00A7482C">
      <w:pPr>
        <w:pBdr>
          <w:top w:val="nil"/>
          <w:left w:val="nil"/>
          <w:bottom w:val="nil"/>
          <w:right w:val="nil"/>
          <w:between w:val="nil"/>
        </w:pBdr>
        <w:jc w:val="both"/>
        <w:rPr>
          <w:sz w:val="20"/>
          <w:szCs w:val="20"/>
        </w:rPr>
      </w:pPr>
      <w:r>
        <w:rPr>
          <w:sz w:val="20"/>
          <w:szCs w:val="20"/>
        </w:rPr>
        <w:t xml:space="preserve">Configuration tuning for Spark-class engines is now a research area of its own. Spark SQL execution time varies significantly with configuration, which motivates accelerated configuration search for SQL applications [50]. Generative adversarial models have been used to explore the high-dimensional, interacting parameter spaces of Spark and Storm [51], and auto-tuning frameworks for parallel programs handle interdependent tuning parameters explicitly [52]. For recurring jobs, CausalConf makes tuning aware of input data size [53], while DeepCAT+ reports that online deep-RL tuning beats search- and model-based tuners but carries a heavy online tuning cost, which it reduces with prioritized replay and transfer [54]. Neighbouring work optimizes other levers of the same engine: executor allocation for data locality [55], intermediate-data partitioning against skew [45], RL-based straggler identification on heterogeneous Spark clusters [56], and learned plan selection for Spark SQL [57].</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Database tuning travelled the same road earlier and supplies the clearest cautions. A survey of automatic knob tuning catalogues hundreds of knobs, few of which matter for a given workload, under expensive evaluation [58], and DOT responds with dynamic knob selection and online sampling [59]. Holon tunes knobs, hints and indexes jointly instead of one configuration space at a time [60]. Learned optimizers produce strong average plans [61] yet regress unpredictably on some queries [62], do not always behave as their designers expect [63], and need workload models that track shifting distributions [47]. Most pertinently, ML tuners had been evaluated on synthetic workloads with limited tuning opportunities, and only a dedicated study on an enterprise Oracle deployment with a real workload trace established a 45% improvement over enterprise-grade configurations in production [64]. That is the same move this report makes in Section XV: an earlier descriptive result is re-tested under stricter, pre-registered conditions before it is believed.</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F. REINFORCEMENT LEARNING FOR SCHEDULING, RESOURCE ALLOCATION AND AUTOSCALING</w:t>
      </w:r>
    </w:p>
    <w:p w:rsidR="00A7482C" w:rsidRDefault="00A7482C" w:rsidP="00A7482C">
      <w:pPr>
        <w:pBdr>
          <w:top w:val="nil"/>
          <w:left w:val="nil"/>
          <w:bottom w:val="nil"/>
          <w:right w:val="nil"/>
          <w:between w:val="nil"/>
        </w:pBdr>
        <w:jc w:val="both"/>
        <w:rPr>
          <w:sz w:val="20"/>
          <w:szCs w:val="20"/>
        </w:rPr>
      </w:pPr>
      <w:r>
        <w:rPr>
          <w:sz w:val="20"/>
          <w:szCs w:val="20"/>
        </w:rPr>
        <w:t xml:space="preserve">RL is now a standard tool for resource decisions. Graph-based deep RL schedules tasks on heterogeneous cloud resources [65], DeepHCM extends RL job scheduling to heterogeneous, load-aware clusters and reduces slowdown under heavy load [66], and representation learning combined with RL schedules edge tasks for energy [67]. Cloud–fog task schedulers [68], workflow schedulers that duplicate tasks to cut completion time and cost for big-data pipelines [69], and throughput-maximizing operator placement for Storm [70] show the breadth of the problem. RL also allocates memory on industrial edge controllers [71] and cache space among tenants with an online model-based learner [72], and ReinFog packages DRL resource management as a modular edge–cloud framework [73]. One strand bears directly on AdaSpark's budget constraint: offline RL learns dispatching rules from historical data precisely because online RL is sample-inefficient and needs simulators that are impractical to build [74], while hierarchical multi-policy DRL coordinates multi-objective manufacturing schedules [75].</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Autoscaling is the closest operational relative of configuration tuning. RL-based autoscalers learn multi-metric thresholds for microservices [76], recurrent RL scales serverless functions under fluctuating load [77], and ASTRA transfers simulator-trained autoscaling policies to real systems adversarially [78]. Non-RL designs remain strong: QoS-driven microservice autoscaling [79], supervised predictive scaling that accounts for VM performance that varies over time [80], multi-loop controllers [81], adaptive provisioning across pricing models [82], and decentralized, quasi-continuous scaling that outperforms centralized interval-based autoscalers [83]. The lesson for AdaSpark is that learned controllers must beat strong static and rule-based comparators, not defaults alone.</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G. SELF-ADAPTIVE SYSTEMS, DATAOPS AND MLOPS</w:t>
      </w:r>
    </w:p>
    <w:p w:rsidR="00A7482C" w:rsidRDefault="00A7482C" w:rsidP="00A7482C">
      <w:pPr>
        <w:pBdr>
          <w:top w:val="nil"/>
          <w:left w:val="nil"/>
          <w:bottom w:val="nil"/>
          <w:right w:val="nil"/>
          <w:between w:val="nil"/>
        </w:pBdr>
        <w:jc w:val="both"/>
        <w:rPr>
          <w:sz w:val="20"/>
          <w:szCs w:val="20"/>
        </w:rPr>
      </w:pPr>
      <w:r>
        <w:rPr>
          <w:sz w:val="20"/>
          <w:szCs w:val="20"/>
        </w:rPr>
        <w:t xml:space="preserve">The self-adaptive-systems community has systematically studied where machine learning fits in the feedback loop [84][85]. It uses learning to reduce large adaptation spaces before analysis [86] and couples ML components with probabilistic model checking so adaptation tactics such as retraining are chosen deliberately [87]. Hyperparameter-optimization research contributes multi-objective search methods [88] and Bayesian optimization for configuration selection [89]. Operational practice frames how such loops are run: MLOps defines the roles, components and workflows for taking ML into production [48], DataOps reviews identify integration, delivery and governance obstacles in large enterprises [49], data-quality discovery tools support non-expert data workers [90], and ML lineage connects model development and operations into an auditable record [91]. AdaSpark's manifests, sealed splits and decision log are a small-scale instance of exactly this operational discipline.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Fig. 4 organizes this literature into a taxonomy, and Table 3 compares representative approaches on the dimensions that matter for AdaSpark's goal: online adaptation, sample cost and configuration scope.</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10" w:name="_AdaTab3"/>
      <w:r>
        <w:rPr>
          <w:smallCaps/>
          <w:sz w:val="16"/>
          <w:szCs w:val="16"/>
        </w:rPr>
        <w:t xml:space="preserve">TABLE 3</w:t>
      </w:r>
      <w:bookmarkEnd w:id="110"/>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Comparative Review of Existing Optimization Approaches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1504"/>
          </w:tcPr>
          <w:p>
            <w:pPr>
              <w:keepNext/>
            </w:pPr>
            <w:r>
              <w:rPr>
                <w:b/>
                <w:sz w:val="16"/>
                <w:szCs w:val="16"/>
              </w:rPr>
              <w:t xml:space="preserve">Approach</w:t>
            </w:r>
          </w:p>
        </w:tc>
        <w:tc>
          <w:tcPr>
            <w:tcW w:type="dxa" w:w="1504"/>
          </w:tcPr>
          <w:p>
            <w:pPr>
              <w:keepNext/>
            </w:pPr>
            <w:r>
              <w:rPr>
                <w:b/>
                <w:sz w:val="16"/>
                <w:szCs w:val="16"/>
              </w:rPr>
              <w:t xml:space="preserve">Representative</w:t>
            </w:r>
          </w:p>
        </w:tc>
        <w:tc>
          <w:tcPr>
            <w:tcW w:type="dxa" w:w="1504"/>
          </w:tcPr>
          <w:p>
            <w:pPr>
              <w:keepNext/>
            </w:pPr>
            <w:r>
              <w:rPr>
                <w:b/>
                <w:sz w:val="16"/>
                <w:szCs w:val="16"/>
              </w:rPr>
              <w:t xml:space="preserve">Adapts online?</w:t>
            </w:r>
          </w:p>
        </w:tc>
        <w:tc>
          <w:tcPr>
            <w:tcW w:type="dxa" w:w="1504"/>
          </w:tcPr>
          <w:p>
            <w:pPr>
              <w:keepNext/>
            </w:pPr>
            <w:r>
              <w:rPr>
                <w:b/>
                <w:sz w:val="16"/>
                <w:szCs w:val="16"/>
              </w:rPr>
              <w:t xml:space="preserve">Sample cost</w:t>
            </w:r>
          </w:p>
        </w:tc>
        <w:tc>
          <w:tcPr>
            <w:tcW w:type="dxa" w:w="1504"/>
          </w:tcPr>
          <w:p>
            <w:pPr>
              <w:keepNext/>
            </w:pPr>
            <w:r>
              <w:rPr>
                <w:b/>
                <w:sz w:val="16"/>
                <w:szCs w:val="16"/>
              </w:rPr>
              <w:t xml:space="preserve">Spark-config scope</w:t>
            </w:r>
          </w:p>
        </w:tc>
        <w:tc>
          <w:tcPr>
            <w:tcW w:type="dxa" w:w="1504"/>
          </w:tcPr>
          <w:p>
            <w:pPr>
              <w:keepNext/>
            </w:pPr>
            <w:r>
              <w:rPr>
                <w:b/>
                <w:sz w:val="16"/>
                <w:szCs w:val="16"/>
              </w:rPr>
              <w:t xml:space="preserve">Limitation vs AdaSpark goal</w:t>
            </w:r>
          </w:p>
        </w:tc>
      </w:tr>
      <w:tr>
        <w:trPr>
          <w:cantSplit/>
        </w:trPr>
        <w:tc>
          <w:tcPr>
            <w:tcW w:type="dxa" w:w="1504"/>
          </w:tcPr>
          <w:p>
            <w:pPr>
              <w:keepNext/>
            </w:pPr>
            <w:r>
              <w:rPr>
                <w:sz w:val="16"/>
                <w:szCs w:val="16"/>
              </w:rPr>
              <w:t xml:space="preserve">Static profiling tuner</w:t>
            </w:r>
          </w:p>
        </w:tc>
        <w:tc>
          <w:tcPr>
            <w:tcW w:type="dxa" w:w="1504"/>
          </w:tcPr>
          <w:p>
            <w:pPr>
              <w:keepNext/>
            </w:pPr>
            <w:r>
              <w:rPr>
                <w:sz w:val="16"/>
                <w:szCs w:val="16"/>
              </w:rPr>
              <w:t xml:space="preserve">Starfish [6]</w:t>
            </w:r>
          </w:p>
        </w:tc>
        <w:tc>
          <w:tcPr>
            <w:tcW w:type="dxa" w:w="1504"/>
          </w:tcPr>
          <w:p>
            <w:pPr>
              <w:keepNext/>
            </w:pPr>
            <w:r>
              <w:rPr>
                <w:sz w:val="16"/>
                <w:szCs w:val="16"/>
              </w:rPr>
              <w:t xml:space="preserve">No</w:t>
            </w:r>
          </w:p>
        </w:tc>
        <w:tc>
          <w:tcPr>
            <w:tcW w:type="dxa" w:w="1504"/>
          </w:tcPr>
          <w:p>
            <w:pPr>
              <w:keepNext/>
            </w:pPr>
            <w:r>
              <w:rPr>
                <w:sz w:val="16"/>
                <w:szCs w:val="16"/>
              </w:rPr>
              <w:t xml:space="preserve">Medium</w:t>
            </w:r>
          </w:p>
        </w:tc>
        <w:tc>
          <w:tcPr>
            <w:tcW w:type="dxa" w:w="1504"/>
          </w:tcPr>
          <w:p>
            <w:pPr>
              <w:keepNext/>
            </w:pPr>
            <w:r>
              <w:rPr>
                <w:sz w:val="16"/>
                <w:szCs w:val="16"/>
              </w:rPr>
              <w:t xml:space="preserve">MapReduce-era</w:t>
            </w:r>
          </w:p>
        </w:tc>
        <w:tc>
          <w:tcPr>
            <w:tcW w:type="dxa" w:w="1504"/>
          </w:tcPr>
          <w:p>
            <w:pPr>
              <w:keepNext/>
            </w:pPr>
            <w:r>
              <w:rPr>
                <w:sz w:val="16"/>
                <w:szCs w:val="16"/>
              </w:rPr>
              <w:t xml:space="preserve">One static config; no drift response</w:t>
            </w:r>
          </w:p>
        </w:tc>
      </w:tr>
      <w:tr>
        <w:trPr>
          <w:cantSplit/>
        </w:trPr>
        <w:tc>
          <w:tcPr>
            <w:tcW w:type="dxa" w:w="1504"/>
          </w:tcPr>
          <w:p>
            <w:r>
              <w:rPr>
                <w:sz w:val="16"/>
                <w:szCs w:val="16"/>
              </w:rPr>
              <w:t xml:space="preserve">GP-based DB tuner</w:t>
            </w:r>
          </w:p>
        </w:tc>
        <w:tc>
          <w:tcPr>
            <w:tcW w:type="dxa" w:w="1504"/>
          </w:tcPr>
          <w:p>
            <w:r>
              <w:rPr>
                <w:sz w:val="16"/>
                <w:szCs w:val="16"/>
              </w:rPr>
              <w:t xml:space="preserve">OtterTune [7]</w:t>
            </w:r>
          </w:p>
        </w:tc>
        <w:tc>
          <w:tcPr>
            <w:tcW w:type="dxa" w:w="1504"/>
          </w:tcPr>
          <w:p>
            <w:r>
              <w:rPr>
                <w:sz w:val="16"/>
                <w:szCs w:val="16"/>
              </w:rPr>
              <w:t xml:space="preserve">No</w:t>
            </w:r>
          </w:p>
        </w:tc>
        <w:tc>
          <w:tcPr>
            <w:tcW w:type="dxa" w:w="1504"/>
          </w:tcPr>
          <w:p>
            <w:r>
              <w:rPr>
                <w:sz w:val="16"/>
                <w:szCs w:val="16"/>
              </w:rPr>
              <w:t xml:space="preserve">Medium</w:t>
            </w:r>
          </w:p>
        </w:tc>
        <w:tc>
          <w:tcPr>
            <w:tcW w:type="dxa" w:w="1504"/>
          </w:tcPr>
          <w:p>
            <w:r>
              <w:rPr>
                <w:sz w:val="16"/>
                <w:szCs w:val="16"/>
              </w:rPr>
              <w:t xml:space="preserve">N/A (DB knobs)</w:t>
            </w:r>
          </w:p>
        </w:tc>
        <w:tc>
          <w:tcPr>
            <w:tcW w:type="dxa" w:w="1504"/>
          </w:tcPr>
          <w:p>
            <w:r>
              <w:rPr>
                <w:sz w:val="16"/>
                <w:szCs w:val="16"/>
              </w:rPr>
              <w:t xml:space="preserve">Offline; not Spark; not online</w:t>
            </w:r>
          </w:p>
        </w:tc>
      </w:tr>
      <w:tr>
        <w:trPr>
          <w:cantSplit/>
        </w:trPr>
        <w:tc>
          <w:tcPr>
            <w:tcW w:type="dxa" w:w="1504"/>
          </w:tcPr>
          <w:p>
            <w:r>
              <w:rPr>
                <w:sz w:val="16"/>
                <w:szCs w:val="16"/>
              </w:rPr>
              <w:t xml:space="preserve">Deep-RL DB tuner</w:t>
            </w:r>
          </w:p>
        </w:tc>
        <w:tc>
          <w:tcPr>
            <w:tcW w:type="dxa" w:w="1504"/>
          </w:tcPr>
          <w:p>
            <w:r>
              <w:rPr>
                <w:sz w:val="16"/>
                <w:szCs w:val="16"/>
              </w:rPr>
              <w:t xml:space="preserve">CDBTune/QTune [8][31]</w:t>
            </w:r>
          </w:p>
        </w:tc>
        <w:tc>
          <w:tcPr>
            <w:tcW w:type="dxa" w:w="1504"/>
          </w:tcPr>
          <w:p>
            <w:r>
              <w:rPr>
                <w:sz w:val="16"/>
                <w:szCs w:val="16"/>
              </w:rPr>
              <w:t xml:space="preserve">Partial</w:t>
            </w:r>
          </w:p>
        </w:tc>
        <w:tc>
          <w:tcPr>
            <w:tcW w:type="dxa" w:w="1504"/>
          </w:tcPr>
          <w:p>
            <w:r>
              <w:rPr>
                <w:sz w:val="16"/>
                <w:szCs w:val="16"/>
              </w:rPr>
              <w:t xml:space="preserve">High (1000s runs)</w:t>
            </w:r>
          </w:p>
        </w:tc>
        <w:tc>
          <w:tcPr>
            <w:tcW w:type="dxa" w:w="1504"/>
          </w:tcPr>
          <w:p>
            <w:r>
              <w:rPr>
                <w:sz w:val="16"/>
                <w:szCs w:val="16"/>
              </w:rPr>
              <w:t xml:space="preserve">N/A</w:t>
            </w:r>
          </w:p>
        </w:tc>
        <w:tc>
          <w:tcPr>
            <w:tcW w:type="dxa" w:w="1504"/>
          </w:tcPr>
          <w:p>
            <w:r>
              <w:rPr>
                <w:sz w:val="16"/>
                <w:szCs w:val="16"/>
              </w:rPr>
              <w:t xml:space="preserve">Budget-infeasible for per-team use</w:t>
            </w:r>
          </w:p>
        </w:tc>
      </w:tr>
      <w:tr>
        <w:trPr>
          <w:cantSplit/>
        </w:trPr>
        <w:tc>
          <w:tcPr>
            <w:tcW w:type="dxa" w:w="1504"/>
          </w:tcPr>
          <w:p>
            <w:r>
              <w:rPr>
                <w:sz w:val="16"/>
                <w:szCs w:val="16"/>
              </w:rPr>
              <w:t xml:space="preserve">Learned scheduler</w:t>
            </w:r>
          </w:p>
        </w:tc>
        <w:tc>
          <w:tcPr>
            <w:tcW w:type="dxa" w:w="1504"/>
          </w:tcPr>
          <w:p>
            <w:r>
              <w:rPr>
                <w:sz w:val="16"/>
                <w:szCs w:val="16"/>
              </w:rPr>
              <w:t xml:space="preserve">Decima [9]</w:t>
            </w:r>
          </w:p>
        </w:tc>
        <w:tc>
          <w:tcPr>
            <w:tcW w:type="dxa" w:w="1504"/>
          </w:tcPr>
          <w:p>
            <w:r>
              <w:rPr>
                <w:sz w:val="16"/>
                <w:szCs w:val="16"/>
              </w:rPr>
              <w:t xml:space="preserve">Yes</w:t>
            </w:r>
          </w:p>
        </w:tc>
        <w:tc>
          <w:tcPr>
            <w:tcW w:type="dxa" w:w="1504"/>
          </w:tcPr>
          <w:p>
            <w:r>
              <w:rPr>
                <w:sz w:val="16"/>
                <w:szCs w:val="16"/>
              </w:rPr>
              <w:t xml:space="preserve">High (cluster)</w:t>
            </w:r>
          </w:p>
        </w:tc>
        <w:tc>
          <w:tcPr>
            <w:tcW w:type="dxa" w:w="1504"/>
          </w:tcPr>
          <w:p>
            <w:r>
              <w:rPr>
                <w:sz w:val="16"/>
                <w:szCs w:val="16"/>
              </w:rPr>
              <w:t xml:space="preserve">Scheduling, not config</w:t>
            </w:r>
          </w:p>
        </w:tc>
        <w:tc>
          <w:tcPr>
            <w:tcW w:type="dxa" w:w="1504"/>
          </w:tcPr>
          <w:p>
            <w:r>
              <w:rPr>
                <w:sz w:val="16"/>
                <w:szCs w:val="16"/>
              </w:rPr>
              <w:t xml:space="preserve">Different decision; heavy training</w:t>
            </w:r>
          </w:p>
        </w:tc>
      </w:tr>
      <w:tr>
        <w:trPr>
          <w:cantSplit/>
        </w:trPr>
        <w:tc>
          <w:tcPr>
            <w:tcW w:type="dxa" w:w="1504"/>
          </w:tcPr>
          <w:p>
            <w:r>
              <w:rPr>
                <w:sz w:val="16"/>
                <w:szCs w:val="16"/>
              </w:rPr>
              <w:t xml:space="preserve">Big-data config auto-tuners</w:t>
            </w:r>
          </w:p>
        </w:tc>
        <w:tc>
          <w:tcPr>
            <w:tcW w:type="dxa" w:w="1504"/>
          </w:tcPr>
          <w:p>
            <w:r>
              <w:rPr>
                <w:sz w:val="16"/>
                <w:szCs w:val="16"/>
              </w:rPr>
              <w:t xml:space="preserve">CausalConf, DeepCAT+, QHB+ [53][54][50]</w:t>
            </w:r>
          </w:p>
        </w:tc>
        <w:tc>
          <w:tcPr>
            <w:tcW w:type="dxa" w:w="1504"/>
          </w:tcPr>
          <w:p>
            <w:r>
              <w:rPr>
                <w:sz w:val="16"/>
                <w:szCs w:val="16"/>
              </w:rPr>
              <w:t xml:space="preserve">Partial (DeepCAT+ online)</w:t>
            </w:r>
          </w:p>
        </w:tc>
        <w:tc>
          <w:tcPr>
            <w:tcW w:type="dxa" w:w="1504"/>
          </w:tcPr>
          <w:p>
            <w:r>
              <w:rPr>
                <w:sz w:val="16"/>
                <w:szCs w:val="16"/>
              </w:rPr>
              <w:t xml:space="preserve">Medium–high</w:t>
            </w:r>
          </w:p>
        </w:tc>
        <w:tc>
          <w:tcPr>
            <w:tcW w:type="dxa" w:w="1504"/>
          </w:tcPr>
          <w:p>
            <w:r>
              <w:rPr>
                <w:sz w:val="16"/>
                <w:szCs w:val="16"/>
              </w:rPr>
              <w:t xml:space="preserve">Spark/Flink parameters</w:t>
            </w:r>
          </w:p>
        </w:tc>
        <w:tc>
          <w:tcPr>
            <w:tcW w:type="dxa" w:w="1504"/>
          </w:tcPr>
          <w:p>
            <w:r>
              <w:rPr>
                <w:sz w:val="16"/>
                <w:szCs w:val="16"/>
              </w:rPr>
              <w:t xml:space="preserve">DRL online cost; no sealed, budget-counted evaluation</w:t>
            </w:r>
          </w:p>
        </w:tc>
      </w:tr>
      <w:tr>
        <w:trPr>
          <w:cantSplit/>
        </w:trPr>
        <w:tc>
          <w:tcPr>
            <w:tcW w:type="dxa" w:w="1504"/>
          </w:tcPr>
          <w:p>
            <w:r>
              <w:rPr>
                <w:sz w:val="16"/>
                <w:szCs w:val="16"/>
              </w:rPr>
              <w:t xml:space="preserve">Learned DB tuning/optimizers</w:t>
            </w:r>
          </w:p>
        </w:tc>
        <w:tc>
          <w:tcPr>
            <w:tcW w:type="dxa" w:w="1504"/>
          </w:tcPr>
          <w:p>
            <w:r>
              <w:rPr>
                <w:sz w:val="16"/>
                <w:szCs w:val="16"/>
              </w:rPr>
              <w:t xml:space="preserve">Knob survey, DOT, Holon, Eraser [58][59][60][62]</w:t>
            </w:r>
          </w:p>
        </w:tc>
        <w:tc>
          <w:tcPr>
            <w:tcW w:type="dxa" w:w="1504"/>
          </w:tcPr>
          <w:p>
            <w:r>
              <w:rPr>
                <w:sz w:val="16"/>
                <w:szCs w:val="16"/>
              </w:rPr>
              <w:t xml:space="preserve">Partial</w:t>
            </w:r>
          </w:p>
        </w:tc>
        <w:tc>
          <w:tcPr>
            <w:tcW w:type="dxa" w:w="1504"/>
          </w:tcPr>
          <w:p>
            <w:r>
              <w:rPr>
                <w:sz w:val="16"/>
                <w:szCs w:val="16"/>
              </w:rPr>
              <w:t xml:space="preserve">Medium–high</w:t>
            </w:r>
          </w:p>
        </w:tc>
        <w:tc>
          <w:tcPr>
            <w:tcW w:type="dxa" w:w="1504"/>
          </w:tcPr>
          <w:p>
            <w:r>
              <w:rPr>
                <w:sz w:val="16"/>
                <w:szCs w:val="16"/>
              </w:rPr>
              <w:t xml:space="preserve">N/A (DBMS)</w:t>
            </w:r>
          </w:p>
        </w:tc>
        <w:tc>
          <w:tcPr>
            <w:tcW w:type="dxa" w:w="1504"/>
          </w:tcPr>
          <w:p>
            <w:r>
              <w:rPr>
                <w:sz w:val="16"/>
                <w:szCs w:val="16"/>
              </w:rPr>
              <w:t xml:space="preserve">Regression and workload-shift risks documented</w:t>
            </w:r>
          </w:p>
        </w:tc>
      </w:tr>
      <w:tr>
        <w:trPr>
          <w:cantSplit/>
        </w:trPr>
        <w:tc>
          <w:tcPr>
            <w:tcW w:type="dxa" w:w="1504"/>
          </w:tcPr>
          <w:p>
            <w:r>
              <w:rPr>
                <w:sz w:val="16"/>
                <w:szCs w:val="16"/>
              </w:rPr>
              <w:t xml:space="preserve">RL schedulers/autoscalers</w:t>
            </w:r>
          </w:p>
        </w:tc>
        <w:tc>
          <w:tcPr>
            <w:tcW w:type="dxa" w:w="1504"/>
          </w:tcPr>
          <w:p>
            <w:r>
              <w:rPr>
                <w:sz w:val="16"/>
                <w:szCs w:val="16"/>
              </w:rPr>
              <w:t xml:space="preserve">DeepHCM, ASTRA, RL thresholds [66][78][76]</w:t>
            </w:r>
          </w:p>
        </w:tc>
        <w:tc>
          <w:tcPr>
            <w:tcW w:type="dxa" w:w="1504"/>
          </w:tcPr>
          <w:p>
            <w:r>
              <w:rPr>
                <w:sz w:val="16"/>
                <w:szCs w:val="16"/>
              </w:rPr>
              <w:t xml:space="preserve">Yes</w:t>
            </w:r>
          </w:p>
        </w:tc>
        <w:tc>
          <w:tcPr>
            <w:tcW w:type="dxa" w:w="1504"/>
          </w:tcPr>
          <w:p>
            <w:r>
              <w:rPr>
                <w:sz w:val="16"/>
                <w:szCs w:val="16"/>
              </w:rPr>
              <w:t xml:space="preserve">High (simulation)</w:t>
            </w:r>
          </w:p>
        </w:tc>
        <w:tc>
          <w:tcPr>
            <w:tcW w:type="dxa" w:w="1504"/>
          </w:tcPr>
          <w:p>
            <w:r>
              <w:rPr>
                <w:sz w:val="16"/>
                <w:szCs w:val="16"/>
              </w:rPr>
              <w:t xml:space="preserve">Scheduling/scaling</w:t>
            </w:r>
          </w:p>
        </w:tc>
        <w:tc>
          <w:tcPr>
            <w:tcW w:type="dxa" w:w="1504"/>
          </w:tcPr>
          <w:p>
            <w:r>
              <w:rPr>
                <w:sz w:val="16"/>
                <w:szCs w:val="16"/>
              </w:rPr>
              <w:t xml:space="preserve">Different decision; simulator-trained</w:t>
            </w:r>
          </w:p>
        </w:tc>
      </w:tr>
      <w:tr>
        <w:trPr>
          <w:cantSplit/>
        </w:trPr>
        <w:tc>
          <w:tcPr>
            <w:tcW w:type="dxa" w:w="1504"/>
          </w:tcPr>
          <w:p>
            <w:r>
              <w:rPr>
                <w:sz w:val="16"/>
                <w:szCs w:val="16"/>
              </w:rPr>
              <w:t xml:space="preserve">Built-in runtime adaptivity</w:t>
            </w:r>
          </w:p>
        </w:tc>
        <w:tc>
          <w:tcPr>
            <w:tcW w:type="dxa" w:w="1504"/>
          </w:tcPr>
          <w:p>
            <w:r>
              <w:rPr>
                <w:sz w:val="16"/>
                <w:szCs w:val="16"/>
              </w:rPr>
              <w:t xml:space="preserve">Spark AQE [34]</w:t>
            </w:r>
          </w:p>
        </w:tc>
        <w:tc>
          <w:tcPr>
            <w:tcW w:type="dxa" w:w="1504"/>
          </w:tcPr>
          <w:p>
            <w:r>
              <w:rPr>
                <w:sz w:val="16"/>
                <w:szCs w:val="16"/>
              </w:rPr>
              <w:t xml:space="preserve">Yes</w:t>
            </w:r>
          </w:p>
        </w:tc>
        <w:tc>
          <w:tcPr>
            <w:tcW w:type="dxa" w:w="1504"/>
          </w:tcPr>
          <w:p>
            <w:r>
              <w:rPr>
                <w:sz w:val="16"/>
                <w:szCs w:val="16"/>
              </w:rPr>
              <w:t xml:space="preserve">Zero</w:t>
            </w:r>
          </w:p>
        </w:tc>
        <w:tc>
          <w:tcPr>
            <w:tcW w:type="dxa" w:w="1504"/>
          </w:tcPr>
          <w:p>
            <w:r>
              <w:rPr>
                <w:sz w:val="16"/>
                <w:szCs w:val="16"/>
              </w:rPr>
              <w:t xml:space="preserve">Partitions/joins only</w:t>
            </w:r>
          </w:p>
        </w:tc>
        <w:tc>
          <w:tcPr>
            <w:tcW w:type="dxa" w:w="1504"/>
          </w:tcPr>
          <w:p>
            <w:r>
              <w:rPr>
                <w:sz w:val="16"/>
                <w:szCs w:val="16"/>
              </w:rPr>
              <w:t xml:space="preserve">No benefit measured (EXP-013, 0/6); side-by-side only</w:t>
            </w:r>
          </w:p>
        </w:tc>
      </w:tr>
      <w:tr>
        <w:trPr>
          <w:cantSplit/>
        </w:trPr>
        <w:tc>
          <w:tcPr>
            <w:tcW w:type="dxa" w:w="1504"/>
          </w:tcPr>
          <w:p>
            <w:r>
              <w:rPr>
                <w:sz w:val="16"/>
                <w:szCs w:val="16"/>
              </w:rPr>
              <w:t xml:space="preserve">Monitoring frameworks</w:t>
            </w:r>
          </w:p>
        </w:tc>
        <w:tc>
          <w:tcPr>
            <w:tcW w:type="dxa" w:w="1504"/>
          </w:tcPr>
          <w:p>
            <w:r>
              <w:rPr>
                <w:sz w:val="16"/>
                <w:szCs w:val="16"/>
              </w:rPr>
              <w:t xml:space="preserve">Kieker [27]; Reichelt [28][29]</w:t>
            </w:r>
          </w:p>
        </w:tc>
        <w:tc>
          <w:tcPr>
            <w:tcW w:type="dxa" w:w="1504"/>
          </w:tcPr>
          <w:p>
            <w:r>
              <w:rPr>
                <w:sz w:val="16"/>
                <w:szCs w:val="16"/>
              </w:rPr>
              <w:t xml:space="preserve">N/A</w:t>
            </w:r>
          </w:p>
        </w:tc>
        <w:tc>
          <w:tcPr>
            <w:tcW w:type="dxa" w:w="1504"/>
          </w:tcPr>
          <w:p>
            <w:r>
              <w:rPr>
                <w:sz w:val="16"/>
                <w:szCs w:val="16"/>
              </w:rPr>
              <w:t xml:space="preserve">Low</w:t>
            </w:r>
          </w:p>
        </w:tc>
        <w:tc>
          <w:tcPr>
            <w:tcW w:type="dxa" w:w="1504"/>
          </w:tcPr>
          <w:p>
            <w:r>
              <w:rPr>
                <w:sz w:val="16"/>
                <w:szCs w:val="16"/>
              </w:rPr>
              <w:t xml:space="preserve">N/A</w:t>
            </w:r>
          </w:p>
        </w:tc>
        <w:tc>
          <w:tcPr>
            <w:tcW w:type="dxa" w:w="1504"/>
          </w:tcPr>
          <w:p>
            <w:r>
              <w:rPr>
                <w:sz w:val="16"/>
                <w:szCs w:val="16"/>
              </w:rPr>
              <w:t xml:space="preserve">No Spark budget-adjudicated study</w:t>
            </w:r>
          </w:p>
        </w:tc>
      </w:tr>
      <w:tr>
        <w:trPr>
          <w:cantSplit/>
        </w:trPr>
        <w:tc>
          <w:tcPr>
            <w:tcW w:type="dxa" w:w="1504"/>
          </w:tcPr>
          <w:p>
            <w:r>
              <w:rPr>
                <w:b/>
                <w:sz w:val="16"/>
                <w:szCs w:val="16"/>
              </w:rPr>
              <w:t xml:space="preserve">AdaSpark (this work)</w:t>
            </w:r>
          </w:p>
        </w:tc>
        <w:tc>
          <w:tcPr>
            <w:tcW w:type="dxa" w:w="1504"/>
          </w:tcPr>
          <w:p>
            <w:r>
              <w:rPr>
                <w:sz w:val="16"/>
                <w:szCs w:val="16"/>
              </w:rPr>
              <w:t xml:space="preserve">Tabular Q + Q0 init</w:t>
            </w:r>
          </w:p>
        </w:tc>
        <w:tc>
          <w:tcPr>
            <w:tcW w:type="dxa" w:w="1504"/>
          </w:tcPr>
          <w:p>
            <w:r>
              <w:rPr>
                <w:b/>
                <w:sz w:val="16"/>
                <w:szCs w:val="16"/>
              </w:rPr>
              <w:t xml:space="preserve">Yes</w:t>
            </w:r>
          </w:p>
        </w:tc>
        <w:tc>
          <w:tcPr>
            <w:tcW w:type="dxa" w:w="1504"/>
          </w:tcPr>
          <w:p>
            <w:r>
              <w:rPr>
                <w:b/>
                <w:sz w:val="16"/>
                <w:szCs w:val="16"/>
              </w:rPr>
              <w:t xml:space="preserve">≤500 runs</w:t>
            </w:r>
          </w:p>
        </w:tc>
        <w:tc>
          <w:tcPr>
            <w:tcW w:type="dxa" w:w="1504"/>
          </w:tcPr>
          <w:p>
            <w:r>
              <w:rPr>
                <w:b/>
                <w:sz w:val="16"/>
                <w:szCs w:val="16"/>
              </w:rPr>
              <w:t xml:space="preserve">Shuffle × parallelism</w:t>
            </w:r>
          </w:p>
        </w:tc>
        <w:tc>
          <w:tcPr>
            <w:tcW w:type="dxa" w:w="1504"/>
          </w:tcPr>
          <w:p>
            <w:r>
              <w:rPr>
                <w:sz w:val="16"/>
                <w:szCs w:val="16"/>
              </w:rPr>
              <w:t xml:space="preserve">Pre-registered confirmatory test of H2/H3 (EXP-013); AQE side-by-side only</w:t>
            </w:r>
          </w:p>
        </w:tc>
      </w:tr>
    </w:tbl>
    <w:p/>
    <w:p>
      <w:pPr>
        <w:keepNext/>
        <w:jc w:val="center"/>
      </w:pPr>
      <w:r>
        <w:drawing>
          <wp:inline xmlns:a="http://schemas.openxmlformats.org/drawingml/2006/main" xmlns:pic="http://schemas.openxmlformats.org/drawingml/2006/picture">
            <wp:extent cx="5669280" cy="2613574"/>
            <wp:docPr id="11274" name="Picture 11274"/>
            <wp:cNvGraphicFramePr>
              <a:graphicFrameLocks noChangeAspect="1"/>
            </wp:cNvGraphicFramePr>
            <a:graphic>
              <a:graphicData uri="http://schemas.openxmlformats.org/drawingml/2006/picture">
                <pic:pic>
                  <pic:nvPicPr>
                    <pic:cNvPr id="0" name="Fig 04 Literature Taxonomy Framework.png"/>
                    <pic:cNvPicPr/>
                  </pic:nvPicPr>
                  <pic:blipFill>
                    <a:blip r:embed="rId36"/>
                    <a:stretch>
                      <a:fillRect/>
                    </a:stretch>
                  </pic:blipFill>
                  <pic:spPr>
                    <a:xfrm>
                      <a:off x="0" y="0"/>
                      <a:ext cx="5669280" cy="2613574"/>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11" w:name="_AdaFig4"/>
      <w:r>
        <w:rPr>
          <w:rFonts w:ascii="Helvetica Neue" w:eastAsia="Helvetica Neue" w:hAnsi="Helvetica Neue" w:cs="Helvetica Neue"/>
          <w:b/>
          <w:bCs/>
          <w:color w:val="00629B"/>
          <w:sz w:val="14"/>
          <w:szCs w:val="14"/>
        </w:rPr>
        <w:t xml:space="preserve">FIGURE 4. </w:t>
      </w:r>
      <w:r>
        <w:rPr>
          <w:rFonts w:ascii="Helvetica Neue" w:eastAsia="Helvetica Neue" w:hAnsi="Helvetica Neue" w:cs="Helvetica Neue"/>
          <w:b/>
          <w:bCs/>
          <w:sz w:val="14"/>
          <w:szCs w:val="14"/>
        </w:rPr>
        <w:t xml:space="preserve">Literature Taxonomy Framework</w:t>
      </w:r>
      <w:bookmarkEnd w:id="111"/>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12" w:name="_AdaSec4"/>
      <w:r>
        <w:rPr>
          <w:rFonts w:ascii="Helvetica Neue" w:eastAsia="Helvetica Neue" w:hAnsi="Helvetica Neue" w:cs="Helvetica Neue"/>
          <w:b/>
          <w:bCs/>
          <w:color w:val="00629B"/>
          <w:sz w:val="18"/>
          <w:szCs w:val="18"/>
        </w:rPr>
        <w:t xml:space="preserve">IV. REQUIREMENTS ANALYSIS FOR SELF-ADAPTIVE BIG DATA SYSTEMS</w:t>
      </w:r>
      <w:bookmarkEnd w:id="112"/>
    </w:p>
    <w:p w:rsidR="00A7482C" w:rsidRDefault="00A7482C" w:rsidP="00A7482C">
      <w:pPr>
        <w:pBdr>
          <w:top w:val="nil"/>
          <w:left w:val="nil"/>
          <w:bottom w:val="nil"/>
          <w:right w:val="nil"/>
          <w:between w:val="nil"/>
        </w:pBdr>
        <w:jc w:val="both"/>
        <w:rPr>
          <w:sz w:val="20"/>
          <w:szCs w:val="20"/>
        </w:rPr>
      </w:pPr>
      <w:r>
        <w:rPr>
          <w:sz w:val="20"/>
          <w:szCs w:val="20"/>
        </w:rPr>
        <w:t xml:space="preserve">Requirements were derived from the research objectives (O1–O7) and frozen in the architecture contracts before implementation, so that every component traces to a requirement and every requirement to an evaluation question (Fig. 5; Table 4). Functional requirements define what the loop must do: ingest parameterized workloads across five families and three scales; monitor every execution with a fixed metrics schema; map workload context plus runtime feedback to a configuration decision; learn within a hard execution budget; and compare against baselines with statistical validity. Non-functional requirements constrain how: reproducibility (seeded, config-driven, immutable manifests), safety (no failed submitted configurations; failures score exactly −1 and train the agent to avoid them), determinism of analysis (seeded resampling, byte-reproducible artifacts), and auditability (a decision log in which scope changes, budget reconciliations, and negative outcomes are recorded rather than edited away).</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Two requirements deserve emphasis because they shaped the engineering. First, the budget requirement (≤500 training executions, SC6) is enforced structurally by the environment's execution guard and counted across manifests — not estimated. Second, the test-discipline requirement (frozen train/validation/test split, TEST sealed until evaluation) is enforced by authorization guards in code, so an engineer cannot accidentally train on the test set. Both convert good intentions into properties the test suite can verify.</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requirement set mirrors what the self-adaptive-systems literature identifies as the hard parts of placing learning inside a feedback loop: knowing when a learned component is wrong, keeping adaptation decisions analyzable, and preserving evidence for later audit [85][87]. Trustworthiness requirements follow general trustworthy-ML practice, where robustness, transparency and accountability are properties to be demonstrated rather than asserted [92]. The lineage requirement (every decision traceable to code, data and policy versions) corresponds to ML lineage frameworks for production systems [91]. Reproducibility is specified at the strongest level a single-host study can support: re-running the analysis code over the frozen record reproduces every reported number, while re-running executions is a separately measured property (SC7), in line with graded definitions of computational reproducibility [93].</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By requirement class: performance is FR4 (gates SC1–SC4); scalability FR1's three data scales (cluster scale out of scope); adaptability FR3; reliability NFR4; governance NFR1, NFR2, NFR5; operations FR2 and FR5. Explainability holds by construction: every policy is an inspectable Q-table scored by (4) in Section X.</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13" w:name="_AdaTab4"/>
      <w:r>
        <w:rPr>
          <w:smallCaps/>
          <w:sz w:val="16"/>
          <w:szCs w:val="16"/>
        </w:rPr>
        <w:t xml:space="preserve">TABLE 4</w:t>
      </w:r>
      <w:bookmarkEnd w:id="113"/>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Functional and Non-Functional Requirements Matrix</w:t>
      </w:r>
    </w:p>
    <w:tbl>
      <w:tblPr>
        <w:tblStyle w:val="TableGrid"/>
        <w:tblW w:type="auto" w:w="0"/>
        <w:jc w:val="center"/>
        <w:tblLook w:firstColumn="1" w:firstRow="1" w:lastColumn="0" w:lastRow="0" w:noHBand="0" w:noVBand="1" w:val="04A0"/>
      </w:tblPr>
      <w:tblGrid>
        <w:gridCol w:w="2256"/>
        <w:gridCol w:w="2256"/>
        <w:gridCol w:w="2256"/>
        <w:gridCol w:w="2256"/>
      </w:tblGrid>
      <w:tr>
        <w:trPr>
          <w:cantSplit/>
          <w:tblHeader/>
        </w:trPr>
        <w:tc>
          <w:tcPr>
            <w:tcW w:type="dxa" w:w="2256"/>
          </w:tcPr>
          <w:p>
            <w:pPr>
              <w:keepNext/>
            </w:pPr>
            <w:r>
              <w:rPr>
                <w:b/>
                <w:sz w:val="16"/>
                <w:szCs w:val="16"/>
              </w:rPr>
              <w:t xml:space="preserve">ID</w:t>
            </w:r>
          </w:p>
        </w:tc>
        <w:tc>
          <w:tcPr>
            <w:tcW w:type="dxa" w:w="2256"/>
          </w:tcPr>
          <w:p>
            <w:pPr>
              <w:keepNext/>
            </w:pPr>
            <w:r>
              <w:rPr>
                <w:b/>
                <w:sz w:val="16"/>
                <w:szCs w:val="16"/>
              </w:rPr>
              <w:t xml:space="preserve">Requirement</w:t>
            </w:r>
          </w:p>
        </w:tc>
        <w:tc>
          <w:tcPr>
            <w:tcW w:type="dxa" w:w="2256"/>
          </w:tcPr>
          <w:p>
            <w:pPr>
              <w:keepNext/>
            </w:pPr>
            <w:r>
              <w:rPr>
                <w:b/>
                <w:sz w:val="16"/>
                <w:szCs w:val="16"/>
              </w:rPr>
              <w:t xml:space="preserve">Type</w:t>
            </w:r>
          </w:p>
        </w:tc>
        <w:tc>
          <w:tcPr>
            <w:tcW w:type="dxa" w:w="2256"/>
          </w:tcPr>
          <w:p>
            <w:pPr>
              <w:keepNext/>
            </w:pPr>
            <w:r>
              <w:rPr>
                <w:b/>
                <w:sz w:val="16"/>
                <w:szCs w:val="16"/>
              </w:rPr>
              <w:t xml:space="preserve">Verified by</w:t>
            </w:r>
          </w:p>
        </w:tc>
      </w:tr>
      <w:tr>
        <w:trPr>
          <w:cantSplit/>
        </w:trPr>
        <w:tc>
          <w:tcPr>
            <w:tcW w:type="dxa" w:w="2256"/>
          </w:tcPr>
          <w:p>
            <w:pPr>
              <w:keepNext/>
            </w:pPr>
            <w:r>
              <w:rPr>
                <w:sz w:val="16"/>
                <w:szCs w:val="16"/>
              </w:rPr>
              <w:t xml:space="preserve">FR1</w:t>
            </w:r>
          </w:p>
        </w:tc>
        <w:tc>
          <w:tcPr>
            <w:tcW w:type="dxa" w:w="2256"/>
          </w:tcPr>
          <w:p>
            <w:pPr>
              <w:keepNext/>
            </w:pPr>
            <w:r>
              <w:rPr>
                <w:sz w:val="16"/>
                <w:szCs w:val="16"/>
              </w:rPr>
              <w:t xml:space="preserve">Parameterized workloads (5 families × 3 scales, seeded)</w:t>
            </w:r>
          </w:p>
        </w:tc>
        <w:tc>
          <w:tcPr>
            <w:tcW w:type="dxa" w:w="2256"/>
          </w:tcPr>
          <w:p>
            <w:pPr>
              <w:keepNext/>
            </w:pPr>
            <w:r>
              <w:rPr>
                <w:sz w:val="16"/>
                <w:szCs w:val="16"/>
              </w:rPr>
              <w:t xml:space="preserve">Functional</w:t>
            </w:r>
          </w:p>
        </w:tc>
        <w:tc>
          <w:tcPr>
            <w:tcW w:type="dxa" w:w="2256"/>
          </w:tcPr>
          <w:p>
            <w:pPr>
              <w:keepNext/>
            </w:pPr>
            <w:r>
              <w:rPr>
                <w:sz w:val="16"/>
                <w:szCs w:val="16"/>
              </w:rPr>
              <w:t xml:space="preserve">EXP-002, EXP-006, dataset manifests</w:t>
            </w:r>
          </w:p>
        </w:tc>
      </w:tr>
      <w:tr>
        <w:trPr>
          <w:cantSplit/>
        </w:trPr>
        <w:tc>
          <w:tcPr>
            <w:tcW w:type="dxa" w:w="2256"/>
          </w:tcPr>
          <w:p>
            <w:r>
              <w:rPr>
                <w:sz w:val="16"/>
                <w:szCs w:val="16"/>
              </w:rPr>
              <w:t xml:space="preserve">FR2</w:t>
            </w:r>
          </w:p>
        </w:tc>
        <w:tc>
          <w:tcPr>
            <w:tcW w:type="dxa" w:w="2256"/>
          </w:tcPr>
          <w:p>
            <w:r>
              <w:rPr>
                <w:sz w:val="16"/>
                <w:szCs w:val="16"/>
              </w:rPr>
              <w:t xml:space="preserve">Per-run monitoring (system metrics + event logs)</w:t>
            </w:r>
          </w:p>
        </w:tc>
        <w:tc>
          <w:tcPr>
            <w:tcW w:type="dxa" w:w="2256"/>
          </w:tcPr>
          <w:p>
            <w:r>
              <w:rPr>
                <w:sz w:val="16"/>
                <w:szCs w:val="16"/>
              </w:rPr>
              <w:t xml:space="preserve">Functional</w:t>
            </w:r>
          </w:p>
        </w:tc>
        <w:tc>
          <w:tcPr>
            <w:tcW w:type="dxa" w:w="2256"/>
          </w:tcPr>
          <w:p>
            <w:r>
              <w:rPr>
                <w:sz w:val="16"/>
                <w:szCs w:val="16"/>
              </w:rPr>
              <w:t xml:space="preserve">EXP-009 (4,842 runs, 0 deviations)</w:t>
            </w:r>
          </w:p>
        </w:tc>
      </w:tr>
      <w:tr>
        <w:trPr>
          <w:cantSplit/>
        </w:trPr>
        <w:tc>
          <w:tcPr>
            <w:tcW w:type="dxa" w:w="2256"/>
          </w:tcPr>
          <w:p>
            <w:r>
              <w:rPr>
                <w:sz w:val="16"/>
                <w:szCs w:val="16"/>
              </w:rPr>
              <w:t xml:space="preserve">FR3</w:t>
            </w:r>
          </w:p>
        </w:tc>
        <w:tc>
          <w:tcPr>
            <w:tcW w:type="dxa" w:w="2256"/>
          </w:tcPr>
          <w:p>
            <w:r>
              <w:rPr>
                <w:sz w:val="16"/>
                <w:szCs w:val="16"/>
              </w:rPr>
              <w:t xml:space="preserve">State → configuration policy with offline init</w:t>
            </w:r>
          </w:p>
        </w:tc>
        <w:tc>
          <w:tcPr>
            <w:tcW w:type="dxa" w:w="2256"/>
          </w:tcPr>
          <w:p>
            <w:r>
              <w:rPr>
                <w:sz w:val="16"/>
                <w:szCs w:val="16"/>
              </w:rPr>
              <w:t xml:space="preserve">Functional</w:t>
            </w:r>
          </w:p>
        </w:tc>
        <w:tc>
          <w:tcPr>
            <w:tcW w:type="dxa" w:w="2256"/>
          </w:tcPr>
          <w:p>
            <w:r>
              <w:rPr>
                <w:sz w:val="16"/>
                <w:szCs w:val="16"/>
              </w:rPr>
              <w:t xml:space="preserve">EXP-004 training; policy store</w:t>
            </w:r>
          </w:p>
        </w:tc>
      </w:tr>
      <w:tr>
        <w:trPr>
          <w:cantSplit/>
        </w:trPr>
        <w:tc>
          <w:tcPr>
            <w:tcW w:type="dxa" w:w="2256"/>
          </w:tcPr>
          <w:p>
            <w:r>
              <w:rPr>
                <w:sz w:val="16"/>
                <w:szCs w:val="16"/>
              </w:rPr>
              <w:t xml:space="preserve">FR4</w:t>
            </w:r>
          </w:p>
        </w:tc>
        <w:tc>
          <w:tcPr>
            <w:tcW w:type="dxa" w:w="2256"/>
          </w:tcPr>
          <w:p>
            <w:r>
              <w:rPr>
                <w:sz w:val="16"/>
                <w:szCs w:val="16"/>
              </w:rPr>
              <w:t xml:space="preserve">Baseline comparison (default, static, heuristic, random)</w:t>
            </w:r>
          </w:p>
        </w:tc>
        <w:tc>
          <w:tcPr>
            <w:tcW w:type="dxa" w:w="2256"/>
          </w:tcPr>
          <w:p>
            <w:r>
              <w:rPr>
                <w:sz w:val="16"/>
                <w:szCs w:val="16"/>
              </w:rPr>
              <w:t xml:space="preserve">Functional</w:t>
            </w:r>
          </w:p>
        </w:tc>
        <w:tc>
          <w:tcPr>
            <w:tcW w:type="dxa" w:w="2256"/>
          </w:tcPr>
          <w:p>
            <w:r>
              <w:rPr>
                <w:sz w:val="16"/>
                <w:szCs w:val="16"/>
              </w:rPr>
              <w:t xml:space="preserve">EXP-005 (245/245 runs); EXP-013 (790 usable; H2/H3 decided)</w:t>
            </w:r>
          </w:p>
        </w:tc>
      </w:tr>
      <w:tr>
        <w:trPr>
          <w:cantSplit/>
        </w:trPr>
        <w:tc>
          <w:tcPr>
            <w:tcW w:type="dxa" w:w="2256"/>
          </w:tcPr>
          <w:p>
            <w:r>
              <w:rPr>
                <w:sz w:val="16"/>
                <w:szCs w:val="16"/>
              </w:rPr>
              <w:t xml:space="preserve">FR5</w:t>
            </w:r>
          </w:p>
        </w:tc>
        <w:tc>
          <w:tcPr>
            <w:tcW w:type="dxa" w:w="2256"/>
          </w:tcPr>
          <w:p>
            <w:r>
              <w:rPr>
                <w:sz w:val="16"/>
                <w:szCs w:val="16"/>
              </w:rPr>
              <w:t xml:space="preserve">Generalization + ablation + overhead studies</w:t>
            </w:r>
          </w:p>
        </w:tc>
        <w:tc>
          <w:tcPr>
            <w:tcW w:type="dxa" w:w="2256"/>
          </w:tcPr>
          <w:p>
            <w:r>
              <w:rPr>
                <w:sz w:val="16"/>
                <w:szCs w:val="16"/>
              </w:rPr>
              <w:t xml:space="preserve">Functional</w:t>
            </w:r>
          </w:p>
        </w:tc>
        <w:tc>
          <w:tcPr>
            <w:tcW w:type="dxa" w:w="2256"/>
          </w:tcPr>
          <w:p>
            <w:r>
              <w:rPr>
                <w:sz w:val="16"/>
                <w:szCs w:val="16"/>
              </w:rPr>
              <w:t xml:space="preserve">EXP-006/007/008/009/014</w:t>
            </w:r>
          </w:p>
        </w:tc>
      </w:tr>
      <w:tr>
        <w:trPr>
          <w:cantSplit/>
        </w:trPr>
        <w:tc>
          <w:tcPr>
            <w:tcW w:type="dxa" w:w="2256"/>
          </w:tcPr>
          <w:p>
            <w:r>
              <w:rPr>
                <w:sz w:val="16"/>
                <w:szCs w:val="16"/>
              </w:rPr>
              <w:t xml:space="preserve">NFR1</w:t>
            </w:r>
          </w:p>
        </w:tc>
        <w:tc>
          <w:tcPr>
            <w:tcW w:type="dxa" w:w="2256"/>
          </w:tcPr>
          <w:p>
            <w:r>
              <w:rPr>
                <w:sz w:val="16"/>
                <w:szCs w:val="16"/>
              </w:rPr>
              <w:t xml:space="preserve">Bounded training budget (≤500, counted)</w:t>
            </w:r>
          </w:p>
        </w:tc>
        <w:tc>
          <w:tcPr>
            <w:tcW w:type="dxa" w:w="2256"/>
          </w:tcPr>
          <w:p>
            <w:r>
              <w:rPr>
                <w:sz w:val="16"/>
                <w:szCs w:val="16"/>
              </w:rPr>
              <w:t xml:space="preserve">Non-functional</w:t>
            </w:r>
          </w:p>
        </w:tc>
        <w:tc>
          <w:tcPr>
            <w:tcW w:type="dxa" w:w="2256"/>
          </w:tcPr>
          <w:p>
            <w:r>
              <w:rPr>
                <w:sz w:val="16"/>
                <w:szCs w:val="16"/>
              </w:rPr>
              <w:t xml:space="preserve">SC6 ledger 483/500</w:t>
            </w:r>
          </w:p>
        </w:tc>
      </w:tr>
      <w:tr>
        <w:trPr>
          <w:cantSplit/>
        </w:trPr>
        <w:tc>
          <w:tcPr>
            <w:tcW w:type="dxa" w:w="2256"/>
          </w:tcPr>
          <w:p>
            <w:r>
              <w:rPr>
                <w:sz w:val="16"/>
                <w:szCs w:val="16"/>
              </w:rPr>
              <w:t xml:space="preserve">NFR2</w:t>
            </w:r>
          </w:p>
        </w:tc>
        <w:tc>
          <w:tcPr>
            <w:tcW w:type="dxa" w:w="2256"/>
          </w:tcPr>
          <w:p>
            <w:r>
              <w:rPr>
                <w:sz w:val="16"/>
                <w:szCs w:val="16"/>
              </w:rPr>
              <w:t xml:space="preserve">Sealed test discipline (authorization guards)</w:t>
            </w:r>
          </w:p>
        </w:tc>
        <w:tc>
          <w:tcPr>
            <w:tcW w:type="dxa" w:w="2256"/>
          </w:tcPr>
          <w:p>
            <w:r>
              <w:rPr>
                <w:sz w:val="16"/>
                <w:szCs w:val="16"/>
              </w:rPr>
              <w:t xml:space="preserve">Non-functional</w:t>
            </w:r>
          </w:p>
        </w:tc>
        <w:tc>
          <w:tcPr>
            <w:tcW w:type="dxa" w:w="2256"/>
          </w:tcPr>
          <w:p>
            <w:r>
              <w:rPr>
                <w:sz w:val="16"/>
                <w:szCs w:val="16"/>
              </w:rPr>
              <w:t xml:space="preserve">Day-31 gate 36/36</w:t>
            </w:r>
          </w:p>
        </w:tc>
      </w:tr>
      <w:tr>
        <w:trPr>
          <w:cantSplit/>
        </w:trPr>
        <w:tc>
          <w:tcPr>
            <w:tcW w:type="dxa" w:w="2256"/>
          </w:tcPr>
          <w:p>
            <w:r>
              <w:rPr>
                <w:sz w:val="16"/>
                <w:szCs w:val="16"/>
              </w:rPr>
              <w:t xml:space="preserve">NFR3</w:t>
            </w:r>
          </w:p>
        </w:tc>
        <w:tc>
          <w:tcPr>
            <w:tcW w:type="dxa" w:w="2256"/>
          </w:tcPr>
          <w:p>
            <w:r>
              <w:rPr>
                <w:sz w:val="16"/>
                <w:szCs w:val="16"/>
              </w:rPr>
              <w:t xml:space="preserve">Byte-reproducible analysis (seeded, frozen code)</w:t>
            </w:r>
          </w:p>
        </w:tc>
        <w:tc>
          <w:tcPr>
            <w:tcW w:type="dxa" w:w="2256"/>
          </w:tcPr>
          <w:p>
            <w:r>
              <w:rPr>
                <w:sz w:val="16"/>
                <w:szCs w:val="16"/>
              </w:rPr>
              <w:t xml:space="preserve">Non-functional</w:t>
            </w:r>
          </w:p>
        </w:tc>
        <w:tc>
          <w:tcPr>
            <w:tcW w:type="dxa" w:w="2256"/>
          </w:tcPr>
          <w:p>
            <w:r>
              <w:rPr>
                <w:sz w:val="16"/>
                <w:szCs w:val="16"/>
              </w:rPr>
              <w:t xml:space="preserve">16/16 corroboration (EXP-002/005/009)</w:t>
            </w:r>
          </w:p>
        </w:tc>
      </w:tr>
      <w:tr>
        <w:trPr>
          <w:cantSplit/>
        </w:trPr>
        <w:tc>
          <w:tcPr>
            <w:tcW w:type="dxa" w:w="2256"/>
          </w:tcPr>
          <w:p>
            <w:r>
              <w:rPr>
                <w:sz w:val="16"/>
                <w:szCs w:val="16"/>
              </w:rPr>
              <w:t xml:space="preserve">NFR4</w:t>
            </w:r>
          </w:p>
        </w:tc>
        <w:tc>
          <w:tcPr>
            <w:tcW w:type="dxa" w:w="2256"/>
          </w:tcPr>
          <w:p>
            <w:r>
              <w:rPr>
                <w:sz w:val="16"/>
                <w:szCs w:val="16"/>
              </w:rPr>
              <w:t xml:space="preserve">No failed submitted configurations</w:t>
            </w:r>
          </w:p>
        </w:tc>
        <w:tc>
          <w:tcPr>
            <w:tcW w:type="dxa" w:w="2256"/>
          </w:tcPr>
          <w:p>
            <w:r>
              <w:rPr>
                <w:sz w:val="16"/>
                <w:szCs w:val="16"/>
              </w:rPr>
              <w:t xml:space="preserve">Non-functional</w:t>
            </w:r>
          </w:p>
        </w:tc>
        <w:tc>
          <w:tcPr>
            <w:tcW w:type="dxa" w:w="2256"/>
          </w:tcPr>
          <w:p>
            <w:r>
              <w:rPr>
                <w:sz w:val="16"/>
                <w:szCs w:val="16"/>
              </w:rPr>
              <w:t xml:space="preserve">0 failures in training; F-FAIL invariant</w:t>
            </w:r>
          </w:p>
        </w:tc>
      </w:tr>
      <w:tr>
        <w:trPr>
          <w:cantSplit/>
        </w:trPr>
        <w:tc>
          <w:tcPr>
            <w:tcW w:type="dxa" w:w="2256"/>
          </w:tcPr>
          <w:p>
            <w:r>
              <w:rPr>
                <w:sz w:val="16"/>
                <w:szCs w:val="16"/>
              </w:rPr>
              <w:t xml:space="preserve">NFR5</w:t>
            </w:r>
          </w:p>
        </w:tc>
        <w:tc>
          <w:tcPr>
            <w:tcW w:type="dxa" w:w="2256"/>
          </w:tcPr>
          <w:p>
            <w:r>
              <w:rPr>
                <w:sz w:val="16"/>
                <w:szCs w:val="16"/>
              </w:rPr>
              <w:t xml:space="preserve">Full audit trail (decisions, provenance, manifests)</w:t>
            </w:r>
          </w:p>
        </w:tc>
        <w:tc>
          <w:tcPr>
            <w:tcW w:type="dxa" w:w="2256"/>
          </w:tcPr>
          <w:p>
            <w:r>
              <w:rPr>
                <w:sz w:val="16"/>
                <w:szCs w:val="16"/>
              </w:rPr>
              <w:t xml:space="preserve">Non-functional</w:t>
            </w:r>
          </w:p>
        </w:tc>
        <w:tc>
          <w:tcPr>
            <w:tcW w:type="dxa" w:w="2256"/>
          </w:tcPr>
          <w:p>
            <w:r>
              <w:rPr>
                <w:sz w:val="16"/>
                <w:szCs w:val="16"/>
              </w:rPr>
              <w:t xml:space="preserve">Decision log DEC-001–DEC-055; immutable artifacts</w:t>
            </w:r>
          </w:p>
        </w:tc>
      </w:tr>
    </w:tbl>
    <w:p/>
    <w:p>
      <w:pPr>
        <w:keepNext/>
        <w:jc w:val="center"/>
      </w:pPr>
      <w:r>
        <w:drawing>
          <wp:inline xmlns:a="http://schemas.openxmlformats.org/drawingml/2006/main" xmlns:pic="http://schemas.openxmlformats.org/drawingml/2006/picture">
            <wp:extent cx="5669280" cy="2448368"/>
            <wp:docPr id="11275" name="Picture 11275"/>
            <wp:cNvGraphicFramePr>
              <a:graphicFrameLocks noChangeAspect="1"/>
            </wp:cNvGraphicFramePr>
            <a:graphic>
              <a:graphicData uri="http://schemas.openxmlformats.org/drawingml/2006/picture">
                <pic:pic>
                  <pic:nvPicPr>
                    <pic:cNvPr id="0" name="Fig 05 Requirements Engineering Model.png"/>
                    <pic:cNvPicPr/>
                  </pic:nvPicPr>
                  <pic:blipFill>
                    <a:blip r:embed="rId37"/>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14" w:name="_AdaFig5"/>
      <w:r>
        <w:rPr>
          <w:rFonts w:ascii="Helvetica Neue" w:eastAsia="Helvetica Neue" w:hAnsi="Helvetica Neue" w:cs="Helvetica Neue"/>
          <w:b/>
          <w:bCs/>
          <w:color w:val="00629B"/>
          <w:sz w:val="14"/>
          <w:szCs w:val="14"/>
        </w:rPr>
        <w:t xml:space="preserve">FIGURE 5. </w:t>
      </w:r>
      <w:r>
        <w:rPr>
          <w:rFonts w:ascii="Helvetica Neue" w:eastAsia="Helvetica Neue" w:hAnsi="Helvetica Neue" w:cs="Helvetica Neue"/>
          <w:b/>
          <w:bCs/>
          <w:sz w:val="14"/>
          <w:szCs w:val="14"/>
        </w:rPr>
        <w:t xml:space="preserve">Requirements Engineering Model</w:t>
      </w:r>
      <w:bookmarkEnd w:id="114"/>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15" w:name="_AdaSec5"/>
      <w:r>
        <w:rPr>
          <w:rFonts w:ascii="Helvetica Neue" w:eastAsia="Helvetica Neue" w:hAnsi="Helvetica Neue" w:cs="Helvetica Neue"/>
          <w:b/>
          <w:bCs/>
          <w:color w:val="00629B"/>
          <w:sz w:val="18"/>
          <w:szCs w:val="18"/>
        </w:rPr>
        <w:t xml:space="preserve">V. REINFORCEMENT LEARNING-DRIVEN SPARK ARCHITECTURE</w:t>
      </w:r>
      <w:bookmarkEnd w:id="115"/>
    </w:p>
    <w:p w:rsidR="00A7482C" w:rsidRDefault="00A7482C" w:rsidP="00A7482C">
      <w:pPr>
        <w:pBdr>
          <w:top w:val="nil"/>
          <w:left w:val="nil"/>
          <w:bottom w:val="nil"/>
          <w:right w:val="nil"/>
          <w:between w:val="nil"/>
        </w:pBdr>
        <w:jc w:val="both"/>
        <w:rPr>
          <w:sz w:val="20"/>
          <w:szCs w:val="20"/>
        </w:rPr>
      </w:pPr>
      <w:r>
        <w:rPr>
          <w:sz w:val="20"/>
          <w:szCs w:val="20"/>
        </w:rPr>
        <w:t xml:space="preserve">AdaSpark implements Candidate C — hybrid offline-init plus bounded online adaptation — selected over pure-offline and pure-online alternatives against eight criteria and then frozen as twelve components with fourteen interfaces (Fig. 6, the core figure of this report). The architecture is a MAPE-K loop made concrete: the monitoring layer (COMP-SPARK) observes; the RL formulation (state encoder, environment, agent, reward) analyzes and plans; the runner executes the chosen configuration; and the knowledge base (Q-tables, T_ref calibrations, manifests, policy store) persists everything learned [5][32].</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Placing a learner inside MAPE-K is a well-studied pattern: reviews of machine learning in self-adaptive systems find learning concentrated in the analysis and planning stages, exactly where AdaSpark's agent sits [84], and recent work adds formal checks around the learned component so that adaptation tactics are chosen deliberately [87]. Comparable DRL frameworks for edge–cloud resource management package monitoring, learning and actuation as separate modules [73], and model-based online RL has been used where each decision is costly to evaluate, such as cache allocation [72]. AdaSpark differs in scale and emphasis: a deliberately small tabular learner, a fixed decision boundary (one configuration per run), and governance components that are first-class parts of the architecture rather than wrappers around it.</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data plane is deliberately boring: standard Spark jobs on a fixed single-node backend (PySpark 3.5.9, Java 17), so that all intelligence lives in the decision plane. The decision plane centers on a 30-state representation (workload class × size bin × feedback bin), a 12-action grid (shuffle partitions {16, 32, 64, 128} × parallelism {local-2, local-4, local-8}), and the frozen R3 reward (time improvement + task balance − spill waste − failure penalty; (1) in Section VII). Offline initialization (Q0) calibrates the agent from the EXP-002 sensitivity grid before any online learning, so the first policy is already informed; the online loop (Fig. 7) then refines it with ε-greedy tabular Q-learning (α = 0.2, γ = 0.0 bandit mode) inside the 500-execution guard.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Three structural properties matter more than any single result. First, failure is a first-class observation: a failed episode returns reward −1 and still updates the learner, so the agent learns to avoid pathological configurations rather than ignoring them. Second, the train/validation/test boundary is a code-enforced authorization boundary, not a convention — checked by the Day-31 gate among its 36 checks. Third, scope reduction is pre-designed (Plan B via config selectors: drop multi-step, shrink ablations, narrow the action space) rather than improvised, which is why the Day-30 decision to disable multi-step learning consumed a planned scope rung instead of causing a crisis.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twelve frozen components span the full pipeline: session management, configuration handling, and job running (COMP-SPARK); deterministic data generation, workload families with registry/resolver, and the monitoring stack with metrics merge and validation; the RL core of state encoder, action mapper, reward calculator, environment with T_ref store, and tabular agent with Q0 and policy store; and the training loop, execution cache, evaluation harness with frozen test identity, and baseline strategies. Fourteen interfaces connect them, and twelve JSON-serializable data contracts govern every handoff with determinism rules — seeded manifests in, metrics out, no hidden channels. Architectural invariants hold the design together: single-node execution, seeded manifests, config-driven behavior, the 12-action bound, T_ref-gated rewards, the ≤500 execution guard, deterministic caching, identical-baseline protocols, AQE control, a frozen test set, ±5% reproduction targets, and Plan-B recoverability — with explicit exclusions (no cluster or Kubernetes, no deep RL, no GPU path) keeping the scope honest. Experiment compatibility was verified per component: every experiment from EXP-001 through EXP-012 (plus 005b) executes against these contracts unchanged, and the four architecture diagrams (system, training loop, execution pipeline, data/control flow) are generated from the same source so documentation cannot drift from implementation.</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997468"/>
            <wp:docPr id="11276" name="Picture 11276"/>
            <wp:cNvGraphicFramePr>
              <a:graphicFrameLocks noChangeAspect="1"/>
            </wp:cNvGraphicFramePr>
            <a:graphic>
              <a:graphicData uri="http://schemas.openxmlformats.org/drawingml/2006/picture">
                <pic:pic>
                  <pic:nvPicPr>
                    <pic:cNvPr id="0" name="Fig 06 RL-Driven Spark Architecture.png"/>
                    <pic:cNvPicPr/>
                  </pic:nvPicPr>
                  <pic:blipFill>
                    <a:blip r:embed="rId38"/>
                    <a:stretch>
                      <a:fillRect/>
                    </a:stretch>
                  </pic:blipFill>
                  <pic:spPr>
                    <a:xfrm>
                      <a:off x="0" y="0"/>
                      <a:ext cx="5669280" cy="29974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16" w:name="_AdaFig6"/>
      <w:r>
        <w:rPr>
          <w:rFonts w:ascii="Helvetica Neue" w:eastAsia="Helvetica Neue" w:hAnsi="Helvetica Neue" w:cs="Helvetica Neue"/>
          <w:b/>
          <w:bCs/>
          <w:color w:val="00629B"/>
          <w:sz w:val="14"/>
          <w:szCs w:val="14"/>
        </w:rPr>
        <w:t xml:space="preserve">FIGURE 6. </w:t>
      </w:r>
      <w:r>
        <w:rPr>
          <w:rFonts w:ascii="Helvetica Neue" w:eastAsia="Helvetica Neue" w:hAnsi="Helvetica Neue" w:cs="Helvetica Neue"/>
          <w:b/>
          <w:bCs/>
          <w:sz w:val="14"/>
          <w:szCs w:val="14"/>
        </w:rPr>
        <w:t xml:space="preserve">RL-Driven Spark Architecture. Core figure, the self-adaptive big data programming architecture using reinforcement learning and Apache Spark: Spark execution at the base, RL optimization planning each configuration, scheduling and self-tuning enacting it, monitoring closing the MAPE-K loop, and explainability and governance spanning every decision.</w:t>
      </w:r>
      <w:bookmarkEnd w:id="116"/>
    </w:p>
    <w:p>
      <w:pPr>
        <w:keepNext/>
        <w:jc w:val="center"/>
      </w:pPr>
      <w:r>
        <w:drawing>
          <wp:inline xmlns:a="http://schemas.openxmlformats.org/drawingml/2006/main" xmlns:pic="http://schemas.openxmlformats.org/drawingml/2006/picture">
            <wp:extent cx="5669280" cy="2339024"/>
            <wp:docPr id="11277" name="Picture 11277"/>
            <wp:cNvGraphicFramePr>
              <a:graphicFrameLocks noChangeAspect="1"/>
            </wp:cNvGraphicFramePr>
            <a:graphic>
              <a:graphicData uri="http://schemas.openxmlformats.org/drawingml/2006/picture">
                <pic:pic>
                  <pic:nvPicPr>
                    <pic:cNvPr id="0" name="Fig 07 Layered System Architecture.png"/>
                    <pic:cNvPicPr/>
                  </pic:nvPicPr>
                  <pic:blipFill>
                    <a:blip r:embed="rId39"/>
                    <a:stretch>
                      <a:fillRect/>
                    </a:stretch>
                  </pic:blipFill>
                  <pic:spPr>
                    <a:xfrm>
                      <a:off x="0" y="0"/>
                      <a:ext cx="5669280" cy="2339024"/>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17" w:name="_AdaFig7"/>
      <w:r>
        <w:rPr>
          <w:rFonts w:ascii="Helvetica Neue" w:eastAsia="Helvetica Neue" w:hAnsi="Helvetica Neue" w:cs="Helvetica Neue"/>
          <w:b/>
          <w:bCs/>
          <w:color w:val="00629B"/>
          <w:sz w:val="14"/>
          <w:szCs w:val="14"/>
        </w:rPr>
        <w:t xml:space="preserve">FIGURE 7. </w:t>
      </w:r>
      <w:r>
        <w:rPr>
          <w:rFonts w:ascii="Helvetica Neue" w:eastAsia="Helvetica Neue" w:hAnsi="Helvetica Neue" w:cs="Helvetica Neue"/>
          <w:b/>
          <w:bCs/>
          <w:sz w:val="14"/>
          <w:szCs w:val="14"/>
        </w:rPr>
        <w:t xml:space="preserve">Layered System Architecture. The training loop that runs through these layers: observe the state, select one of 12 actions, execute the Spark job, score R3 and update the Q-table, after Q0 initialization and inside the 500-execution budget.</w:t>
      </w:r>
      <w:bookmarkEnd w:id="117"/>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18" w:name="_AdaSec6"/>
      <w:r>
        <w:rPr>
          <w:rFonts w:ascii="Helvetica Neue" w:eastAsia="Helvetica Neue" w:hAnsi="Helvetica Neue" w:cs="Helvetica Neue"/>
          <w:b/>
          <w:bCs/>
          <w:color w:val="00629B"/>
          <w:sz w:val="18"/>
          <w:szCs w:val="18"/>
        </w:rPr>
        <w:t xml:space="preserve">VI. BIG DATA PROGRAMMING AND EXECUTION LAYER</w:t>
      </w:r>
      <w:bookmarkEnd w:id="118"/>
    </w:p>
    <w:p w:rsidR="00A7482C" w:rsidRDefault="00A7482C" w:rsidP="00A7482C">
      <w:pPr>
        <w:pBdr>
          <w:top w:val="nil"/>
          <w:left w:val="nil"/>
          <w:bottom w:val="nil"/>
          <w:right w:val="nil"/>
          <w:between w:val="nil"/>
        </w:pBdr>
        <w:jc w:val="both"/>
        <w:rPr>
          <w:sz w:val="20"/>
          <w:szCs w:val="20"/>
        </w:rPr>
      </w:pPr>
      <w:r>
        <w:rPr>
          <w:sz w:val="20"/>
          <w:szCs w:val="20"/>
        </w:rPr>
        <w:t xml:space="preserve">The execution layer runs ordinary Spark programs and is intentionally the least novel part of the system: five workload families (F1 aggregation, F2 join, F3 RDD sort/filter, F4 skew join, F5 mixed pipeline) execute as parameterized jobs over seeded synthetic datasets at three scales (S/M/L), with DAG generation, stage scheduling, shuffle, spill, and memory management handled by unmodified Spark (Fig. 8; Table 5 lists the components) [1][2]. Deterministic data generation with checksummed manifests guarantees that a "workload instance" means the same bytes on every run, and the frozen dataset seed (0) anchors all calibrations.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These engine internals are where configuration choices act, and each is the subject of dedicated research. Task granularity is a genuine trade-off: experiments on a Spark cluster show that splitting jobs into more tasks than workers reduces load variance until scheduling and management overhead overtakes the benefit [46] — the mechanism behind the shuffle-partition axis of AdaSpark's action grid. Shuffle volume is a first-order cost in distributed analytics [94], partition imbalance from skewed keys prolongs reduce stages and idles executors [45], and executor placement determines how much work runs data-local [55]. Workflow schedulers duplicate tasks to cut completion time when intermediate data is large [69], operator parallelism bounds stream throughput on heterogeneous clusters [70], and Spark SQL plan selection can itself be learned [57]. AdaSpark leaves these mechanisms unmodified and steers only the two knobs its action grid sets, so that measured differences are attributable to configuration choice.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Each job passes through session creation (fixed Spark configuration surface), timed execution under the runner's clock with two discarded warmups, and metric extraction (execution time, task-duration CV, spill bytes, event-log status). A run is timing-valid only if the harness clock sourced it; anything else is recorded but never adjudicated. This strictness is why the extension study can claim zero deviations across 4,842 runs: validity is a property checked per record, not assumed per batch.</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19" w:name="_AdaTab5"/>
      <w:r>
        <w:rPr>
          <w:smallCaps/>
          <w:sz w:val="16"/>
          <w:szCs w:val="16"/>
        </w:rPr>
        <w:t xml:space="preserve">TABLE 5</w:t>
      </w:r>
      <w:bookmarkEnd w:id="119"/>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Spark Components and Responsibilities</w:t>
      </w:r>
    </w:p>
    <w:tbl>
      <w:tblPr>
        <w:tblStyle w:val="TableGrid"/>
        <w:tblW w:type="auto" w:w="0"/>
        <w:jc w:val="center"/>
        <w:tblLook w:firstColumn="1" w:firstRow="1" w:lastColumn="0" w:lastRow="0" w:noHBand="0" w:noVBand="1" w:val="04A0"/>
      </w:tblPr>
      <w:tblGrid>
        <w:gridCol w:w="4513"/>
        <w:gridCol w:w="4513"/>
      </w:tblGrid>
      <w:tr>
        <w:trPr>
          <w:cantSplit/>
          <w:tblHeader/>
        </w:trPr>
        <w:tc>
          <w:tcPr>
            <w:tcW w:type="dxa" w:w="4513"/>
          </w:tcPr>
          <w:p>
            <w:pPr>
              <w:keepNext/>
            </w:pPr>
            <w:r>
              <w:rPr>
                <w:b/>
                <w:sz w:val="16"/>
                <w:szCs w:val="16"/>
              </w:rPr>
              <w:t xml:space="preserve">Component</w:t>
            </w:r>
          </w:p>
        </w:tc>
        <w:tc>
          <w:tcPr>
            <w:tcW w:type="dxa" w:w="4513"/>
          </w:tcPr>
          <w:p>
            <w:pPr>
              <w:keepNext/>
            </w:pPr>
            <w:r>
              <w:rPr>
                <w:b/>
                <w:sz w:val="16"/>
                <w:szCs w:val="16"/>
              </w:rPr>
              <w:t xml:space="preserve">Responsibility in AdaSpark</w:t>
            </w:r>
          </w:p>
        </w:tc>
      </w:tr>
      <w:tr>
        <w:trPr>
          <w:cantSplit/>
        </w:trPr>
        <w:tc>
          <w:tcPr>
            <w:tcW w:type="dxa" w:w="4513"/>
          </w:tcPr>
          <w:p>
            <w:pPr>
              <w:keepNext/>
            </w:pPr>
            <w:r>
              <w:rPr>
                <w:sz w:val="16"/>
                <w:szCs w:val="16"/>
              </w:rPr>
              <w:t xml:space="preserve">Driver / SparkSession</w:t>
            </w:r>
          </w:p>
        </w:tc>
        <w:tc>
          <w:tcPr>
            <w:tcW w:type="dxa" w:w="4513"/>
          </w:tcPr>
          <w:p>
            <w:pPr>
              <w:keepNext/>
            </w:pPr>
            <w:r>
              <w:rPr>
                <w:sz w:val="16"/>
                <w:szCs w:val="16"/>
              </w:rPr>
              <w:t xml:space="preserve">Fixed-config session lifecycle; parallelism changes via session restart</w:t>
            </w:r>
          </w:p>
        </w:tc>
      </w:tr>
      <w:tr>
        <w:trPr>
          <w:cantSplit/>
        </w:trPr>
        <w:tc>
          <w:tcPr>
            <w:tcW w:type="dxa" w:w="4513"/>
          </w:tcPr>
          <w:p>
            <w:pPr>
              <w:keepNext/>
            </w:pPr>
            <w:r>
              <w:rPr>
                <w:sz w:val="16"/>
                <w:szCs w:val="16"/>
              </w:rPr>
              <w:t xml:space="preserve">DAG scheduler / stages</w:t>
            </w:r>
          </w:p>
        </w:tc>
        <w:tc>
          <w:tcPr>
            <w:tcW w:type="dxa" w:w="4513"/>
          </w:tcPr>
          <w:p>
            <w:pPr>
              <w:keepNext/>
            </w:pPr>
            <w:r>
              <w:rPr>
                <w:sz w:val="16"/>
                <w:szCs w:val="16"/>
              </w:rPr>
              <w:t xml:space="preserve">Unmodified stage graph; observed, never steered mid-job</w:t>
            </w:r>
          </w:p>
        </w:tc>
      </w:tr>
      <w:tr>
        <w:trPr>
          <w:cantSplit/>
        </w:trPr>
        <w:tc>
          <w:tcPr>
            <w:tcW w:type="dxa" w:w="4513"/>
          </w:tcPr>
          <w:p>
            <w:pPr>
              <w:keepNext/>
            </w:pPr>
            <w:r>
              <w:rPr>
                <w:sz w:val="16"/>
                <w:szCs w:val="16"/>
              </w:rPr>
              <w:t xml:space="preserve">Shuffle service</w:t>
            </w:r>
          </w:p>
        </w:tc>
        <w:tc>
          <w:tcPr>
            <w:tcW w:type="dxa" w:w="4513"/>
          </w:tcPr>
          <w:p>
            <w:pPr>
              <w:keepNext/>
            </w:pPr>
            <w:r>
              <w:rPr>
                <w:sz w:val="16"/>
                <w:szCs w:val="16"/>
              </w:rPr>
              <w:t xml:space="preserve">Partition-count target of actions (16/32/64/128)</w:t>
            </w:r>
          </w:p>
        </w:tc>
      </w:tr>
      <w:tr>
        <w:trPr>
          <w:cantSplit/>
        </w:trPr>
        <w:tc>
          <w:tcPr>
            <w:tcW w:type="dxa" w:w="4513"/>
          </w:tcPr>
          <w:p>
            <w:pPr>
              <w:keepNext/>
            </w:pPr>
            <w:r>
              <w:rPr>
                <w:sz w:val="16"/>
                <w:szCs w:val="16"/>
              </w:rPr>
              <w:t xml:space="preserve">Executors (local[N], N ∈ {2,4,8})</w:t>
            </w:r>
          </w:p>
        </w:tc>
        <w:tc>
          <w:tcPr>
            <w:tcW w:type="dxa" w:w="4513"/>
          </w:tcPr>
          <w:p>
            <w:pPr>
              <w:keepNext/>
            </w:pPr>
            <w:r>
              <w:rPr>
                <w:sz w:val="16"/>
                <w:szCs w:val="16"/>
              </w:rPr>
              <w:t xml:space="preserve">Parallelism target of actions; task CV + spill telemetry source</w:t>
            </w:r>
          </w:p>
        </w:tc>
      </w:tr>
      <w:tr>
        <w:trPr>
          <w:cantSplit/>
        </w:trPr>
        <w:tc>
          <w:tcPr>
            <w:tcW w:type="dxa" w:w="4513"/>
          </w:tcPr>
          <w:p>
            <w:pPr>
              <w:keepNext/>
            </w:pPr>
            <w:r>
              <w:rPr>
                <w:sz w:val="16"/>
                <w:szCs w:val="16"/>
              </w:rPr>
              <w:t xml:space="preserve">Event log / listener bus</w:t>
            </w:r>
          </w:p>
        </w:tc>
        <w:tc>
          <w:tcPr>
            <w:tcW w:type="dxa" w:w="4513"/>
          </w:tcPr>
          <w:p>
            <w:pPr>
              <w:keepNext/>
            </w:pPr>
            <w:r>
              <w:rPr>
                <w:sz w:val="16"/>
                <w:szCs w:val="16"/>
              </w:rPr>
              <w:t xml:space="preserve">Overhead-measured monitoring arm; COMPLETE status required</w:t>
            </w:r>
          </w:p>
        </w:tc>
      </w:tr>
      <w:tr>
        <w:trPr>
          <w:cantSplit/>
        </w:trPr>
        <w:tc>
          <w:tcPr>
            <w:tcW w:type="dxa" w:w="4513"/>
          </w:tcPr>
          <w:p>
            <w:pPr>
              <w:keepNext/>
            </w:pPr>
            <w:r>
              <w:rPr>
                <w:sz w:val="16"/>
                <w:szCs w:val="16"/>
              </w:rPr>
              <w:t xml:space="preserve">DataGen + manifests</w:t>
            </w:r>
          </w:p>
        </w:tc>
        <w:tc>
          <w:tcPr>
            <w:tcW w:type="dxa" w:w="4513"/>
          </w:tcPr>
          <w:p>
            <w:pPr>
              <w:keepNext/>
            </w:pPr>
            <w:r>
              <w:rPr>
                <w:sz w:val="16"/>
                <w:szCs w:val="16"/>
              </w:rPr>
              <w:t xml:space="preserve">Seeded datasets; checksums; size-bin ground truth (never live-measured)</w:t>
            </w:r>
          </w:p>
        </w:tc>
      </w:tr>
      <w:tr>
        <w:trPr>
          <w:cantSplit/>
        </w:trPr>
        <w:tc>
          <w:tcPr>
            <w:tcW w:type="dxa" w:w="4513"/>
          </w:tcPr>
          <w:p>
            <w:r>
              <w:rPr>
                <w:sz w:val="16"/>
                <w:szCs w:val="16"/>
              </w:rPr>
              <w:t xml:space="preserve">Runner clock</w:t>
            </w:r>
          </w:p>
        </w:tc>
        <w:tc>
          <w:tcPr>
            <w:tcW w:type="dxa" w:w="4513"/>
          </w:tcPr>
          <w:p>
            <w:r>
              <w:rPr>
                <w:sz w:val="16"/>
                <w:szCs w:val="16"/>
              </w:rPr>
              <w:t xml:space="preserve">Sole timing authority; 2 warmups discarded per session</w:t>
            </w:r>
          </w:p>
        </w:tc>
      </w:tr>
    </w:tbl>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jc w:val="both"/>
        <w:rPr>
          <w:sz w:val="20"/>
          <w:szCs w:val="20"/>
        </w:rPr>
      </w:pPr>
      <w:r>
        <w:rPr>
          <w:sz w:val="20"/>
          <w:szCs w:val="20"/>
        </w:rPr>
        <w:t xml:space="preserve">Scale behavior confirms the workloads exercise distinct regimes: pooled median runtimes span 1.6s (small join) to 30.6s (medium aggregation), so the action grid is tested against both short overhead-sensitive jobs and long shuffle-dominated ones. The twice-consumed cached intermediate in F5_mixed is the one structural feature that interacts with session restarts — changing parallelism destroys the JVM cache the pipeline depends on — which is why per-phase action changes were ruled out as a frozen-vs-frozen conflict rather than attempted. Determinism is enforced below the jobs as well: the smoke matrix (session creation, DataFrame operations, Parquet round-trip with exact checksums, event-log shape, clean shutdown across 13 checks) re-verifies the backend contract, so a regression in the platform surfaces as a failed gate rather than a mysterious result shift.</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278" name="Picture 11278"/>
            <wp:cNvGraphicFramePr>
              <a:graphicFrameLocks noChangeAspect="1"/>
            </wp:cNvGraphicFramePr>
            <a:graphic>
              <a:graphicData uri="http://schemas.openxmlformats.org/drawingml/2006/picture">
                <pic:pic>
                  <pic:nvPicPr>
                    <pic:cNvPr id="0" name="Fig 08 Apache Spark Execution Framework.png"/>
                    <pic:cNvPicPr/>
                  </pic:nvPicPr>
                  <pic:blipFill>
                    <a:blip r:embed="rId40"/>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0" w:name="_AdaFig8"/>
      <w:r>
        <w:rPr>
          <w:rFonts w:ascii="Helvetica Neue" w:eastAsia="Helvetica Neue" w:hAnsi="Helvetica Neue" w:cs="Helvetica Neue"/>
          <w:b/>
          <w:bCs/>
          <w:color w:val="00629B"/>
          <w:sz w:val="14"/>
          <w:szCs w:val="14"/>
        </w:rPr>
        <w:t xml:space="preserve">FIGURE 8. </w:t>
      </w:r>
      <w:r>
        <w:rPr>
          <w:rFonts w:ascii="Helvetica Neue" w:eastAsia="Helvetica Neue" w:hAnsi="Helvetica Neue" w:cs="Helvetica Neue"/>
          <w:b/>
          <w:bCs/>
          <w:sz w:val="14"/>
          <w:szCs w:val="14"/>
        </w:rPr>
        <w:t xml:space="preserve">Apache Spark Execution Framework</w:t>
      </w:r>
      <w:bookmarkEnd w:id="120"/>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21" w:name="_AdaSec7"/>
      <w:r>
        <w:rPr>
          <w:rFonts w:ascii="Helvetica Neue" w:eastAsia="Helvetica Neue" w:hAnsi="Helvetica Neue" w:cs="Helvetica Neue"/>
          <w:b/>
          <w:bCs/>
          <w:color w:val="00629B"/>
          <w:sz w:val="18"/>
          <w:szCs w:val="18"/>
        </w:rPr>
        <w:t xml:space="preserve">VII. REINFORCEMENT LEARNING OPTIMIZATION LAYER</w:t>
      </w:r>
      <w:bookmarkEnd w:id="121"/>
    </w:p>
    <w:p w:rsidR="00A7482C" w:rsidRDefault="00A7482C" w:rsidP="00A7482C">
      <w:pPr>
        <w:pBdr>
          <w:top w:val="nil"/>
          <w:left w:val="nil"/>
          <w:bottom w:val="nil"/>
          <w:right w:val="nil"/>
          <w:between w:val="nil"/>
        </w:pBdr>
        <w:jc w:val="both"/>
        <w:rPr>
          <w:sz w:val="20"/>
          <w:szCs w:val="20"/>
        </w:rPr>
      </w:pPr>
      <w:r>
        <w:rPr>
          <w:sz w:val="20"/>
          <w:szCs w:val="20"/>
        </w:rPr>
        <w:t xml:space="preserve">The RL layer is the planning organ of the MAPE-K loop. Fig. 9 traces one learning step (state, ε-greedy action from the 12-action grid, R3 reward, Q-update), and Fig. 10 shows the agent and the Spark environment exchanging actions for states and rewards under the environment-owned budget guard. Its formulation is deliberately small and frozen: a 30-state space (state-v1.5: workload class {agg, join, rdd_sort, skew_join, mixed} × size bin {S, M, L} × feedback bin {le0, gt0}), where the size bin comes from dataset manifests recorded before any run — never from live measurement — and missing history maps to the pessimistic </w:t>
      </w:r>
      <w:r>
        <w:rPr>
          <w:rFonts w:ascii="Consolas" w:hAnsi="Consolas" w:cs="Consolas" w:eastAsia="Consolas"/>
          <w:sz w:val="20"/>
          <w:szCs w:val="20"/>
        </w:rPr>
        <w:t xml:space="preserve">le0</w:t>
      </w:r>
      <w:r>
        <w:rPr>
          <w:sz w:val="20"/>
          <w:szCs w:val="20"/>
        </w:rPr>
        <w:t xml:space="preserve"> bin by documented convention [3][4]. The 15-state context-only variant (v1) and the 2-state feedback-only variant (v2) exist for the A1/A2 ablations. Continuous telemetry (shuffle, spill, CV, CPU) is collected after execution for reward computation and is never part of the tabular state.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Actions form a 12-cell grid: shuffle partitions {16, 32, 64, 128} × execution parallelism {local-2, local-4, local-8}, with a 4-action structural subset ({0,3,6,9}) for the A4 granularity ablation. Reward is the frozen R3 formula of (1), combining normalized time improvement against a calibrated T_ref, task-balance, and spill waste, with failure scoring exactly −1:</w:t>
      </w:r>
    </w:p>
    <w:p w:rsidR="00A7482C" w:rsidRDefault="00A7482C" w:rsidP="00A7482C">
      <w:pPr>
        <w:pBdr>
          <w:top w:val="nil"/>
          <w:left w:val="nil"/>
          <w:bottom w:val="nil"/>
          <w:right w:val="nil"/>
          <w:between w:val="nil"/>
        </w:pBdr>
        <w:tabs>
          <w:tab w:val="right" w:pos="4320"/>
        </w:tabs>
        <w:spacing w:before="120" w:after="120"/>
        <w:rPr>
          <w:sz w:val="20"/>
          <w:szCs w:val="20"/>
        </w:rPr>
      </w:pPr>
      <m:oMath>
        <m:r>
          <m:t>R(s,a)=1.0⋅</m:t>
        </m:r>
        <m:r>
          <m:rPr>
            <m:sty m:val="p"/>
          </m:rPr>
          <m:t>clip</m:t>
        </m:r>
        <m:r>
          <m:t>(</m:t>
        </m:r>
        <m:f>
          <m:fPr>
            <m:type m:val="bar"/>
          </m:fPr>
          <m:num>
            <m:sSub>
              <m:e>
                <m:r>
                  <m:t>T</m:t>
                </m:r>
              </m:e>
              <m:sub>
                <m:r>
                  <m:rPr>
                    <m:sty m:val="p"/>
                  </m:rPr>
                  <m:t>ref</m:t>
                </m:r>
              </m:sub>
            </m:sSub>
            <m:r>
              <m:t>−T</m:t>
            </m:r>
          </m:num>
          <m:den>
            <m:sSub>
              <m:e>
                <m:r>
                  <m:t>T</m:t>
                </m:r>
              </m:e>
              <m:sub>
                <m:r>
                  <m:rPr>
                    <m:sty m:val="p"/>
                  </m:rPr>
                  <m:t>ref</m:t>
                </m:r>
              </m:sub>
            </m:sSub>
          </m:den>
        </m:f>
        <m:r>
          <m:t>,−1,+1)+0.2⋅(1−</m:t>
        </m:r>
        <m:r>
          <m:rPr>
            <m:sty m:val="p"/>
          </m:rPr>
          <m:t>min</m:t>
        </m:r>
        <m:r>
          <m:t>(1,</m:t>
        </m:r>
        <m:f>
          <m:fPr>
            <m:type m:val="bar"/>
          </m:fPr>
          <m:num>
            <m:r>
              <m:rPr>
                <m:sty m:val="p"/>
              </m:rPr>
              <m:t>CV</m:t>
            </m:r>
          </m:num>
          <m:den>
            <m:r>
              <m:t>0.5</m:t>
            </m:r>
          </m:den>
        </m:f>
        <m:r>
          <m:t>))−0.2⋅</m:t>
        </m:r>
        <m:r>
          <m:rPr>
            <m:sty m:val="p"/>
          </m:rPr>
          <m:t>min</m:t>
        </m:r>
        <m:r>
          <m:t>(1,</m:t>
        </m:r>
        <m:f>
          <m:fPr>
            <m:type m:val="bar"/>
          </m:fPr>
          <m:num>
            <m:r>
              <m:rPr>
                <m:sty m:val="p"/>
              </m:rPr>
              <m:t>spill</m:t>
            </m:r>
          </m:num>
          <m:den>
            <m:r>
              <m:t>0.10</m:t>
            </m:r>
          </m:den>
        </m:f>
        <m:r>
          <m:t>)−1.0⋅</m:t>
        </m:r>
        <m:sSub>
          <m:e>
            <m:r>
              <m:t>1</m:t>
            </m:r>
          </m:e>
          <m:sub>
            <m:r>
              <m:rPr>
                <m:sty m:val="p"/>
              </m:rPr>
              <m:t>fail</m:t>
            </m:r>
          </m:sub>
        </m:sSub>
      </m:oMath>
      <w:r>
        <w:rPr>
          <w:sz w:val="20"/>
          <w:szCs w:val="20"/>
        </w:rPr>
        <w:t xml:space="preserve"/>
        <w:tab/>
        <w:t xml:space="preserve">(1)</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Here T is the measured execution time, T_ref the calibrated default-configuration median for the run's family and scale, CV the task-duration coefficient of variation, spill the spilled-to-input byte ratio, and 1[fail] is 1 for a failed or timed-out run (reward exactly −1) and 0 otherwise. Learning is ε-greedy tabular Q-learning (α = 0.2, γ = 0.0 bandit mode, ε 1.0 → 0.05 at 0.95/episode) with the standard update (2), where r is the episode's R3 reward, and the exploration schedule (3) over episode index e [3][4]:</w:t>
      </w:r>
    </w:p>
    <w:p w:rsidR="00A7482C" w:rsidRDefault="00A7482C" w:rsidP="00A7482C">
      <w:pPr>
        <w:pBdr>
          <w:top w:val="nil"/>
          <w:left w:val="nil"/>
          <w:bottom w:val="nil"/>
          <w:right w:val="nil"/>
          <w:between w:val="nil"/>
        </w:pBdr>
        <w:tabs>
          <w:tab w:val="right" w:pos="4320"/>
        </w:tabs>
        <w:spacing w:before="120" w:after="120"/>
        <w:rPr>
          <w:sz w:val="20"/>
          <w:szCs w:val="20"/>
        </w:rPr>
      </w:pPr>
      <m:oMath>
        <m:r>
          <m:t>Q(s,a)←Q(s,a)+α⋅[r−Q(s,a)]</m:t>
        </m:r>
      </m:oMath>
      <w:r>
        <w:rPr>
          <w:sz w:val="20"/>
          <w:szCs w:val="20"/>
        </w:rPr>
        <w:t xml:space="preserve"/>
        <w:tab/>
        <w:t xml:space="preserve">(2)</w:t>
      </w:r>
    </w:p>
    <w:p w:rsidR="00A7482C" w:rsidRDefault="00A7482C" w:rsidP="00A7482C">
      <w:pPr>
        <w:pBdr>
          <w:top w:val="nil"/>
          <w:left w:val="nil"/>
          <w:bottom w:val="nil"/>
          <w:right w:val="nil"/>
          <w:between w:val="nil"/>
        </w:pBdr>
        <w:tabs>
          <w:tab w:val="right" w:pos="4320"/>
        </w:tabs>
        <w:spacing w:before="120" w:after="120"/>
        <w:rPr>
          <w:sz w:val="20"/>
          <w:szCs w:val="20"/>
        </w:rPr>
      </w:pPr>
      <m:oMath>
        <m:sSub>
          <m:e>
            <m:r>
              <m:t>ε</m:t>
            </m:r>
          </m:e>
          <m:sub>
            <m:r>
              <m:t>e</m:t>
            </m:r>
          </m:sub>
        </m:sSub>
        <m:r>
          <m:t>=</m:t>
        </m:r>
        <m:r>
          <m:rPr>
            <m:sty m:val="p"/>
          </m:rPr>
          <m:t>max</m:t>
        </m:r>
        <m:r>
          <m:t>(0.05,1.0⋅</m:t>
        </m:r>
        <m:sSup>
          <m:e>
            <m:r>
              <m:t>0.95</m:t>
            </m:r>
          </m:e>
          <m:sup>
            <m:r>
              <m:t>e</m:t>
            </m:r>
          </m:sup>
        </m:sSup>
        <m:r>
          <m:t>)</m:t>
        </m:r>
      </m:oMath>
      <w:r>
        <w:rPr>
          <w:sz w:val="20"/>
          <w:szCs w:val="20"/>
        </w:rPr>
        <w:t xml:space="preserve"/>
        <w:tab/>
        <w:t xml:space="preserve">(3)</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Offline initialization (Q0) seeds every table entry from the median EXP-002 outcomes before the first online episode, so learning starts informed rather than blank; training then proceeds in epochs (full passes over the cell cycle) with checkpoints every 25 episodes and early stopping after 2 stable epochs. Failed episodes update the table at r = −1 rather than being skipped — the mechanism by which the agent learns to avoid pathological configurations.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Offline initialization deserves detail because it carries much of the sample efficiency. Q0 is built exclusively from authorized EXP-002 TRAIN records: per (state, action) cell, the median realized reward becomes the initial Q-value, with evidence-free pairs set optimistically to 0.5 to encourage visitation. Aggregation is median-based (the project's primary statistic), provenance records which grid observations back each entry, and the init is keyed to state-v1.5 keys — which is also why a hypothetical multi-step schema would not inherit it. Bandit mode (γ = 0.0) is the frozen default, not a simplification of convenience: with single-decision episodes the bootstrapping target never activates (0 of 232 recorded training executions ever reached it), and enabling γ = 0.9 would require a non-terminal environment path, per-phase metrics and calibrations, and a new state schema — a build, not a flag, correctly gated NO with five written reopen conditions. The early-stopping rule is documented explicitly as a budget-saving heuristic, never as convergence evidence, a distinction three project audits enforce so the stopping rule cannot be misread as a learning claim.</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Three pressures from the RL literature explain the formulation. Reward design is the main lever for steering learning and a main source of unintended behaviour, which is why reward engineering and shaping now warrant their own taxonomy [95]; R3 keeps its terms few, bounded and frozen, and the A3 ablation measures how much they matter. Balancing exploration against exploitation under uncertainty remains open even for deep recurrent agents [96]; with a few hundred executions, ε-greedy with a decaying floor is the conservative choice. Sample cost dominates: offline RL learns from static datasets because online interaction is expensive or risky [97][74], and Q0 initialization from the EXP-002 grid is a small step in that direction. A table also keeps the policy inspectable — tabular agents have matched deep Q-learning's reward on a perturbed planning task while remaining explainable [98] — whereas deep policies need dedicated verification techniques [99]. Safety enters as hard guards rather than learned penalties (failure scores −1; the budget guard caps exploration), in the spirit of safe RL that constrains the explored region [100].</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One property of the frozen state encoder became decisive during evaluation. Every frozen TEST input — including the "large" scale, whose datasets measure 295–386 MiB — falls below the 512 MiB boundary of size bin S, and a fresh evaluation episode uses the </w:t>
      </w:r>
      <w:r>
        <w:rPr>
          <w:rFonts w:ascii="Consolas" w:hAnsi="Consolas" w:cs="Consolas" w:eastAsia="Consolas"/>
          <w:sz w:val="20"/>
          <w:szCs w:val="20"/>
        </w:rPr>
        <w:t xml:space="preserve">le0</w:t>
      </w:r>
      <w:r>
        <w:rPr>
          <w:sz w:val="20"/>
          <w:szCs w:val="20"/>
        </w:rPr>
        <w:t xml:space="preserve"> feedback bin. On TEST the three replicate policies therefore reach only five states (one per workload class) and act as a single per-family lookup: agg and join → </w:t>
      </w:r>
      <w:r>
        <w:rPr>
          <w:rFonts w:ascii="Consolas" w:hAnsi="Consolas" w:cs="Consolas" w:eastAsia="Consolas"/>
          <w:sz w:val="20"/>
          <w:szCs w:val="20"/>
        </w:rPr>
        <w:t xml:space="preserve">G-p8-sp16</w:t>
      </w:r>
      <w:r>
        <w:rPr>
          <w:sz w:val="20"/>
          <w:szCs w:val="20"/>
        </w:rPr>
        <w:t xml:space="preserve">, rdd_sort → </w:t>
      </w:r>
      <w:r>
        <w:rPr>
          <w:rFonts w:ascii="Consolas" w:hAnsi="Consolas" w:cs="Consolas" w:eastAsia="Consolas"/>
          <w:sz w:val="20"/>
          <w:szCs w:val="20"/>
        </w:rPr>
        <w:t xml:space="preserve">G-p4-sp128</w:t>
      </w:r>
      <w:r>
        <w:rPr>
          <w:sz w:val="20"/>
          <w:szCs w:val="20"/>
        </w:rPr>
        <w:t xml:space="preserve">, skew_join → </w:t>
      </w:r>
      <w:r>
        <w:rPr>
          <w:rFonts w:ascii="Consolas" w:hAnsi="Consolas" w:cs="Consolas" w:eastAsia="Consolas"/>
          <w:sz w:val="20"/>
          <w:szCs w:val="20"/>
        </w:rPr>
        <w:t xml:space="preserve">G-p2-sp16</w:t>
      </w:r>
      <w:r>
        <w:rPr>
          <w:sz w:val="20"/>
          <w:szCs w:val="20"/>
        </w:rPr>
        <w:t xml:space="preserve">, mixed → </w:t>
      </w:r>
      <w:r>
        <w:rPr>
          <w:rFonts w:ascii="Consolas" w:hAnsi="Consolas" w:cs="Consolas" w:eastAsia="Consolas"/>
          <w:sz w:val="20"/>
          <w:szCs w:val="20"/>
        </w:rPr>
        <w:t xml:space="preserve">G-p8-sp32</w:t>
      </w:r>
      <w:r>
        <w:rPr>
          <w:sz w:val="20"/>
          <w:szCs w:val="20"/>
        </w:rPr>
        <w:t xml:space="preserve">, identical across all three seeds. The cross-seed disagreement measured on training states (M8 = 0.20) does not appear on TEST, and the size dimension of the state never varies anywhere in the study — recorded in the Day-32 coverage audit and re-verified with zero executions before EXP-013 (DEC-053).</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339024"/>
            <wp:docPr id="11279" name="Picture 11279"/>
            <wp:cNvGraphicFramePr>
              <a:graphicFrameLocks noChangeAspect="1"/>
            </wp:cNvGraphicFramePr>
            <a:graphic>
              <a:graphicData uri="http://schemas.openxmlformats.org/drawingml/2006/picture">
                <pic:pic>
                  <pic:nvPicPr>
                    <pic:cNvPr id="0" name="Fig 09 Reinforcement Learning Workflow.png"/>
                    <pic:cNvPicPr/>
                  </pic:nvPicPr>
                  <pic:blipFill>
                    <a:blip r:embed="rId41"/>
                    <a:stretch>
                      <a:fillRect/>
                    </a:stretch>
                  </pic:blipFill>
                  <pic:spPr>
                    <a:xfrm>
                      <a:off x="0" y="0"/>
                      <a:ext cx="5669280" cy="2339024"/>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2" w:name="_AdaFig9"/>
      <w:r>
        <w:rPr>
          <w:rFonts w:ascii="Helvetica Neue" w:eastAsia="Helvetica Neue" w:hAnsi="Helvetica Neue" w:cs="Helvetica Neue"/>
          <w:b/>
          <w:bCs/>
          <w:color w:val="00629B"/>
          <w:sz w:val="14"/>
          <w:szCs w:val="14"/>
        </w:rPr>
        <w:t xml:space="preserve">FIGURE 9. </w:t>
      </w:r>
      <w:r>
        <w:rPr>
          <w:rFonts w:ascii="Helvetica Neue" w:eastAsia="Helvetica Neue" w:hAnsi="Helvetica Neue" w:cs="Helvetica Neue"/>
          <w:b/>
          <w:bCs/>
          <w:sz w:val="14"/>
          <w:szCs w:val="14"/>
        </w:rPr>
        <w:t xml:space="preserve">Reinforcement Learning Workflow</w:t>
      </w:r>
      <w:bookmarkEnd w:id="122"/>
    </w:p>
    <w:p>
      <w:pPr>
        <w:keepNext/>
        <w:jc w:val="center"/>
      </w:pPr>
      <w:r>
        <w:drawing>
          <wp:inline xmlns:a="http://schemas.openxmlformats.org/drawingml/2006/main" xmlns:pic="http://schemas.openxmlformats.org/drawingml/2006/picture">
            <wp:extent cx="5669280" cy="2448368"/>
            <wp:docPr id="11280" name="Picture 11280"/>
            <wp:cNvGraphicFramePr>
              <a:graphicFrameLocks noChangeAspect="1"/>
            </wp:cNvGraphicFramePr>
            <a:graphic>
              <a:graphicData uri="http://schemas.openxmlformats.org/drawingml/2006/picture">
                <pic:pic>
                  <pic:nvPicPr>
                    <pic:cNvPr id="0" name="Fig 10 RL Agent Interaction Model.png"/>
                    <pic:cNvPicPr/>
                  </pic:nvPicPr>
                  <pic:blipFill>
                    <a:blip r:embed="rId42"/>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3" w:name="_AdaFig10"/>
      <w:r>
        <w:rPr>
          <w:rFonts w:ascii="Helvetica Neue" w:eastAsia="Helvetica Neue" w:hAnsi="Helvetica Neue" w:cs="Helvetica Neue"/>
          <w:b/>
          <w:bCs/>
          <w:color w:val="00629B"/>
          <w:sz w:val="14"/>
          <w:szCs w:val="14"/>
        </w:rPr>
        <w:t xml:space="preserve">FIGURE 10. </w:t>
      </w:r>
      <w:r>
        <w:rPr>
          <w:rFonts w:ascii="Helvetica Neue" w:eastAsia="Helvetica Neue" w:hAnsi="Helvetica Neue" w:cs="Helvetica Neue"/>
          <w:b/>
          <w:bCs/>
          <w:sz w:val="14"/>
          <w:szCs w:val="14"/>
        </w:rPr>
        <w:t xml:space="preserve">RL Agent Interaction Model</w:t>
      </w:r>
      <w:bookmarkEnd w:id="123"/>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24" w:name="_AdaSec8"/>
      <w:r>
        <w:rPr>
          <w:rFonts w:ascii="Helvetica Neue" w:eastAsia="Helvetica Neue" w:hAnsi="Helvetica Neue" w:cs="Helvetica Neue"/>
          <w:b/>
          <w:bCs/>
          <w:color w:val="00629B"/>
          <w:sz w:val="18"/>
          <w:szCs w:val="18"/>
        </w:rPr>
        <w:t xml:space="preserve">VIII. ADAPTIVE RESOURCE ALLOCATION AND SCHEDULING FRAMEWORK</w:t>
      </w:r>
      <w:bookmarkEnd w:id="124"/>
    </w:p>
    <w:p w:rsidR="00A7482C" w:rsidRDefault="00A7482C" w:rsidP="00A7482C">
      <w:pPr>
        <w:pBdr>
          <w:top w:val="nil"/>
          <w:left w:val="nil"/>
          <w:bottom w:val="nil"/>
          <w:right w:val="nil"/>
          <w:between w:val="nil"/>
        </w:pBdr>
        <w:jc w:val="both"/>
        <w:rPr>
          <w:sz w:val="20"/>
          <w:szCs w:val="20"/>
        </w:rPr>
      </w:pPr>
      <w:r>
        <w:rPr>
          <w:sz w:val="20"/>
          <w:szCs w:val="20"/>
        </w:rPr>
        <w:t xml:space="preserve">Decisions become performance in the scheduling layer. Fig. 11 shows the allocation path: the chosen action resolves to a concrete Spark configuration (shuffle partitions + </w:t>
      </w:r>
      <w:r>
        <w:rPr>
          <w:rFonts w:ascii="Consolas" w:hAnsi="Consolas" w:cs="Consolas" w:eastAsia="Consolas"/>
          <w:sz w:val="20"/>
          <w:szCs w:val="20"/>
        </w:rPr>
        <w:t xml:space="preserve">local[N]</w:t>
      </w:r>
      <w:r>
        <w:rPr>
          <w:sz w:val="20"/>
          <w:szCs w:val="20"/>
        </w:rPr>
        <w:t xml:space="preserve"> parallelism, restarting the session when parallelism changes), tasks are allocated to executors, and the monitoring layer records the outcome that becomes the next state's feedback. Around the learned policy sit the strategies that double as evaluation baselines and as deployable fallback policies, which Fig. 12 groups into static and search-or-learned arms evaluated on the same frozen test cells: B0 (Spark defaults, AQE-off), B0′ (AQE-on reference), B1 (one globally tuned config), B2 (per-family tuned configs), B3 (rule-based: partitions from input size, parallelism from core count), and B4 (equal-budget random search) [34]; Table 6 lists each policy and its status.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Two honest findings shape this layer's presentation. First, the rule heuristic B3 collapsed analytically onto B1 at the studied data volumes (clamp yields 16 partitions at every scale; confirmed byte-identical on 7/7 executed validation cells, X1), so the "heuristics" bar in any comparison is effectively the static tuning — recorded as a finding, not engineered around. Second, the AQE-on arm B0′ was executed as the X6 pilot (DEC-047, 35 runs) and came back mixed — one above-noise cell (</w:t>
      </w:r>
      <w:r>
        <w:rPr>
          <w:rFonts w:ascii="Consolas" w:hAnsi="Consolas" w:cs="Consolas" w:eastAsia="Consolas"/>
          <w:sz w:val="20"/>
          <w:szCs w:val="20"/>
        </w:rPr>
        <w:t xml:space="preserve">F2_join|large</w:t>
      </w:r>
      <w:r>
        <w:rPr>
          <w:sz w:val="20"/>
          <w:szCs w:val="20"/>
        </w:rPr>
        <w:t xml:space="preserve">, −14.24% favoring B0′), the rest inside noise or reversed — but EXP-013's interleaved re-test found AQE-on faster beyond noise on 0 of 6 cells (</w:t>
      </w:r>
      <w:r>
        <w:rPr>
          <w:rFonts w:ascii="Consolas" w:hAnsi="Consolas" w:cs="Consolas" w:eastAsia="Consolas"/>
          <w:sz w:val="20"/>
          <w:szCs w:val="20"/>
        </w:rPr>
        <w:t xml:space="preserve">F2_join|large</w:t>
      </w:r>
      <w:r>
        <w:rPr>
          <w:sz w:val="20"/>
          <w:szCs w:val="20"/>
        </w:rPr>
        <w:t xml:space="preserve"> +1.8%), so that lead is retracted and no complementarity claim is made; pooling with RL arms stays forbidden. Job prioritization and cluster tuning beyond the 12-action grid (broadcast thresholds, caching, memory fractions) are designed extension points, exercised only in the derived A4 ablation.</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25" w:name="_AdaTab6"/>
      <w:r>
        <w:rPr>
          <w:smallCaps/>
          <w:sz w:val="16"/>
          <w:szCs w:val="16"/>
        </w:rPr>
        <w:t xml:space="preserve">TABLE 6</w:t>
      </w:r>
      <w:bookmarkEnd w:id="125"/>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Resource Management Policies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Policy</w:t>
            </w:r>
          </w:p>
        </w:tc>
        <w:tc>
          <w:tcPr>
            <w:tcW w:type="dxa" w:w="3009"/>
          </w:tcPr>
          <w:p>
            <w:pPr>
              <w:keepNext/>
            </w:pPr>
            <w:r>
              <w:rPr>
                <w:b/>
                <w:sz w:val="16"/>
                <w:szCs w:val="16"/>
              </w:rPr>
              <w:t xml:space="preserve">Rule</w:t>
            </w:r>
          </w:p>
        </w:tc>
        <w:tc>
          <w:tcPr>
            <w:tcW w:type="dxa" w:w="3009"/>
          </w:tcPr>
          <w:p>
            <w:pPr>
              <w:keepNext/>
            </w:pPr>
            <w:r>
              <w:rPr>
                <w:b/>
                <w:sz w:val="16"/>
                <w:szCs w:val="16"/>
              </w:rPr>
              <w:t xml:space="preserve">Status</w:t>
            </w:r>
          </w:p>
        </w:tc>
      </w:tr>
      <w:tr>
        <w:trPr>
          <w:cantSplit/>
        </w:trPr>
        <w:tc>
          <w:tcPr>
            <w:tcW w:type="dxa" w:w="3009"/>
          </w:tcPr>
          <w:p>
            <w:pPr>
              <w:keepNext/>
            </w:pPr>
            <w:r>
              <w:rPr>
                <w:sz w:val="16"/>
                <w:szCs w:val="16"/>
              </w:rPr>
              <w:t xml:space="preserve">B0 default</w:t>
            </w:r>
          </w:p>
        </w:tc>
        <w:tc>
          <w:tcPr>
            <w:tcW w:type="dxa" w:w="3009"/>
          </w:tcPr>
          <w:p>
            <w:pPr>
              <w:keepNext/>
            </w:pPr>
            <w:r>
              <w:rPr>
                <w:sz w:val="16"/>
                <w:szCs w:val="16"/>
              </w:rPr>
              <w:t xml:space="preserve">Factory settings, AQE-off</w:t>
            </w:r>
          </w:p>
        </w:tc>
        <w:tc>
          <w:tcPr>
            <w:tcW w:type="dxa" w:w="3009"/>
          </w:tcPr>
          <w:p>
            <w:pPr>
              <w:keepNext/>
            </w:pPr>
            <w:r>
              <w:rPr>
                <w:sz w:val="16"/>
                <w:szCs w:val="16"/>
              </w:rPr>
              <w:t xml:space="preserve">Executed (baseline)</w:t>
            </w:r>
          </w:p>
        </w:tc>
      </w:tr>
      <w:tr>
        <w:trPr>
          <w:cantSplit/>
        </w:trPr>
        <w:tc>
          <w:tcPr>
            <w:tcW w:type="dxa" w:w="3009"/>
          </w:tcPr>
          <w:p>
            <w:pPr>
              <w:keepNext/>
            </w:pPr>
            <w:r>
              <w:rPr>
                <w:sz w:val="16"/>
                <w:szCs w:val="16"/>
              </w:rPr>
              <w:t xml:space="preserve">B0′ AQE-on</w:t>
            </w:r>
          </w:p>
        </w:tc>
        <w:tc>
          <w:tcPr>
            <w:tcW w:type="dxa" w:w="3009"/>
          </w:tcPr>
          <w:p>
            <w:pPr>
              <w:keepNext/>
            </w:pPr>
            <w:r>
              <w:rPr>
                <w:sz w:val="16"/>
                <w:szCs w:val="16"/>
              </w:rPr>
              <w:t xml:space="preserve">B0 + </w:t>
            </w:r>
            <w:r>
              <w:rPr>
                <w:rFonts w:ascii="Consolas" w:hAnsi="Consolas" w:cs="Consolas" w:eastAsia="Consolas"/>
                <w:sz w:val="16"/>
                <w:szCs w:val="16"/>
              </w:rPr>
              <w:t xml:space="preserve">aqe_enabled=true</w:t>
            </w:r>
            <w:r>
              <w:rPr>
                <w:sz w:val="16"/>
                <w:szCs w:val="16"/>
              </w:rPr>
              <w:t xml:space="preserve">, nothing else</w:t>
            </w:r>
          </w:p>
        </w:tc>
        <w:tc>
          <w:tcPr>
            <w:tcW w:type="dxa" w:w="3009"/>
          </w:tcPr>
          <w:p>
            <w:pPr>
              <w:keepNext/>
            </w:pPr>
            <w:r>
              <w:rPr>
                <w:sz w:val="16"/>
                <w:szCs w:val="16"/>
              </w:rPr>
              <w:t xml:space="preserve">X6 pilot (DEC-047) mixed; EXP-013 re-test 0/6 faster, lead retracted</w:t>
            </w:r>
          </w:p>
        </w:tc>
      </w:tr>
      <w:tr>
        <w:trPr>
          <w:cantSplit/>
        </w:trPr>
        <w:tc>
          <w:tcPr>
            <w:tcW w:type="dxa" w:w="3009"/>
          </w:tcPr>
          <w:p>
            <w:pPr>
              <w:keepNext/>
            </w:pPr>
            <w:r>
              <w:rPr>
                <w:sz w:val="16"/>
                <w:szCs w:val="16"/>
              </w:rPr>
              <w:t xml:space="preserve">B1 static-global</w:t>
            </w:r>
          </w:p>
        </w:tc>
        <w:tc>
          <w:tcPr>
            <w:tcW w:type="dxa" w:w="3009"/>
          </w:tcPr>
          <w:p>
            <w:pPr>
              <w:keepNext/>
            </w:pPr>
            <w:r>
              <w:rPr>
                <w:rFonts w:ascii="Consolas" w:hAnsi="Consolas" w:cs="Consolas" w:eastAsia="Consolas"/>
                <w:sz w:val="16"/>
                <w:szCs w:val="16"/>
              </w:rPr>
              <w:t xml:space="preserve">G-p8-sp16</w:t>
            </w:r>
            <w:r>
              <w:rPr>
                <w:sz w:val="16"/>
                <w:szCs w:val="16"/>
              </w:rPr>
              <w:t xml:space="preserve"> (validation-frozen)</w:t>
            </w:r>
          </w:p>
        </w:tc>
        <w:tc>
          <w:tcPr>
            <w:tcW w:type="dxa" w:w="3009"/>
          </w:tcPr>
          <w:p>
            <w:pPr>
              <w:keepNext/>
            </w:pPr>
            <w:r>
              <w:rPr>
                <w:sz w:val="16"/>
                <w:szCs w:val="16"/>
              </w:rPr>
              <w:t xml:space="preserve">Executed; best 6-cell sum</w:t>
            </w:r>
          </w:p>
        </w:tc>
      </w:tr>
      <w:tr>
        <w:trPr>
          <w:cantSplit/>
        </w:trPr>
        <w:tc>
          <w:tcPr>
            <w:tcW w:type="dxa" w:w="3009"/>
          </w:tcPr>
          <w:p>
            <w:pPr>
              <w:keepNext/>
            </w:pPr>
            <w:r>
              <w:rPr>
                <w:sz w:val="16"/>
                <w:szCs w:val="16"/>
              </w:rPr>
              <w:t xml:space="preserve">B2 static-per-family</w:t>
            </w:r>
          </w:p>
        </w:tc>
        <w:tc>
          <w:tcPr>
            <w:tcW w:type="dxa" w:w="3009"/>
          </w:tcPr>
          <w:p>
            <w:pPr>
              <w:keepNext/>
            </w:pPr>
            <w:r>
              <w:rPr>
                <w:sz w:val="16"/>
                <w:szCs w:val="16"/>
              </w:rPr>
              <w:t xml:space="preserve">Best validation config per family</w:t>
            </w:r>
          </w:p>
        </w:tc>
        <w:tc>
          <w:tcPr>
            <w:tcW w:type="dxa" w:w="3009"/>
          </w:tcPr>
          <w:p>
            <w:pPr>
              <w:keepNext/>
            </w:pPr>
            <w:r>
              <w:rPr>
                <w:sz w:val="16"/>
                <w:szCs w:val="16"/>
              </w:rPr>
              <w:t xml:space="preserve">Executed (3 eligible cells)</w:t>
            </w:r>
          </w:p>
        </w:tc>
      </w:tr>
      <w:tr>
        <w:trPr>
          <w:cantSplit/>
        </w:trPr>
        <w:tc>
          <w:tcPr>
            <w:tcW w:type="dxa" w:w="3009"/>
          </w:tcPr>
          <w:p>
            <w:pPr>
              <w:keepNext/>
            </w:pPr>
            <w:r>
              <w:rPr>
                <w:sz w:val="16"/>
                <w:szCs w:val="16"/>
              </w:rPr>
              <w:t xml:space="preserve">B3 size rule</w:t>
            </w:r>
          </w:p>
        </w:tc>
        <w:tc>
          <w:tcPr>
            <w:tcW w:type="dxa" w:w="3009"/>
          </w:tcPr>
          <w:p>
            <w:pPr>
              <w:keepNext/>
            </w:pPr>
            <w:r>
              <w:rPr>
                <w:rFonts w:ascii="Consolas" w:hAnsi="Consolas" w:cs="Consolas" w:eastAsia="Consolas"/>
                <w:sz w:val="16"/>
                <w:szCs w:val="16"/>
              </w:rPr>
              <w:t xml:space="preserve">clamp(input_GB × 7.45, 16, 128)</w:t>
            </w:r>
            <w:r>
              <w:rPr>
                <w:sz w:val="16"/>
                <w:szCs w:val="16"/>
              </w:rPr>
              <w:t xml:space="preserve"> + cores→parallelism</w:t>
            </w:r>
          </w:p>
        </w:tc>
        <w:tc>
          <w:tcPr>
            <w:tcW w:type="dxa" w:w="3009"/>
          </w:tcPr>
          <w:p>
            <w:pPr>
              <w:keepNext/>
            </w:pPr>
            <w:r>
              <w:rPr>
                <w:sz w:val="16"/>
                <w:szCs w:val="16"/>
              </w:rPr>
              <w:t xml:space="preserve">Analytic + confirmed 7/7 (X1); ≡ B1 here</w:t>
            </w:r>
          </w:p>
        </w:tc>
      </w:tr>
      <w:tr>
        <w:trPr>
          <w:cantSplit/>
        </w:trPr>
        <w:tc>
          <w:tcPr>
            <w:tcW w:type="dxa" w:w="3009"/>
          </w:tcPr>
          <w:p>
            <w:pPr>
              <w:keepNext/>
            </w:pPr>
            <w:r>
              <w:rPr>
                <w:sz w:val="16"/>
                <w:szCs w:val="16"/>
              </w:rPr>
              <w:t xml:space="preserve">B4 random search</w:t>
            </w:r>
          </w:p>
        </w:tc>
        <w:tc>
          <w:tcPr>
            <w:tcW w:type="dxa" w:w="3009"/>
          </w:tcPr>
          <w:p>
            <w:pPr>
              <w:keepNext/>
            </w:pPr>
            <w:r>
              <w:rPr>
                <w:sz w:val="16"/>
                <w:szCs w:val="16"/>
              </w:rPr>
              <w:t xml:space="preserve">84 TRAIN-calibrated draws, co-executed</w:t>
            </w:r>
          </w:p>
        </w:tc>
        <w:tc>
          <w:tcPr>
            <w:tcW w:type="dxa" w:w="3009"/>
          </w:tcPr>
          <w:p>
            <w:pPr>
              <w:keepNext/>
            </w:pPr>
            <w:r>
              <w:rPr>
                <w:sz w:val="16"/>
                <w:szCs w:val="16"/>
              </w:rPr>
              <w:t xml:space="preserve">Executed; same configuration as B1 on every TEST cell (A/A)</w:t>
            </w:r>
          </w:p>
        </w:tc>
      </w:tr>
      <w:tr>
        <w:trPr>
          <w:cantSplit/>
        </w:trPr>
        <w:tc>
          <w:tcPr>
            <w:tcW w:type="dxa" w:w="3009"/>
          </w:tcPr>
          <w:p>
            <w:r>
              <w:rPr>
                <w:sz w:val="16"/>
                <w:szCs w:val="16"/>
              </w:rPr>
              <w:t xml:space="preserve">RL-s0/s1/s2</w:t>
            </w:r>
          </w:p>
        </w:tc>
        <w:tc>
          <w:tcPr>
            <w:tcW w:type="dxa" w:w="3009"/>
          </w:tcPr>
          <w:p>
            <w:r>
              <w:rPr>
                <w:sz w:val="16"/>
                <w:szCs w:val="16"/>
              </w:rPr>
              <w:t xml:space="preserve">Frozen greedy Q policies (3 seeds)</w:t>
            </w:r>
          </w:p>
        </w:tc>
        <w:tc>
          <w:tcPr>
            <w:tcW w:type="dxa" w:w="3009"/>
          </w:tcPr>
          <w:p>
            <w:r>
              <w:rPr>
                <w:sz w:val="16"/>
                <w:szCs w:val="16"/>
              </w:rPr>
              <w:t xml:space="preserve">Separate arms (EXP-005); one TEST rule (EXP-013)</w:t>
            </w:r>
          </w:p>
        </w:tc>
      </w:tr>
    </w:tbl>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jc w:val="both"/>
        <w:rPr>
          <w:sz w:val="20"/>
          <w:szCs w:val="20"/>
        </w:rPr>
      </w:pPr>
      <w:r>
        <w:rPr>
          <w:sz w:val="20"/>
          <w:szCs w:val="20"/>
        </w:rPr>
        <w:t xml:space="preserve">Resolution mechanics are deliberately explicit. The winning action's shuffle level and parallelism level are written into a static configuration object validated against the frozen schema; parallelism changes trigger a session restart (Spark requires it), while partition-only changes apply in-session. The twice-consumed F5 cache is preserved across same-parallelism decisions and rebuilt after restarts, with rebuild cost landing inside the measured execution time rather than hidden beside it. Prioritization across queued decisions follows registration order with per-run provenance (queue index recorded), which is also how the F1_agg|large|s3 queue-order confound was detected and disclosed instead of averaged away. Cluster tuning beyond the grid — executor memory, serializer, spill thresholds — stays fixed precisely so the 12-action comparison measures configuration selection rather than platform drift.</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scheduling and autoscaling literature calibrates what a learned policy can be expected to deliver. Graph-based and load-aware DRL schedulers report gains over heuristics in simulated heterogeneous clusters [65][66], and RL schedulers for edge and cloud–fog settings target energy and latency [67][68]. Autoscaling shows the same pattern: RL threshold learning [76], recurrent RL for serverless functions [77] and sim-to-real transferred policies [78] compete with carefully engineered non-RL controllers — QoS-aware [79], predictive under VM performance variation [80], multi-loop [81], cost-adaptive [82] and decentralized [83] — that remain hard to beat. RL has also been applied to straggler detection in Spark [56] and to memory and cache allocation [71][72]. AdaSpark's comparison set is built with this in mind: the learner faces the best validation-frozen static configuration, a rule heuristic and an equal-budget random search, not only defaults.</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339024"/>
            <wp:docPr id="11281" name="Picture 11281"/>
            <wp:cNvGraphicFramePr>
              <a:graphicFrameLocks noChangeAspect="1"/>
            </wp:cNvGraphicFramePr>
            <a:graphic>
              <a:graphicData uri="http://schemas.openxmlformats.org/drawingml/2006/picture">
                <pic:pic>
                  <pic:nvPicPr>
                    <pic:cNvPr id="0" name="Fig 11 Dynamic Resource Allocation Model.png"/>
                    <pic:cNvPicPr/>
                  </pic:nvPicPr>
                  <pic:blipFill>
                    <a:blip r:embed="rId43"/>
                    <a:stretch>
                      <a:fillRect/>
                    </a:stretch>
                  </pic:blipFill>
                  <pic:spPr>
                    <a:xfrm>
                      <a:off x="0" y="0"/>
                      <a:ext cx="5669280" cy="2339024"/>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6" w:name="_AdaFig11"/>
      <w:r>
        <w:rPr>
          <w:rFonts w:ascii="Helvetica Neue" w:eastAsia="Helvetica Neue" w:hAnsi="Helvetica Neue" w:cs="Helvetica Neue"/>
          <w:b/>
          <w:bCs/>
          <w:color w:val="00629B"/>
          <w:sz w:val="14"/>
          <w:szCs w:val="14"/>
        </w:rPr>
        <w:t xml:space="preserve">FIGURE 11. </w:t>
      </w:r>
      <w:r>
        <w:rPr>
          <w:rFonts w:ascii="Helvetica Neue" w:eastAsia="Helvetica Neue" w:hAnsi="Helvetica Neue" w:cs="Helvetica Neue"/>
          <w:b/>
          <w:bCs/>
          <w:sz w:val="14"/>
          <w:szCs w:val="14"/>
        </w:rPr>
        <w:t xml:space="preserve">Dynamic Resource Allocation Model</w:t>
      </w:r>
      <w:bookmarkEnd w:id="126"/>
    </w:p>
    <w:p>
      <w:pPr>
        <w:keepNext/>
        <w:jc w:val="center"/>
      </w:pPr>
      <w:r>
        <w:drawing>
          <wp:inline xmlns:a="http://schemas.openxmlformats.org/drawingml/2006/main" xmlns:pic="http://schemas.openxmlformats.org/drawingml/2006/picture">
            <wp:extent cx="5669280" cy="2448368"/>
            <wp:docPr id="11282" name="Picture 11282"/>
            <wp:cNvGraphicFramePr>
              <a:graphicFrameLocks noChangeAspect="1"/>
            </wp:cNvGraphicFramePr>
            <a:graphic>
              <a:graphicData uri="http://schemas.openxmlformats.org/drawingml/2006/picture">
                <pic:pic>
                  <pic:nvPicPr>
                    <pic:cNvPr id="0" name="Fig 12 Adaptive Scheduling Framework.png"/>
                    <pic:cNvPicPr/>
                  </pic:nvPicPr>
                  <pic:blipFill>
                    <a:blip r:embed="rId44"/>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7" w:name="_AdaFig12"/>
      <w:r>
        <w:rPr>
          <w:rFonts w:ascii="Helvetica Neue" w:eastAsia="Helvetica Neue" w:hAnsi="Helvetica Neue" w:cs="Helvetica Neue"/>
          <w:b/>
          <w:bCs/>
          <w:color w:val="00629B"/>
          <w:sz w:val="14"/>
          <w:szCs w:val="14"/>
        </w:rPr>
        <w:t xml:space="preserve">FIGURE 12. </w:t>
      </w:r>
      <w:r>
        <w:rPr>
          <w:rFonts w:ascii="Helvetica Neue" w:eastAsia="Helvetica Neue" w:hAnsi="Helvetica Neue" w:cs="Helvetica Neue"/>
          <w:b/>
          <w:bCs/>
          <w:sz w:val="14"/>
          <w:szCs w:val="14"/>
        </w:rPr>
        <w:t xml:space="preserve">Adaptive Scheduling Framework</w:t>
      </w:r>
      <w:bookmarkEnd w:id="127"/>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28" w:name="_AdaSec9"/>
      <w:r>
        <w:rPr>
          <w:rFonts w:ascii="Helvetica Neue" w:eastAsia="Helvetica Neue" w:hAnsi="Helvetica Neue" w:cs="Helvetica Neue"/>
          <w:b/>
          <w:bCs/>
          <w:color w:val="00629B"/>
          <w:sz w:val="18"/>
          <w:szCs w:val="18"/>
        </w:rPr>
        <w:t xml:space="preserve">IX. SELF-TUNING PERFORMANCE OPTIMIZATION LAYER</w:t>
      </w:r>
      <w:bookmarkEnd w:id="128"/>
    </w:p>
    <w:p w:rsidR="00A7482C" w:rsidRDefault="00A7482C" w:rsidP="00A7482C">
      <w:pPr>
        <w:pBdr>
          <w:top w:val="nil"/>
          <w:left w:val="nil"/>
          <w:bottom w:val="nil"/>
          <w:right w:val="nil"/>
          <w:between w:val="nil"/>
        </w:pBdr>
        <w:jc w:val="both"/>
        <w:rPr>
          <w:sz w:val="20"/>
          <w:szCs w:val="20"/>
        </w:rPr>
      </w:pPr>
      <w:r>
        <w:rPr>
          <w:sz w:val="20"/>
          <w:szCs w:val="20"/>
        </w:rPr>
        <w:t xml:space="preserve">Self-tuning is the execution half of adaptation: partition optimization (the shuffle-partition axis of the action grid), executor configuration (the parallelism axis, via session restart), cache management for the F5 mixed pipeline's twice-consumed intermediate, and workload balancing across executors (Fig. 13). The parameter lifecycle (Fig. 14) runs calibrate → initialize (Q0) → adapt online → freeze → evaluate, with each transition gated: sensitivity before learning (EXP-002 gate), budget guard during learning (≤500), sealed test set during evaluation.</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ablation program tests which design choices earn their keep. A1/A2 (state variants) showed zero cross-seed greedy agreement in both representations — evidence that state design alone does not stabilize tabular policies at this sample density. The derived A3/A4 study recomputed 48 evidence pairs from the frozen EXP-002 store at zero execution cost: time-only reward agrees with R3's greedy choice on 4/4 states (differing on 8/48 pairs, all in </w:t>
      </w:r>
      <w:r>
        <w:rPr>
          <w:rFonts w:ascii="Consolas" w:hAnsi="Consolas" w:cs="Consolas" w:eastAsia="Consolas"/>
          <w:sz w:val="20"/>
          <w:szCs w:val="20"/>
        </w:rPr>
        <w:t xml:space="preserve">rdd_sort</w:t>
      </w:r>
      <w:r>
        <w:rPr>
          <w:sz w:val="20"/>
          <w:szCs w:val="20"/>
        </w:rPr>
        <w:t xml:space="preserve">), while the 4-action subset cannot reach the frozen B1 or two of three B2 configurations — a structural argument, measured rather than asserted, for keeping the full 12-action grid. Multi-step learning (A5, γ = 0.9) was gated NO before any build: the environment has no non-terminal path, the state has no phase field, and per-phase calibration exists nowhere — recorded with reopen conditions rather than silently dropped.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Cache management illustrates the layer's evidence-first style: rather than asserting caching benefits, the F5 pipeline's shared intermediate is timed inside the job, so any gain or loss appears in the primary metric automatically. Partition optimization carries the strongest measured result in the report (the EXP-002 gate), while executor configuration carries the subtlest — parallelism interacts with session restarts and cache lifetime, which is why the action grid varies both axes jointly instead of pretending they are independent. Workload balancing is observed through task-duration CV (an R3 term with reference 0.5) rather than controlled directly, keeping the layer's scope to parameters the grid actually sets. Together the ablations bound the design: state representation and reward shaping move little at this sample density, action granularity is load-bearing (the subset cannot reach the best static configs), and depth (multi-step) is a different system, not a larger one.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big-data self-tuning literature frames these choices. Online DRL tuners such as DeepCAT+ adapt continuously but pay a high online exploration cost [54]; data-size-aware tuners exploit the regularity of recurring jobs [53]; GAN- and search-based tuners explore large interacting parameter spaces offline [51][50]; and parallel-program auto-tuners model interdependent parameters explicitly [52]. Database tuning adds lessons on knob selection [58][59], joint tuning of several configuration spaces [60] and the gap between benchmark and production gains [64]. Bayesian optimization [89] and multi-objective hyperparameter optimization [88] supply the non-RL comparators a tuner should face — the role AdaSpark's equal-budget random search (B4) plays in this report.</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283" name="Picture 11283"/>
            <wp:cNvGraphicFramePr>
              <a:graphicFrameLocks noChangeAspect="1"/>
            </wp:cNvGraphicFramePr>
            <a:graphic>
              <a:graphicData uri="http://schemas.openxmlformats.org/drawingml/2006/picture">
                <pic:pic>
                  <pic:nvPicPr>
                    <pic:cNvPr id="0" name="Fig 13 Self-Tuning Architecture.png"/>
                    <pic:cNvPicPr/>
                  </pic:nvPicPr>
                  <pic:blipFill>
                    <a:blip r:embed="rId45"/>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29" w:name="_AdaFig13"/>
      <w:r>
        <w:rPr>
          <w:rFonts w:ascii="Helvetica Neue" w:eastAsia="Helvetica Neue" w:hAnsi="Helvetica Neue" w:cs="Helvetica Neue"/>
          <w:b/>
          <w:bCs/>
          <w:color w:val="00629B"/>
          <w:sz w:val="14"/>
          <w:szCs w:val="14"/>
        </w:rPr>
        <w:t xml:space="preserve">FIGURE 13. </w:t>
      </w:r>
      <w:r>
        <w:rPr>
          <w:rFonts w:ascii="Helvetica Neue" w:eastAsia="Helvetica Neue" w:hAnsi="Helvetica Neue" w:cs="Helvetica Neue"/>
          <w:b/>
          <w:bCs/>
          <w:sz w:val="14"/>
          <w:szCs w:val="14"/>
        </w:rPr>
        <w:t xml:space="preserve">Self-Tuning Architecture</w:t>
      </w:r>
      <w:bookmarkEnd w:id="129"/>
    </w:p>
    <w:p>
      <w:pPr>
        <w:keepNext/>
        <w:jc w:val="center"/>
      </w:pPr>
      <w:r>
        <w:drawing>
          <wp:inline xmlns:a="http://schemas.openxmlformats.org/drawingml/2006/main" xmlns:pic="http://schemas.openxmlformats.org/drawingml/2006/picture">
            <wp:extent cx="5669280" cy="2008613"/>
            <wp:docPr id="11284" name="Picture 11284"/>
            <wp:cNvGraphicFramePr>
              <a:graphicFrameLocks noChangeAspect="1"/>
            </wp:cNvGraphicFramePr>
            <a:graphic>
              <a:graphicData uri="http://schemas.openxmlformats.org/drawingml/2006/picture">
                <pic:pic>
                  <pic:nvPicPr>
                    <pic:cNvPr id="0" name="Fig 14 Parameter Optimization Lifecycle.png"/>
                    <pic:cNvPicPr/>
                  </pic:nvPicPr>
                  <pic:blipFill>
                    <a:blip r:embed="rId46"/>
                    <a:stretch>
                      <a:fillRect/>
                    </a:stretch>
                  </pic:blipFill>
                  <pic:spPr>
                    <a:xfrm>
                      <a:off x="0" y="0"/>
                      <a:ext cx="5669280" cy="2008613"/>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30" w:name="_AdaFig14"/>
      <w:r>
        <w:rPr>
          <w:rFonts w:ascii="Helvetica Neue" w:eastAsia="Helvetica Neue" w:hAnsi="Helvetica Neue" w:cs="Helvetica Neue"/>
          <w:b/>
          <w:bCs/>
          <w:color w:val="00629B"/>
          <w:sz w:val="14"/>
          <w:szCs w:val="14"/>
        </w:rPr>
        <w:t xml:space="preserve">FIGURE 14. </w:t>
      </w:r>
      <w:r>
        <w:rPr>
          <w:rFonts w:ascii="Helvetica Neue" w:eastAsia="Helvetica Neue" w:hAnsi="Helvetica Neue" w:cs="Helvetica Neue"/>
          <w:b/>
          <w:bCs/>
          <w:sz w:val="14"/>
          <w:szCs w:val="14"/>
        </w:rPr>
        <w:t xml:space="preserve">Parameter Optimization Lifecycle</w:t>
      </w:r>
      <w:bookmarkEnd w:id="130"/>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31" w:name="_AdaSec10"/>
      <w:r>
        <w:rPr>
          <w:rFonts w:ascii="Helvetica Neue" w:eastAsia="Helvetica Neue" w:hAnsi="Helvetica Neue" w:cs="Helvetica Neue"/>
          <w:b/>
          <w:bCs/>
          <w:color w:val="00629B"/>
          <w:sz w:val="18"/>
          <w:szCs w:val="18"/>
        </w:rPr>
        <w:t xml:space="preserve">X. EXPLAINABILITY AND DECISION INTELLIGENCE LAYER</w:t>
      </w:r>
      <w:bookmarkEnd w:id="131"/>
    </w:p>
    <w:p w:rsidR="00A7482C" w:rsidRDefault="00A7482C" w:rsidP="00A7482C">
      <w:pPr>
        <w:pBdr>
          <w:top w:val="nil"/>
          <w:left w:val="nil"/>
          <w:bottom w:val="nil"/>
          <w:right w:val="nil"/>
          <w:between w:val="nil"/>
        </w:pBdr>
        <w:jc w:val="both"/>
        <w:rPr>
          <w:sz w:val="20"/>
          <w:szCs w:val="20"/>
        </w:rPr>
      </w:pPr>
      <w:r>
        <w:rPr>
          <w:sz w:val="20"/>
          <w:szCs w:val="20"/>
        </w:rPr>
        <w:t xml:space="preserve">A policy the operator cannot inspect is a liability, so AdaSpark treats explainability as a layer rather than a paragraph. Fig. 15 shows its explainable-RL path (policy store, agreement check, replicate reporting, logged refusal) and Fig. 16 the decision-intelligence workflow that scores confidence, then decides or discloses, traces and audits. Every decision is traceable: the acting policy is a named checkpoint in the policy store (e.g., </w:t>
      </w:r>
      <w:r>
        <w:rPr>
          <w:rFonts w:ascii="Consolas" w:hAnsi="Consolas" w:cs="Consolas" w:eastAsia="Consolas"/>
          <w:sz w:val="20"/>
          <w:szCs w:val="20"/>
        </w:rPr>
        <w:t xml:space="preserve">b801f4a7df200b04</w:t>
      </w:r>
      <w:r>
        <w:rPr>
          <w:sz w:val="20"/>
          <w:szCs w:val="20"/>
        </w:rPr>
        <w:t xml:space="preserve">, 84 episodes, ε = 0.05), its Q-table is a plain JSON mapping states to action values, and the manifest behind it records code version, seeds, and cell coverage. No decision is ever a black-box output — the greedy action for any state can be read off the table and checked against the evidence density behind it (episodes per state per seed).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Confidence is quantified, not asserted. Equation (4) defines the decision-confidence score as cross-seed greedy-policy agreement — the fraction of evidence-bearing states on which independently trained replicates choose the same action:</w:t>
      </w:r>
    </w:p>
    <w:p w:rsidR="00A7482C" w:rsidRDefault="00A7482C" w:rsidP="00A7482C">
      <w:pPr>
        <w:pBdr>
          <w:top w:val="nil"/>
          <w:left w:val="nil"/>
          <w:bottom w:val="nil"/>
          <w:right w:val="nil"/>
          <w:between w:val="nil"/>
        </w:pBdr>
        <w:tabs>
          <w:tab w:val="right" w:pos="4320"/>
        </w:tabs>
        <w:spacing w:before="120" w:after="120"/>
        <w:rPr>
          <w:sz w:val="20"/>
          <w:szCs w:val="20"/>
        </w:rPr>
      </w:pPr>
      <m:oMath>
        <m:r>
          <m:rPr>
            <m:sty m:val="p"/>
          </m:rPr>
          <m:t>conf</m:t>
        </m:r>
        <m:r>
          <m:t>(s)=1[</m:t>
        </m:r>
        <m:sSubSup>
          <m:e>
            <m:r>
              <m:t>a</m:t>
            </m:r>
          </m:e>
          <m:sub>
            <m:r>
              <m:t>1</m:t>
            </m:r>
          </m:sub>
          <m:sup>
            <m:r>
              <m:t>*</m:t>
            </m:r>
          </m:sup>
        </m:sSubSup>
        <m:r>
          <m:t>(s)=⋯=</m:t>
        </m:r>
        <m:sSubSup>
          <m:e>
            <m:r>
              <m:t>a</m:t>
            </m:r>
          </m:e>
          <m:sub>
            <m:r>
              <m:t>k</m:t>
            </m:r>
          </m:sub>
          <m:sup>
            <m:r>
              <m:t>*</m:t>
            </m:r>
          </m:sup>
        </m:sSubSup>
        <m:r>
          <m:t>(s)],</m:t>
        </m:r>
        <m:r>
          <m:t>C=</m:t>
        </m:r>
        <m:f>
          <m:fPr>
            <m:type m:val="bar"/>
          </m:fPr>
          <m:num>
            <m:r>
              <m:t>1</m:t>
            </m:r>
          </m:num>
          <m:den>
            <m:d>
              <m:dPr>
                <m:begChr m:val="|"/>
                <m:sepChr m:val=""/>
                <m:endChr m:val="|"/>
              </m:dPr>
              <m:e>
                <m:sSub>
                  <m:e>
                    <m:r>
                      <m:t>S</m:t>
                    </m:r>
                  </m:e>
                  <m:sub>
                    <m:r>
                      <m:t>e</m:t>
                    </m:r>
                  </m:sub>
                </m:sSub>
              </m:e>
            </m:d>
          </m:den>
        </m:f>
        <m:nary>
          <m:naryPr>
            <m:chr m:val="∑"/>
            <m:limLoc m:val="undOvr"/>
            <m:grow m:val="1"/>
            <m:subHide m:val="off"/>
            <m:supHide m:val="on"/>
          </m:naryPr>
          <m:sub>
            <m:r>
              <m:t>s∈</m:t>
            </m:r>
            <m:sSub>
              <m:e>
                <m:r>
                  <m:t>S</m:t>
                </m:r>
              </m:e>
              <m:sub>
                <m:r>
                  <m:t>e</m:t>
                </m:r>
              </m:sub>
            </m:sSub>
          </m:sub>
          <m:sup/>
          <m:e>
            <m:r>
              <m:rPr>
                <m:sty m:val="p"/>
              </m:rPr>
              <m:t>conf</m:t>
            </m:r>
            <m:r>
              <m:t>(s)</m:t>
            </m:r>
          </m:e>
        </m:nary>
      </m:oMath>
      <w:r>
        <w:rPr>
          <w:sz w:val="20"/>
          <w:szCs w:val="20"/>
        </w:rPr>
        <w:t xml:space="preserve"/>
        <w:tab/>
        <w:t xml:space="preserve">(4)</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Here a*_i(s) = argmax_a Q_i(s,a) is replicate i's greedy action in state s, k the number of replicates (three), and S_e the set of states visited in every replicate's training run. Measured at C = 0.20 against a 0.70 threshold (M8, FAIL), this score did exactly what a confidence measure should do: it blocked the promotion of a single "winner" and forced the honest reporting of three replicate arms (DEC-015). Explainability here is therefore not visualization alone but decision intelligence — the system refusing to claim more than its evidence supports, with the refusal itself recorded.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explainable-RL literature separates explanations of a whole policy from explanations of single decisions, and feature-, policy- and outcome-oriented techniques from one another [101][102]. It argues for explanations that integrate several sources into a coherent account of an agent's behaviour, matched to the needs of whoever receives them [103]. Post-hoc attribution over a deep Q-network is one route [104]; inherently interpretable policies are another, and tabular RL has been chosen for high-stakes planning precisely because its policies can be read directly [98]. In power-distribution reconfiguration, transparency is reported as the precondition for operators to trust RL at all [105], and Industry 4.0 surveys make the same point for AI in production [106].</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AdaSpark sits at the interpretable end of that spectrum. Each decision can be explained at three levels without any post-hoc model: the policy level (the Q-table row for the current state), the evidence level (how many episodes back each Q-value) and the outcome level (the manifest of the executed configuration). Decision intelligence adds the confidence score of (4) and the decision log, which records when the system declined to promote a policy. Policy visualization needs no separate model either: the greedy-action table is the policy, and Figs. 23 and 24 visualize its training dynamics and its per-family performance against the baselines. The same transparency exposed this study's most important structural limitation — on TEST the policy reduces to five per-family rules (Section VII) — a fact a reader of the Q-tables can verify in minutes and a black-box policy would have hidden. Trustworthy-ML guidance asks for exactly this inspectability and documented limitation [92].</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285" name="Picture 11285"/>
            <wp:cNvGraphicFramePr>
              <a:graphicFrameLocks noChangeAspect="1"/>
            </wp:cNvGraphicFramePr>
            <a:graphic>
              <a:graphicData uri="http://schemas.openxmlformats.org/drawingml/2006/picture">
                <pic:pic>
                  <pic:nvPicPr>
                    <pic:cNvPr id="0" name="Fig 15 Explainable RL Framework.png"/>
                    <pic:cNvPicPr/>
                  </pic:nvPicPr>
                  <pic:blipFill>
                    <a:blip r:embed="rId47"/>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32" w:name="_AdaFig15"/>
      <w:r>
        <w:rPr>
          <w:rFonts w:ascii="Helvetica Neue" w:eastAsia="Helvetica Neue" w:hAnsi="Helvetica Neue" w:cs="Helvetica Neue"/>
          <w:b/>
          <w:bCs/>
          <w:color w:val="00629B"/>
          <w:sz w:val="14"/>
          <w:szCs w:val="14"/>
        </w:rPr>
        <w:t xml:space="preserve">FIGURE 15. </w:t>
      </w:r>
      <w:r>
        <w:rPr>
          <w:rFonts w:ascii="Helvetica Neue" w:eastAsia="Helvetica Neue" w:hAnsi="Helvetica Neue" w:cs="Helvetica Neue"/>
          <w:b/>
          <w:bCs/>
          <w:sz w:val="14"/>
          <w:szCs w:val="14"/>
        </w:rPr>
        <w:t xml:space="preserve">Explainable RL Framework</w:t>
      </w:r>
      <w:bookmarkEnd w:id="132"/>
    </w:p>
    <w:p>
      <w:pPr>
        <w:keepNext/>
        <w:jc w:val="center"/>
      </w:pPr>
      <w:r>
        <w:drawing>
          <wp:inline xmlns:a="http://schemas.openxmlformats.org/drawingml/2006/main" xmlns:pic="http://schemas.openxmlformats.org/drawingml/2006/picture">
            <wp:extent cx="5669280" cy="2119146"/>
            <wp:docPr id="11286" name="Picture 11286"/>
            <wp:cNvGraphicFramePr>
              <a:graphicFrameLocks noChangeAspect="1"/>
            </wp:cNvGraphicFramePr>
            <a:graphic>
              <a:graphicData uri="http://schemas.openxmlformats.org/drawingml/2006/picture">
                <pic:pic>
                  <pic:nvPicPr>
                    <pic:cNvPr id="0" name="Fig 16 Decision Intelligence Workflow.png"/>
                    <pic:cNvPicPr/>
                  </pic:nvPicPr>
                  <pic:blipFill>
                    <a:blip r:embed="rId48"/>
                    <a:stretch>
                      <a:fillRect/>
                    </a:stretch>
                  </pic:blipFill>
                  <pic:spPr>
                    <a:xfrm>
                      <a:off x="0" y="0"/>
                      <a:ext cx="5669280" cy="2119146"/>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33" w:name="_AdaFig16"/>
      <w:r>
        <w:rPr>
          <w:rFonts w:ascii="Helvetica Neue" w:eastAsia="Helvetica Neue" w:hAnsi="Helvetica Neue" w:cs="Helvetica Neue"/>
          <w:b/>
          <w:bCs/>
          <w:color w:val="00629B"/>
          <w:sz w:val="14"/>
          <w:szCs w:val="14"/>
        </w:rPr>
        <w:t xml:space="preserve">FIGURE 16. </w:t>
      </w:r>
      <w:r>
        <w:rPr>
          <w:rFonts w:ascii="Helvetica Neue" w:eastAsia="Helvetica Neue" w:hAnsi="Helvetica Neue" w:cs="Helvetica Neue"/>
          <w:b/>
          <w:bCs/>
          <w:sz w:val="14"/>
          <w:szCs w:val="14"/>
        </w:rPr>
        <w:t xml:space="preserve">Decision Intelligence Workflow</w:t>
      </w:r>
      <w:bookmarkEnd w:id="133"/>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34" w:name="_AdaSec11"/>
      <w:r>
        <w:rPr>
          <w:rFonts w:ascii="Helvetica Neue" w:eastAsia="Helvetica Neue" w:hAnsi="Helvetica Neue" w:cs="Helvetica Neue"/>
          <w:b/>
          <w:bCs/>
          <w:color w:val="00629B"/>
          <w:sz w:val="18"/>
          <w:szCs w:val="18"/>
        </w:rPr>
        <w:t xml:space="preserve">XI. MONITORING, FEEDBACK, AND LEARNING LAYER</w:t>
      </w:r>
      <w:bookmarkEnd w:id="134"/>
    </w:p>
    <w:p w:rsidR="00A7482C" w:rsidRDefault="00A7482C" w:rsidP="00A7482C">
      <w:pPr>
        <w:pBdr>
          <w:top w:val="nil"/>
          <w:left w:val="nil"/>
          <w:bottom w:val="nil"/>
          <w:right w:val="nil"/>
          <w:between w:val="nil"/>
        </w:pBdr>
        <w:jc w:val="both"/>
        <w:rPr>
          <w:sz w:val="20"/>
          <w:szCs w:val="20"/>
        </w:rPr>
      </w:pPr>
      <w:r>
        <w:rPr>
          <w:sz w:val="20"/>
          <w:szCs w:val="20"/>
        </w:rPr>
        <w:t xml:space="preserve">Monitoring is the MAPE-K sensor and the project's measurement instrument in one (Fig. 17; Table 7). Two arms instrument every run: a system-metrics sampler (host + process CPU/memory, retained at ≈3.0 samples per job-second with no starvation across 1,614 monitored runs) and Spark's own event log (COMPLETE status required for validity) [10][27]. A fixed metrics schema (execution time, task-duration CV, spill bytes, log status) is merged and validated per record; timing-validity is a per-record property checked against the runner clock, which is how the 4,842-run extension study holds zero deviations.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Feedback closes the loop in two timescales. Online, each episode's reward updates the Q-table under the budget guard; offline, the monitoring record supports the adjudication studies of Section XV — including the finding that repetitions are regime-structured episodes (lag-1 autocorrelation +0.58…+0.89; contention windows to 75% dispersion; CUSUM level shifts common across interleaved arms), which reframes "noise" as measurable host dynamics. A pre-registered paired re-measurement (EXP-014) confirmed the sampler's cost below 5% on six of seven cells but could not re-establish the event log's on four, so the event log is the arm whose cost still needs a larger study. Policy refinement is thus evidence-limited by design: when the record shows instability (M8 0.20), the layer reports replicates rather than refining toward a mirage.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Observability research on container-based and edge microservices faces the same trade-offs at larger scale — which signals to collect (metrics, logs, traces), at what granularity and at what cost [107][108] — and anomaly detection over high-dimensional operational data is a field of its own, with accuracy that degrades as volume and velocity grow [109]. In Spark, co-located applications interfere in ways only dedicated diagnosis reveals [44]. Learned components add two monitoring duties: catching the performance regressions a model introduces on some inputs while improving the average [62], and noticing workload shifts that invalidate a learned model [47]. AdaSpark covers the first through per-run validity and EXP-013's A/A control, which measures how far two executions of an identical configuration disagree under the evaluation design. It covers the second only in part: drift is measured (lag-1 autocorrelation, CUSUM shifts) but no online drift detector gates the policy — a limitation recorded in Section XX.</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35" w:name="_AdaTab7"/>
      <w:r>
        <w:rPr>
          <w:smallCaps/>
          <w:sz w:val="16"/>
          <w:szCs w:val="16"/>
        </w:rPr>
        <w:t xml:space="preserve">TABLE 7</w:t>
      </w:r>
      <w:bookmarkEnd w:id="135"/>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Monitoring Metrics and Indicators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Metric</w:t>
            </w:r>
          </w:p>
        </w:tc>
        <w:tc>
          <w:tcPr>
            <w:tcW w:type="dxa" w:w="3009"/>
          </w:tcPr>
          <w:p>
            <w:pPr>
              <w:keepNext/>
            </w:pPr>
            <w:r>
              <w:rPr>
                <w:b/>
                <w:sz w:val="16"/>
                <w:szCs w:val="16"/>
              </w:rPr>
              <w:t xml:space="preserve">Source</w:t>
            </w:r>
          </w:p>
        </w:tc>
        <w:tc>
          <w:tcPr>
            <w:tcW w:type="dxa" w:w="3009"/>
          </w:tcPr>
          <w:p>
            <w:pPr>
              <w:keepNext/>
            </w:pPr>
            <w:r>
              <w:rPr>
                <w:b/>
                <w:sz w:val="16"/>
                <w:szCs w:val="16"/>
              </w:rPr>
              <w:t xml:space="preserve">Used for</w:t>
            </w:r>
          </w:p>
        </w:tc>
      </w:tr>
      <w:tr>
        <w:trPr>
          <w:cantSplit/>
        </w:trPr>
        <w:tc>
          <w:tcPr>
            <w:tcW w:type="dxa" w:w="3009"/>
          </w:tcPr>
          <w:p>
            <w:pPr>
              <w:keepNext/>
            </w:pPr>
            <w:r>
              <w:rPr>
                <w:rFonts w:ascii="Consolas" w:hAnsi="Consolas" w:cs="Consolas" w:eastAsia="Consolas"/>
                <w:sz w:val="16"/>
                <w:szCs w:val="16"/>
              </w:rPr>
              <w:t xml:space="preserve">execution_time_s</w:t>
            </w:r>
            <w:r>
              <w:rPr>
                <w:sz w:val="16"/>
                <w:szCs w:val="16"/>
              </w:rPr>
              <w:t xml:space="preserve"> (runner clock)</w:t>
            </w:r>
          </w:p>
        </w:tc>
        <w:tc>
          <w:tcPr>
            <w:tcW w:type="dxa" w:w="3009"/>
          </w:tcPr>
          <w:p>
            <w:pPr>
              <w:keepNext/>
            </w:pPr>
            <w:r>
              <w:rPr>
                <w:sz w:val="16"/>
                <w:szCs w:val="16"/>
              </w:rPr>
              <w:t xml:space="preserve">Harness</w:t>
            </w:r>
          </w:p>
        </w:tc>
        <w:tc>
          <w:tcPr>
            <w:tcW w:type="dxa" w:w="3009"/>
          </w:tcPr>
          <w:p>
            <w:pPr>
              <w:keepNext/>
            </w:pPr>
            <w:r>
              <w:rPr>
                <w:sz w:val="16"/>
                <w:szCs w:val="16"/>
              </w:rPr>
              <w:t xml:space="preserve">Primary outcome; reward time term</w:t>
            </w:r>
          </w:p>
        </w:tc>
      </w:tr>
      <w:tr>
        <w:trPr>
          <w:cantSplit/>
        </w:trPr>
        <w:tc>
          <w:tcPr>
            <w:tcW w:type="dxa" w:w="3009"/>
          </w:tcPr>
          <w:p>
            <w:pPr>
              <w:keepNext/>
            </w:pPr>
            <w:r>
              <w:rPr>
                <w:rFonts w:ascii="Consolas" w:hAnsi="Consolas" w:cs="Consolas" w:eastAsia="Consolas"/>
                <w:sz w:val="16"/>
                <w:szCs w:val="16"/>
              </w:rPr>
              <w:t xml:space="preserve">task_duration_cv</w:t>
            </w:r>
          </w:p>
        </w:tc>
        <w:tc>
          <w:tcPr>
            <w:tcW w:type="dxa" w:w="3009"/>
          </w:tcPr>
          <w:p>
            <w:pPr>
              <w:keepNext/>
            </w:pPr>
            <w:r>
              <w:rPr>
                <w:sz w:val="16"/>
                <w:szCs w:val="16"/>
              </w:rPr>
              <w:t xml:space="preserve">Spark tasks</w:t>
            </w:r>
          </w:p>
        </w:tc>
        <w:tc>
          <w:tcPr>
            <w:tcW w:type="dxa" w:w="3009"/>
          </w:tcPr>
          <w:p>
            <w:pPr>
              <w:keepNext/>
            </w:pPr>
            <w:r>
              <w:rPr>
                <w:sz w:val="16"/>
                <w:szCs w:val="16"/>
              </w:rPr>
              <w:t xml:space="preserve">R3 imbalance term (ref 0.5)</w:t>
            </w:r>
          </w:p>
        </w:tc>
      </w:tr>
      <w:tr>
        <w:trPr>
          <w:cantSplit/>
        </w:trPr>
        <w:tc>
          <w:tcPr>
            <w:tcW w:type="dxa" w:w="3009"/>
          </w:tcPr>
          <w:p>
            <w:pPr>
              <w:keepNext/>
            </w:pPr>
            <w:r>
              <w:rPr>
                <w:rFonts w:ascii="Consolas" w:hAnsi="Consolas" w:cs="Consolas" w:eastAsia="Consolas"/>
                <w:sz w:val="16"/>
                <w:szCs w:val="16"/>
              </w:rPr>
              <w:t xml:space="preserve">spill_disk_bytes</w:t>
            </w:r>
            <w:r>
              <w:rPr>
                <w:sz w:val="16"/>
                <w:szCs w:val="16"/>
              </w:rPr>
              <w:t xml:space="preserve"> / input</w:t>
            </w:r>
          </w:p>
        </w:tc>
        <w:tc>
          <w:tcPr>
            <w:tcW w:type="dxa" w:w="3009"/>
          </w:tcPr>
          <w:p>
            <w:pPr>
              <w:keepNext/>
            </w:pPr>
            <w:r>
              <w:rPr>
                <w:sz w:val="16"/>
                <w:szCs w:val="16"/>
              </w:rPr>
              <w:t xml:space="preserve">Spark + manifest</w:t>
            </w:r>
          </w:p>
        </w:tc>
        <w:tc>
          <w:tcPr>
            <w:tcW w:type="dxa" w:w="3009"/>
          </w:tcPr>
          <w:p>
            <w:pPr>
              <w:keepNext/>
            </w:pPr>
            <w:r>
              <w:rPr>
                <w:sz w:val="16"/>
                <w:szCs w:val="16"/>
              </w:rPr>
              <w:t xml:space="preserve">R3 waste term (ref 0.10)</w:t>
            </w:r>
          </w:p>
        </w:tc>
      </w:tr>
      <w:tr>
        <w:trPr>
          <w:cantSplit/>
        </w:trPr>
        <w:tc>
          <w:tcPr>
            <w:tcW w:type="dxa" w:w="3009"/>
          </w:tcPr>
          <w:p>
            <w:pPr>
              <w:keepNext/>
            </w:pPr>
            <w:r>
              <w:rPr>
                <w:sz w:val="16"/>
                <w:szCs w:val="16"/>
              </w:rPr>
              <w:t xml:space="preserve">System CPU/memory samples (1 Hz)</w:t>
            </w:r>
          </w:p>
        </w:tc>
        <w:tc>
          <w:tcPr>
            <w:tcW w:type="dxa" w:w="3009"/>
          </w:tcPr>
          <w:p>
            <w:pPr>
              <w:keepNext/>
            </w:pPr>
            <w:r>
              <w:rPr>
                <w:sz w:val="16"/>
                <w:szCs w:val="16"/>
              </w:rPr>
              <w:t xml:space="preserve">Sampler daemon</w:t>
            </w:r>
          </w:p>
        </w:tc>
        <w:tc>
          <w:tcPr>
            <w:tcW w:type="dxa" w:w="3009"/>
          </w:tcPr>
          <w:p>
            <w:pPr>
              <w:keepNext/>
            </w:pPr>
            <w:r>
              <w:rPr>
                <w:sz w:val="16"/>
                <w:szCs w:val="16"/>
              </w:rPr>
              <w:t xml:space="preserve">Overhead arm; regime context</w:t>
            </w:r>
          </w:p>
        </w:tc>
      </w:tr>
      <w:tr>
        <w:trPr>
          <w:cantSplit/>
        </w:trPr>
        <w:tc>
          <w:tcPr>
            <w:tcW w:type="dxa" w:w="3009"/>
          </w:tcPr>
          <w:p>
            <w:pPr>
              <w:keepNext/>
            </w:pPr>
            <w:r>
              <w:rPr>
                <w:sz w:val="16"/>
                <w:szCs w:val="16"/>
              </w:rPr>
              <w:t xml:space="preserve">Event-log status/bytes</w:t>
            </w:r>
          </w:p>
        </w:tc>
        <w:tc>
          <w:tcPr>
            <w:tcW w:type="dxa" w:w="3009"/>
          </w:tcPr>
          <w:p>
            <w:pPr>
              <w:keepNext/>
            </w:pPr>
            <w:r>
              <w:rPr>
                <w:sz w:val="16"/>
                <w:szCs w:val="16"/>
              </w:rPr>
              <w:t xml:space="preserve">Spark listener bus</w:t>
            </w:r>
          </w:p>
        </w:tc>
        <w:tc>
          <w:tcPr>
            <w:tcW w:type="dxa" w:w="3009"/>
          </w:tcPr>
          <w:p>
            <w:pPr>
              <w:keepNext/>
            </w:pPr>
            <w:r>
              <w:rPr>
                <w:sz w:val="16"/>
                <w:szCs w:val="16"/>
              </w:rPr>
              <w:t xml:space="preserve">Overhead arm; validity gate</w:t>
            </w:r>
          </w:p>
        </w:tc>
      </w:tr>
      <w:tr>
        <w:trPr>
          <w:cantSplit/>
        </w:trPr>
        <w:tc>
          <w:tcPr>
            <w:tcW w:type="dxa" w:w="3009"/>
          </w:tcPr>
          <w:p>
            <w:pPr>
              <w:keepNext/>
            </w:pPr>
            <w:r>
              <w:rPr>
                <w:sz w:val="16"/>
                <w:szCs w:val="16"/>
              </w:rPr>
              <w:t xml:space="preserve">Lag-1..10 ACF, CUSUM shifts</w:t>
            </w:r>
          </w:p>
        </w:tc>
        <w:tc>
          <w:tcPr>
            <w:tcW w:type="dxa" w:w="3009"/>
          </w:tcPr>
          <w:p>
            <w:pPr>
              <w:keepNext/>
            </w:pPr>
            <w:r>
              <w:rPr>
                <w:sz w:val="16"/>
                <w:szCs w:val="16"/>
              </w:rPr>
              <w:t xml:space="preserve">Re-analysis (R2)</w:t>
            </w:r>
          </w:p>
        </w:tc>
        <w:tc>
          <w:tcPr>
            <w:tcW w:type="dxa" w:w="3009"/>
          </w:tcPr>
          <w:p>
            <w:pPr>
              <w:keepNext/>
            </w:pPr>
            <w:r>
              <w:rPr>
                <w:sz w:val="16"/>
                <w:szCs w:val="16"/>
              </w:rPr>
              <w:t xml:space="preserve">Dependence evidence; Sections XV and XX</w:t>
            </w:r>
          </w:p>
        </w:tc>
      </w:tr>
      <w:tr>
        <w:trPr>
          <w:cantSplit/>
        </w:trPr>
        <w:tc>
          <w:tcPr>
            <w:tcW w:type="dxa" w:w="3009"/>
          </w:tcPr>
          <w:p>
            <w:r>
              <w:rPr>
                <w:sz w:val="16"/>
                <w:szCs w:val="16"/>
              </w:rPr>
              <w:t xml:space="preserve">Config/latency provenance</w:t>
            </w:r>
          </w:p>
        </w:tc>
        <w:tc>
          <w:tcPr>
            <w:tcW w:type="dxa" w:w="3009"/>
          </w:tcPr>
          <w:p>
            <w:r>
              <w:rPr>
                <w:sz w:val="16"/>
                <w:szCs w:val="16"/>
              </w:rPr>
              <w:t xml:space="preserve">Manifests</w:t>
            </w:r>
          </w:p>
        </w:tc>
        <w:tc>
          <w:tcPr>
            <w:tcW w:type="dxa" w:w="3009"/>
          </w:tcPr>
          <w:p>
            <w:r>
              <w:rPr>
                <w:sz w:val="16"/>
                <w:szCs w:val="16"/>
              </w:rPr>
              <w:t xml:space="preserve">Audit trail; reproducibility</w:t>
            </w:r>
          </w:p>
        </w:tc>
      </w:tr>
    </w:tbl>
    <w:p/>
    <w:p>
      <w:pPr>
        <w:keepNext/>
        <w:jc w:val="center"/>
      </w:pPr>
      <w:r>
        <w:drawing>
          <wp:inline xmlns:a="http://schemas.openxmlformats.org/drawingml/2006/main" xmlns:pic="http://schemas.openxmlformats.org/drawingml/2006/picture">
            <wp:extent cx="5669280" cy="2448368"/>
            <wp:docPr id="11287" name="Picture 11287"/>
            <wp:cNvGraphicFramePr>
              <a:graphicFrameLocks noChangeAspect="1"/>
            </wp:cNvGraphicFramePr>
            <a:graphic>
              <a:graphicData uri="http://schemas.openxmlformats.org/drawingml/2006/picture">
                <pic:pic>
                  <pic:nvPicPr>
                    <pic:cNvPr id="0" name="Fig 17 Monitoring and Feedback Loop.png"/>
                    <pic:cNvPicPr/>
                  </pic:nvPicPr>
                  <pic:blipFill>
                    <a:blip r:embed="rId49"/>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36" w:name="_AdaFig17"/>
      <w:r>
        <w:rPr>
          <w:rFonts w:ascii="Helvetica Neue" w:eastAsia="Helvetica Neue" w:hAnsi="Helvetica Neue" w:cs="Helvetica Neue"/>
          <w:b/>
          <w:bCs/>
          <w:color w:val="00629B"/>
          <w:sz w:val="14"/>
          <w:szCs w:val="14"/>
        </w:rPr>
        <w:t xml:space="preserve">FIGURE 17. </w:t>
      </w:r>
      <w:r>
        <w:rPr>
          <w:rFonts w:ascii="Helvetica Neue" w:eastAsia="Helvetica Neue" w:hAnsi="Helvetica Neue" w:cs="Helvetica Neue"/>
          <w:b/>
          <w:bCs/>
          <w:sz w:val="14"/>
          <w:szCs w:val="14"/>
        </w:rPr>
        <w:t xml:space="preserve">Monitoring and Feedback Loop</w:t>
      </w:r>
      <w:bookmarkEnd w:id="136"/>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37" w:name="_AdaSec12"/>
      <w:r>
        <w:rPr>
          <w:rFonts w:ascii="Helvetica Neue" w:eastAsia="Helvetica Neue" w:hAnsi="Helvetica Neue" w:cs="Helvetica Neue"/>
          <w:b/>
          <w:bCs/>
          <w:color w:val="00629B"/>
          <w:sz w:val="18"/>
          <w:szCs w:val="18"/>
        </w:rPr>
        <w:t xml:space="preserve">XII. SECURITY, RELIABILITY, AND GOVERNANCE LAYER</w:t>
      </w:r>
      <w:bookmarkEnd w:id="137"/>
    </w:p>
    <w:p w:rsidR="00A7482C" w:rsidRDefault="00A7482C" w:rsidP="00A7482C">
      <w:pPr>
        <w:pBdr>
          <w:top w:val="nil"/>
          <w:left w:val="nil"/>
          <w:bottom w:val="nil"/>
          <w:right w:val="nil"/>
          <w:between w:val="nil"/>
        </w:pBdr>
        <w:jc w:val="both"/>
        <w:rPr>
          <w:sz w:val="20"/>
          <w:szCs w:val="20"/>
        </w:rPr>
      </w:pPr>
      <w:r>
        <w:rPr>
          <w:sz w:val="20"/>
          <w:szCs w:val="20"/>
        </w:rPr>
        <w:t xml:space="preserve">Governance is what makes the loop deployable rather than merely interesting (Fig. 18; Table 8). Cluster security is simplified by the single-node deployment (no new network services; the sampler is a local daemon thread), while policy enforcement is where the layer is strictest: the 500-execution budget is an environment-owned guard counted across manifests, the F-FAIL invariant forbids failed configurations from ever yielding positive reward, and the TEST seal is a code-level authorization boundary verified by the Day-31 gate's split-guard checks — not a convention. Access control maps to these same guards: training, validation, and test splits each admit only their authorized entry points, and any crossing needs a named decision before a single run.</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Reliability mechanisms operate at three levels: run level (timeouts convert pathological configs into −1 rewards instead of hangs), training level (checkpoints every 25 episodes, early stopping, smoke-test gates), and program level (pre-designed Plan-B scope rungs; a decision log, DEC-001 to DEC-055, recording every authorization, reconciliation, and negative outcome). The result is fault tolerance with a paper trail: when the mode gate resolved NO or the agreement gate failed, the project degraded gracefully along planned paths instead of improvising.</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Governance for learning systems extends beyond access control. Data-privacy requirements trade off against the other goals of trustworthy ML — fairness, robustness and explainability [110] — and industrial deployments add privacy-preserving and secure analytics frameworks for IIoT data [111][112]; federated settings open new attack surfaces through model updates [113]. Safe RL constrains what an agent may try, from constrained-MDP formulations for critical infrastructure [114] to learned safe regions [100]. AdaSpark implements the simplest effective version: a closed, pre-validated 12-action grid, a −1 failure reward, and hard budget and split guards, so no exploratory action can leave the validated configuration space. Operational governance follows MLOps and lineage practice [48][91]: every policy, dataset and result carries version and provenance, and every scope change is a recorded decision.</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38" w:name="_AdaTab8"/>
      <w:r>
        <w:rPr>
          <w:smallCaps/>
          <w:sz w:val="16"/>
          <w:szCs w:val="16"/>
        </w:rPr>
        <w:t xml:space="preserve">TABLE 8</w:t>
      </w:r>
      <w:bookmarkEnd w:id="138"/>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Reliability and Governance Controls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Control</w:t>
            </w:r>
          </w:p>
        </w:tc>
        <w:tc>
          <w:tcPr>
            <w:tcW w:type="dxa" w:w="3009"/>
          </w:tcPr>
          <w:p>
            <w:pPr>
              <w:keepNext/>
            </w:pPr>
            <w:r>
              <w:rPr>
                <w:b/>
                <w:sz w:val="16"/>
                <w:szCs w:val="16"/>
              </w:rPr>
              <w:t xml:space="preserve">Mechanism</w:t>
            </w:r>
          </w:p>
        </w:tc>
        <w:tc>
          <w:tcPr>
            <w:tcW w:type="dxa" w:w="3009"/>
          </w:tcPr>
          <w:p>
            <w:pPr>
              <w:keepNext/>
            </w:pPr>
            <w:r>
              <w:rPr>
                <w:b/>
                <w:sz w:val="16"/>
                <w:szCs w:val="16"/>
              </w:rPr>
              <w:t xml:space="preserve">Verifier</w:t>
            </w:r>
          </w:p>
        </w:tc>
      </w:tr>
      <w:tr>
        <w:trPr>
          <w:cantSplit/>
        </w:trPr>
        <w:tc>
          <w:tcPr>
            <w:tcW w:type="dxa" w:w="3009"/>
          </w:tcPr>
          <w:p>
            <w:pPr>
              <w:keepNext/>
            </w:pPr>
            <w:r>
              <w:rPr>
                <w:sz w:val="16"/>
                <w:szCs w:val="16"/>
              </w:rPr>
              <w:t xml:space="preserve">Budget guard (≤500)</w:t>
            </w:r>
          </w:p>
        </w:tc>
        <w:tc>
          <w:tcPr>
            <w:tcW w:type="dxa" w:w="3009"/>
          </w:tcPr>
          <w:p>
            <w:pPr>
              <w:keepNext/>
            </w:pPr>
            <w:r>
              <w:rPr>
                <w:sz w:val="16"/>
                <w:szCs w:val="16"/>
              </w:rPr>
              <w:t xml:space="preserve">Environment-owned counter, manifests summed</w:t>
            </w:r>
          </w:p>
        </w:tc>
        <w:tc>
          <w:tcPr>
            <w:tcW w:type="dxa" w:w="3009"/>
          </w:tcPr>
          <w:p>
            <w:pPr>
              <w:keepNext/>
            </w:pPr>
            <w:r>
              <w:rPr>
                <w:sz w:val="16"/>
                <w:szCs w:val="16"/>
              </w:rPr>
              <w:t xml:space="preserve">SC6 ledger 483/500</w:t>
            </w:r>
          </w:p>
        </w:tc>
      </w:tr>
      <w:tr>
        <w:trPr>
          <w:cantSplit/>
        </w:trPr>
        <w:tc>
          <w:tcPr>
            <w:tcW w:type="dxa" w:w="3009"/>
          </w:tcPr>
          <w:p>
            <w:pPr>
              <w:keepNext/>
            </w:pPr>
            <w:r>
              <w:rPr>
                <w:sz w:val="16"/>
                <w:szCs w:val="16"/>
              </w:rPr>
              <w:t xml:space="preserve">F-FAIL (failures never rewarded)</w:t>
            </w:r>
          </w:p>
        </w:tc>
        <w:tc>
          <w:tcPr>
            <w:tcW w:type="dxa" w:w="3009"/>
          </w:tcPr>
          <w:p>
            <w:pPr>
              <w:keepNext/>
            </w:pPr>
            <w:r>
              <w:rPr>
                <w:sz w:val="16"/>
                <w:szCs w:val="16"/>
              </w:rPr>
              <w:t xml:space="preserve">r = −1 + Q-update applied</w:t>
            </w:r>
          </w:p>
        </w:tc>
        <w:tc>
          <w:tcPr>
            <w:tcW w:type="dxa" w:w="3009"/>
          </w:tcPr>
          <w:p>
            <w:pPr>
              <w:keepNext/>
            </w:pPr>
            <w:r>
              <w:rPr>
                <w:sz w:val="16"/>
                <w:szCs w:val="16"/>
              </w:rPr>
              <w:t xml:space="preserve">Unit test pins behavior</w:t>
            </w:r>
          </w:p>
        </w:tc>
      </w:tr>
      <w:tr>
        <w:trPr>
          <w:cantSplit/>
        </w:trPr>
        <w:tc>
          <w:tcPr>
            <w:tcW w:type="dxa" w:w="3009"/>
          </w:tcPr>
          <w:p>
            <w:pPr>
              <w:keepNext/>
            </w:pPr>
            <w:r>
              <w:rPr>
                <w:sz w:val="16"/>
                <w:szCs w:val="16"/>
              </w:rPr>
              <w:t xml:space="preserve">TEST seal</w:t>
            </w:r>
          </w:p>
        </w:tc>
        <w:tc>
          <w:tcPr>
            <w:tcW w:type="dxa" w:w="3009"/>
          </w:tcPr>
          <w:p>
            <w:pPr>
              <w:keepNext/>
            </w:pPr>
            <w:r>
              <w:rPr>
                <w:sz w:val="16"/>
                <w:szCs w:val="16"/>
              </w:rPr>
              <w:t xml:space="preserve">Authorization guards per split</w:t>
            </w:r>
          </w:p>
        </w:tc>
        <w:tc>
          <w:tcPr>
            <w:tcW w:type="dxa" w:w="3009"/>
          </w:tcPr>
          <w:p>
            <w:pPr>
              <w:keepNext/>
            </w:pPr>
            <w:r>
              <w:rPr>
                <w:sz w:val="16"/>
                <w:szCs w:val="16"/>
              </w:rPr>
              <w:t xml:space="preserve">Day-31 gate 36/36</w:t>
            </w:r>
          </w:p>
        </w:tc>
      </w:tr>
      <w:tr>
        <w:trPr>
          <w:cantSplit/>
        </w:trPr>
        <w:tc>
          <w:tcPr>
            <w:tcW w:type="dxa" w:w="3009"/>
          </w:tcPr>
          <w:p>
            <w:pPr>
              <w:keepNext/>
            </w:pPr>
            <w:r>
              <w:rPr>
                <w:sz w:val="16"/>
                <w:szCs w:val="16"/>
              </w:rPr>
              <w:t xml:space="preserve">Deterministic analysis</w:t>
            </w:r>
          </w:p>
        </w:tc>
        <w:tc>
          <w:tcPr>
            <w:tcW w:type="dxa" w:w="3009"/>
          </w:tcPr>
          <w:p>
            <w:pPr>
              <w:keepNext/>
            </w:pPr>
            <w:r>
              <w:rPr>
                <w:sz w:val="16"/>
                <w:szCs w:val="16"/>
              </w:rPr>
              <w:t xml:space="preserve">Seeded resampling, frozen code</w:t>
            </w:r>
          </w:p>
        </w:tc>
        <w:tc>
          <w:tcPr>
            <w:tcW w:type="dxa" w:w="3009"/>
          </w:tcPr>
          <w:p>
            <w:pPr>
              <w:keepNext/>
            </w:pPr>
            <w:r>
              <w:rPr>
                <w:sz w:val="16"/>
                <w:szCs w:val="16"/>
              </w:rPr>
              <w:t xml:space="preserve">16/16 corroboration</w:t>
            </w:r>
          </w:p>
        </w:tc>
      </w:tr>
      <w:tr>
        <w:trPr>
          <w:cantSplit/>
        </w:trPr>
        <w:tc>
          <w:tcPr>
            <w:tcW w:type="dxa" w:w="3009"/>
          </w:tcPr>
          <w:p>
            <w:pPr>
              <w:keepNext/>
            </w:pPr>
            <w:r>
              <w:rPr>
                <w:sz w:val="16"/>
                <w:szCs w:val="16"/>
              </w:rPr>
              <w:t xml:space="preserve">Immutable record</w:t>
            </w:r>
          </w:p>
        </w:tc>
        <w:tc>
          <w:tcPr>
            <w:tcW w:type="dxa" w:w="3009"/>
          </w:tcPr>
          <w:p>
            <w:pPr>
              <w:keepNext/>
            </w:pPr>
            <w:r>
              <w:rPr>
                <w:sz w:val="16"/>
                <w:szCs w:val="16"/>
              </w:rPr>
              <w:t xml:space="preserve">Content hashes, no-overwrite artifacts</w:t>
            </w:r>
          </w:p>
        </w:tc>
        <w:tc>
          <w:tcPr>
            <w:tcW w:type="dxa" w:w="3009"/>
          </w:tcPr>
          <w:p>
            <w:pPr>
              <w:keepNext/>
            </w:pPr>
            <w:r>
              <w:rPr>
                <w:sz w:val="16"/>
                <w:szCs w:val="16"/>
              </w:rPr>
              <w:t xml:space="preserve">Reproducibility harness</w:t>
            </w:r>
          </w:p>
        </w:tc>
      </w:tr>
      <w:tr>
        <w:trPr>
          <w:cantSplit/>
        </w:trPr>
        <w:tc>
          <w:tcPr>
            <w:tcW w:type="dxa" w:w="3009"/>
          </w:tcPr>
          <w:p>
            <w:pPr>
              <w:keepNext/>
            </w:pPr>
            <w:r>
              <w:rPr>
                <w:sz w:val="16"/>
                <w:szCs w:val="16"/>
              </w:rPr>
              <w:t xml:space="preserve">Scope discipline</w:t>
            </w:r>
          </w:p>
        </w:tc>
        <w:tc>
          <w:tcPr>
            <w:tcW w:type="dxa" w:w="3009"/>
          </w:tcPr>
          <w:p>
            <w:pPr>
              <w:keepNext/>
            </w:pPr>
            <w:r>
              <w:rPr>
                <w:sz w:val="16"/>
                <w:szCs w:val="16"/>
              </w:rPr>
              <w:t xml:space="preserve">Pre-designed Plan-B rungs</w:t>
            </w:r>
          </w:p>
        </w:tc>
        <w:tc>
          <w:tcPr>
            <w:tcW w:type="dxa" w:w="3009"/>
          </w:tcPr>
          <w:p>
            <w:pPr>
              <w:keepNext/>
            </w:pPr>
            <w:r>
              <w:rPr>
                <w:sz w:val="16"/>
                <w:szCs w:val="16"/>
              </w:rPr>
              <w:t xml:space="preserve">DEC-011 consumed rung 1</w:t>
            </w:r>
          </w:p>
        </w:tc>
      </w:tr>
      <w:tr>
        <w:trPr>
          <w:cantSplit/>
        </w:trPr>
        <w:tc>
          <w:tcPr>
            <w:tcW w:type="dxa" w:w="3009"/>
          </w:tcPr>
          <w:p>
            <w:r>
              <w:rPr>
                <w:sz w:val="16"/>
                <w:szCs w:val="16"/>
              </w:rPr>
              <w:t xml:space="preserve">Negative-outcome reporting</w:t>
            </w:r>
          </w:p>
        </w:tc>
        <w:tc>
          <w:tcPr>
            <w:tcW w:type="dxa" w:w="3009"/>
          </w:tcPr>
          <w:p>
            <w:r>
              <w:rPr>
                <w:sz w:val="16"/>
                <w:szCs w:val="16"/>
              </w:rPr>
              <w:t xml:space="preserve">Decision log entries</w:t>
            </w:r>
          </w:p>
        </w:tc>
        <w:tc>
          <w:tcPr>
            <w:tcW w:type="dxa" w:w="3009"/>
          </w:tcPr>
          <w:p>
            <w:r>
              <w:rPr>
                <w:sz w:val="16"/>
                <w:szCs w:val="16"/>
              </w:rPr>
              <w:t xml:space="preserve">M8 FAIL; H3 rejected (EXP-013)</w:t>
            </w:r>
          </w:p>
        </w:tc>
      </w:tr>
    </w:tbl>
    <w:p/>
    <w:p>
      <w:pPr>
        <w:keepNext/>
        <w:jc w:val="center"/>
      </w:pPr>
      <w:r>
        <w:drawing>
          <wp:inline xmlns:a="http://schemas.openxmlformats.org/drawingml/2006/main" xmlns:pic="http://schemas.openxmlformats.org/drawingml/2006/picture">
            <wp:extent cx="5669280" cy="2448368"/>
            <wp:docPr id="11288" name="Picture 11288"/>
            <wp:cNvGraphicFramePr>
              <a:graphicFrameLocks noChangeAspect="1"/>
            </wp:cNvGraphicFramePr>
            <a:graphic>
              <a:graphicData uri="http://schemas.openxmlformats.org/drawingml/2006/picture">
                <pic:pic>
                  <pic:nvPicPr>
                    <pic:cNvPr id="0" name="Fig 18 Security and Governance Architecture.png"/>
                    <pic:cNvPicPr/>
                  </pic:nvPicPr>
                  <pic:blipFill>
                    <a:blip r:embed="rId50"/>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39" w:name="_AdaFig18"/>
      <w:r>
        <w:rPr>
          <w:rFonts w:ascii="Helvetica Neue" w:eastAsia="Helvetica Neue" w:hAnsi="Helvetica Neue" w:cs="Helvetica Neue"/>
          <w:b/>
          <w:bCs/>
          <w:color w:val="00629B"/>
          <w:sz w:val="14"/>
          <w:szCs w:val="14"/>
        </w:rPr>
        <w:t xml:space="preserve">FIGURE 18. </w:t>
      </w:r>
      <w:r>
        <w:rPr>
          <w:rFonts w:ascii="Helvetica Neue" w:eastAsia="Helvetica Neue" w:hAnsi="Helvetica Neue" w:cs="Helvetica Neue"/>
          <w:b/>
          <w:bCs/>
          <w:sz w:val="14"/>
          <w:szCs w:val="14"/>
        </w:rPr>
        <w:t xml:space="preserve">Security and Governance Architecture</w:t>
      </w:r>
      <w:bookmarkEnd w:id="139"/>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40" w:name="_AdaSec13"/>
      <w:r>
        <w:rPr>
          <w:rFonts w:ascii="Helvetica Neue" w:eastAsia="Helvetica Neue" w:hAnsi="Helvetica Neue" w:cs="Helvetica Neue"/>
          <w:b/>
          <w:bCs/>
          <w:color w:val="00629B"/>
          <w:sz w:val="18"/>
          <w:szCs w:val="18"/>
        </w:rPr>
        <w:t xml:space="preserve">XIII. EXPERIMENTAL SETUP</w:t>
      </w:r>
      <w:bookmarkEnd w:id="140"/>
    </w:p>
    <w:p w:rsidR="00A7482C" w:rsidRDefault="00A7482C" w:rsidP="00A7482C">
      <w:pPr>
        <w:pBdr>
          <w:top w:val="nil"/>
          <w:left w:val="nil"/>
          <w:bottom w:val="nil"/>
          <w:right w:val="nil"/>
          <w:between w:val="nil"/>
        </w:pBdr>
        <w:jc w:val="both"/>
        <w:rPr>
          <w:sz w:val="20"/>
          <w:szCs w:val="20"/>
        </w:rPr>
      </w:pPr>
      <w:r>
        <w:rPr>
          <w:sz w:val="20"/>
          <w:szCs w:val="20"/>
        </w:rPr>
        <w:t xml:space="preserve">All experiments ran on one frozen backend: Windows 11, Python 3.11.9, Java 17, PySpark 3.5.9 in native local mode (</w:t>
      </w:r>
      <w:r>
        <w:rPr>
          <w:rFonts w:ascii="Consolas" w:hAnsi="Consolas" w:cs="Consolas" w:eastAsia="Consolas"/>
          <w:sz w:val="20"/>
          <w:szCs w:val="20"/>
        </w:rPr>
        <w:t xml:space="preserve">local[2]</w:t>
      </w:r>
      <w:r>
        <w:rPr>
          <w:sz w:val="20"/>
          <w:szCs w:val="20"/>
        </w:rPr>
        <w:t xml:space="preserve">, driver 6 GB, 24 logical cores) — the Day-2 smoke-matrix configuration (13/13 checks) frozen by decision, so hardware and software are constants, not variables (Fig. 19; Table 9). Datasets are seeded synthetics across five families (F1 aggregation, F2 join, F3 RDD sort/filter, F4 skew join, F5 mixed pipeline) at S/M/L scales with checksummed manifests; the RL configuration is tabular Q-learning (α = 0.2, γ = 0.0, ε 1.0 → 0.05, 3 training seeds, Q0-median init, ≤500-execution guard).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Evaluation scenarios span the twelve planned experiments: EXP-001 noise calibration, EXP-002 sensitivity gate, EXP-003 baseline selection, EXP-004 training, EXP-005 main comparison (7 frozen test instances × 7 arms × 5 reps = 245 runs), EXP-006 generalization, EXP-007 state ablations, EXP-008 derived reward/action ablations, EXP-009 monitoring overhead (105 + 4,842 runs). The remaining three later ran as bounded pilots under signed decisions with their own register lines and 0 charged to SC6: EXP-010 (NYC-Taxi transfer, X9, 20 runs, DEC-050), EXP-011 (±5% reproducibility, X10, 20 runs, DEC-049), and EXP-012 (live demo rehearsal, 5 disclosed TRAIN-split runs, DEC-051) — alongside the validation-scoped confirmations X1–X3 (DEC-048), the AQE-on arm B0′ (X6, 35 runs, DEC-047) and the F2 rematch (X8), each reported at its pilot scope with any plan/execution substitution disclosed.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 confirmatory study closes the evaluation. EXP-013 (DEC-053) was pre-registered before any of its data existed. It re-runs the frozen arms on the full frozen TEST identity: 42 of the 43 frozen cells (</w:t>
      </w:r>
      <w:r>
        <w:rPr>
          <w:rFonts w:ascii="Consolas" w:hAnsi="Consolas" w:cs="Consolas" w:eastAsia="Consolas"/>
          <w:sz w:val="20"/>
          <w:szCs w:val="20"/>
        </w:rPr>
        <w:t xml:space="preserve">F3_rdd|large|s3</w:t>
      </w:r>
      <w:r>
        <w:rPr>
          <w:sz w:val="20"/>
          <w:szCs w:val="20"/>
        </w:rPr>
        <w:t xml:space="preserve"> excluded after 40/40 prior structural failures), five repetitions each, in randomized complete blocks — every (cell, repetition) block executes all of its units back-to-back in a seeded random order, so slow drift and queue position fall on every arm alike instead of on whichever arm happened to run last. Units are B0; B1, which also stands for the rule heuristic B3 because both resolve to the same configuration on every TEST cell; B4 executed separately as an A/A control, since it too resolves to B1's configuration on every TEST cell; the frozen RL policy, whose three seeds resolve to one configuration per cell on TEST; B2 where it differs; and the AQE-on arm B0′ on the six executable EXP-005 instances. The 900 queue entries run in four stages that can be stopped only at stage boundaries, with the queue frozen by fingerprint before the first run. The study runs on its own register line, charges nothing to the training cap, and follows the quiet-machine protocol of PLAN §23 on a single dedicated host — the same platform control that published cloud and stream-processing benchmarking studies apply before comparing configurations [115][116][117].</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A second confirmatory study re-measures monitoring overhead. EXP-014 (DEC-054) repeats EXP-009's protocol on its seven validation cells — FULL, NO-SYSMON and NEITHER conditions, the B0 configuration, AQE off — with the three conditions randomized within each (cell, repetition) block and per-cell repetition counts (10–20; 270 runs) fixed from measurement precision alone. It is analysed with the paired statistic (10), which DEC-044 fixed as primary for any future overhead measurement before such data existed, so the overhead conclusion is tested under the stricter statistic rather than re-derived from EXP-009's data.</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41" w:name="_AdaTab9"/>
      <w:r>
        <w:rPr>
          <w:smallCaps/>
          <w:sz w:val="16"/>
          <w:szCs w:val="16"/>
        </w:rPr>
        <w:t xml:space="preserve">TABLE 9</w:t>
      </w:r>
      <w:bookmarkEnd w:id="141"/>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Experimental Configuration Details</w:t>
      </w:r>
    </w:p>
    <w:tbl>
      <w:tblPr>
        <w:tblStyle w:val="TableGrid"/>
        <w:tblW w:type="auto" w:w="0"/>
        <w:jc w:val="center"/>
        <w:tblLook w:firstColumn="1" w:firstRow="1" w:lastColumn="0" w:lastRow="0" w:noHBand="0" w:noVBand="1" w:val="04A0"/>
      </w:tblPr>
      <w:tblGrid>
        <w:gridCol w:w="4513"/>
        <w:gridCol w:w="4513"/>
      </w:tblGrid>
      <w:tr>
        <w:trPr>
          <w:cantSplit/>
          <w:tblHeader/>
        </w:trPr>
        <w:tc>
          <w:tcPr>
            <w:tcW w:type="dxa" w:w="4513"/>
          </w:tcPr>
          <w:p>
            <w:pPr>
              <w:keepNext/>
            </w:pPr>
            <w:r>
              <w:rPr>
                <w:b/>
                <w:sz w:val="16"/>
                <w:szCs w:val="16"/>
              </w:rPr>
              <w:t xml:space="preserve">Item</w:t>
            </w:r>
          </w:p>
        </w:tc>
        <w:tc>
          <w:tcPr>
            <w:tcW w:type="dxa" w:w="4513"/>
          </w:tcPr>
          <w:p>
            <w:pPr>
              <w:keepNext/>
            </w:pPr>
            <w:r>
              <w:rPr>
                <w:b/>
                <w:sz w:val="16"/>
                <w:szCs w:val="16"/>
              </w:rPr>
              <w:t xml:space="preserve">Setting</w:t>
            </w:r>
          </w:p>
        </w:tc>
      </w:tr>
      <w:tr>
        <w:trPr>
          <w:cantSplit/>
        </w:trPr>
        <w:tc>
          <w:tcPr>
            <w:tcW w:type="dxa" w:w="4513"/>
          </w:tcPr>
          <w:p>
            <w:pPr>
              <w:keepNext/>
            </w:pPr>
            <w:r>
              <w:rPr>
                <w:sz w:val="16"/>
                <w:szCs w:val="16"/>
              </w:rPr>
              <w:t xml:space="preserve">Backend</w:t>
            </w:r>
          </w:p>
        </w:tc>
        <w:tc>
          <w:tcPr>
            <w:tcW w:type="dxa" w:w="4513"/>
          </w:tcPr>
          <w:p>
            <w:pPr>
              <w:keepNext/>
            </w:pPr>
            <w:r>
              <w:rPr>
                <w:sz w:val="16"/>
                <w:szCs w:val="16"/>
              </w:rPr>
              <w:t xml:space="preserve">PySpark 3.5.9 / Java 17 / Python 3.11.9 / Win 11, </w:t>
            </w:r>
            <w:r>
              <w:rPr>
                <w:rFonts w:ascii="Consolas" w:hAnsi="Consolas" w:cs="Consolas" w:eastAsia="Consolas"/>
                <w:sz w:val="16"/>
                <w:szCs w:val="16"/>
              </w:rPr>
              <w:t xml:space="preserve">local[2]</w:t>
            </w:r>
            <w:r>
              <w:rPr>
                <w:sz w:val="16"/>
                <w:szCs w:val="16"/>
              </w:rPr>
              <w:t xml:space="preserve">, driver 6 GB</w:t>
            </w:r>
          </w:p>
        </w:tc>
      </w:tr>
      <w:tr>
        <w:trPr>
          <w:cantSplit/>
        </w:trPr>
        <w:tc>
          <w:tcPr>
            <w:tcW w:type="dxa" w:w="4513"/>
          </w:tcPr>
          <w:p>
            <w:r>
              <w:rPr>
                <w:sz w:val="16"/>
                <w:szCs w:val="16"/>
              </w:rPr>
              <w:t xml:space="preserve">Workloads</w:t>
            </w:r>
          </w:p>
        </w:tc>
        <w:tc>
          <w:tcPr>
            <w:tcW w:type="dxa" w:w="4513"/>
          </w:tcPr>
          <w:p>
            <w:r>
              <w:rPr>
                <w:sz w:val="16"/>
                <w:szCs w:val="16"/>
              </w:rPr>
              <w:t xml:space="preserve">F1_agg, F2_join, F3_rdd, F4_ski, F5_mixed × S/M/L, dataset seed 0</w:t>
            </w:r>
          </w:p>
        </w:tc>
      </w:tr>
      <w:tr>
        <w:trPr>
          <w:cantSplit/>
        </w:trPr>
        <w:tc>
          <w:tcPr>
            <w:tcW w:type="dxa" w:w="4513"/>
          </w:tcPr>
          <w:p>
            <w:r>
              <w:rPr>
                <w:sz w:val="16"/>
                <w:szCs w:val="16"/>
              </w:rPr>
              <w:t xml:space="preserve">Action space</w:t>
            </w:r>
          </w:p>
        </w:tc>
        <w:tc>
          <w:tcPr>
            <w:tcW w:type="dxa" w:w="4513"/>
          </w:tcPr>
          <w:p>
            <w:r>
              <w:rPr>
                <w:sz w:val="16"/>
                <w:szCs w:val="16"/>
              </w:rPr>
              <w:t xml:space="preserve">12 actions (partitions {16,32,64,128} × local {2,4,8})</w:t>
            </w:r>
          </w:p>
        </w:tc>
      </w:tr>
      <w:tr>
        <w:trPr>
          <w:cantSplit/>
        </w:trPr>
        <w:tc>
          <w:tcPr>
            <w:tcW w:type="dxa" w:w="4513"/>
          </w:tcPr>
          <w:p>
            <w:r>
              <w:rPr>
                <w:sz w:val="16"/>
                <w:szCs w:val="16"/>
              </w:rPr>
              <w:t xml:space="preserve">Learner</w:t>
            </w:r>
          </w:p>
        </w:tc>
        <w:tc>
          <w:tcPr>
            <w:tcW w:type="dxa" w:w="4513"/>
          </w:tcPr>
          <w:p>
            <w:r>
              <w:rPr>
                <w:sz w:val="16"/>
                <w:szCs w:val="16"/>
              </w:rPr>
              <w:t xml:space="preserve">Tabular Q, α=0.2, γ=0.0, ε 1.0→0.05, seeds {0,1,2}, Q0-median</w:t>
            </w:r>
          </w:p>
        </w:tc>
      </w:tr>
      <w:tr>
        <w:trPr>
          <w:cantSplit/>
        </w:trPr>
        <w:tc>
          <w:tcPr>
            <w:tcW w:type="dxa" w:w="4513"/>
          </w:tcPr>
          <w:p>
            <w:r>
              <w:rPr>
                <w:sz w:val="16"/>
                <w:szCs w:val="16"/>
              </w:rPr>
              <w:t xml:space="preserve">Budget</w:t>
            </w:r>
          </w:p>
        </w:tc>
        <w:tc>
          <w:tcPr>
            <w:tcW w:type="dxa" w:w="4513"/>
          </w:tcPr>
          <w:p>
            <w:r>
              <w:rPr>
                <w:sz w:val="16"/>
                <w:szCs w:val="16"/>
              </w:rPr>
              <w:t xml:space="preserve">SC6 ≤500 training executions — 483/500 SC6-counted (17 remain); 488/500 combined incl. the 5 disclosed demo TRAIN runs (12 remain)</w:t>
            </w:r>
          </w:p>
        </w:tc>
      </w:tr>
      <w:tr>
        <w:trPr>
          <w:cantSplit/>
        </w:trPr>
        <w:tc>
          <w:tcPr>
            <w:tcW w:type="dxa" w:w="4513"/>
          </w:tcPr>
          <w:p>
            <w:r>
              <w:rPr>
                <w:sz w:val="16"/>
                <w:szCs w:val="16"/>
              </w:rPr>
              <w:t xml:space="preserve">Repetitions</w:t>
            </w:r>
          </w:p>
        </w:tc>
        <w:tc>
          <w:tcPr>
            <w:tcW w:type="dxa" w:w="4513"/>
          </w:tcPr>
          <w:p>
            <w:r>
              <w:rPr>
                <w:sz w:val="16"/>
                <w:szCs w:val="16"/>
              </w:rPr>
              <w:t xml:space="preserve">Median of exactly 5 usable reps (evaluation); n=2 (EXP-002); n=1 (selection)</w:t>
            </w:r>
          </w:p>
        </w:tc>
      </w:tr>
      <w:tr>
        <w:trPr>
          <w:cantSplit/>
        </w:trPr>
        <w:tc>
          <w:tcPr>
            <w:tcW w:type="dxa" w:w="4513"/>
          </w:tcPr>
          <w:p>
            <w:r>
              <w:rPr>
                <w:sz w:val="16"/>
                <w:szCs w:val="16"/>
              </w:rPr>
              <w:t xml:space="preserve">Test discipline</w:t>
            </w:r>
          </w:p>
        </w:tc>
        <w:tc>
          <w:tcPr>
            <w:tcW w:type="dxa" w:w="4513"/>
          </w:tcPr>
          <w:p>
            <w:r>
              <w:rPr>
                <w:sz w:val="16"/>
                <w:szCs w:val="16"/>
              </w:rPr>
              <w:t xml:space="preserve">Frozen instances; sealed TEST; authorization guards</w:t>
            </w:r>
          </w:p>
        </w:tc>
      </w:tr>
      <w:tr>
        <w:trPr>
          <w:cantSplit/>
        </w:trPr>
        <w:tc>
          <w:tcPr>
            <w:tcW w:type="dxa" w:w="4513"/>
          </w:tcPr>
          <w:p>
            <w:r>
              <w:rPr>
                <w:sz w:val="16"/>
                <w:szCs w:val="16"/>
              </w:rPr>
              <w:t xml:space="preserve">Confirmatory evaluation (EXP-013)</w:t>
            </w:r>
          </w:p>
        </w:tc>
        <w:tc>
          <w:tcPr>
            <w:tcW w:type="dxa" w:w="4513"/>
          </w:tcPr>
          <w:p>
            <w:r>
              <w:rPr>
                <w:sz w:val="16"/>
                <w:szCs w:val="16"/>
              </w:rPr>
              <w:t xml:space="preserve">42 frozen TEST cells × units B0, B1 (= B3), B4 (A/A), RL, B2 where distinct, B0′ on 6 cells; 5 reps; randomized complete blocks; seed 20261001; 900 queue entries</w:t>
            </w:r>
          </w:p>
        </w:tc>
      </w:tr>
      <w:tr>
        <w:trPr>
          <w:cantSplit/>
        </w:trPr>
        <w:tc>
          <w:tcPr>
            <w:tcW w:type="dxa" w:w="4513"/>
          </w:tcPr>
          <w:p>
            <w:r>
              <w:rPr>
                <w:sz w:val="16"/>
                <w:szCs w:val="16"/>
              </w:rPr>
              <w:t xml:space="preserve">Overhead confirmation (EXP-014)</w:t>
            </w:r>
          </w:p>
        </w:tc>
        <w:tc>
          <w:tcPr>
            <w:tcW w:type="dxa" w:w="4513"/>
          </w:tcPr>
          <w:p>
            <w:r>
              <w:rPr>
                <w:sz w:val="16"/>
                <w:szCs w:val="16"/>
              </w:rPr>
              <w:t xml:space="preserve">7 validation cells × FULL / NO-SYSMON / NEITHER; 10–20 reps per cell (270 runs); conditions randomized per block; paired statistic of (10)</w:t>
            </w:r>
          </w:p>
        </w:tc>
      </w:tr>
    </w:tbl>
    <w:p/>
    <w:p>
      <w:pPr>
        <w:keepNext/>
        <w:jc w:val="center"/>
      </w:pPr>
      <w:r>
        <w:drawing>
          <wp:inline xmlns:a="http://schemas.openxmlformats.org/drawingml/2006/main" xmlns:pic="http://schemas.openxmlformats.org/drawingml/2006/picture">
            <wp:extent cx="5669280" cy="2448368"/>
            <wp:docPr id="11289" name="Picture 11289"/>
            <wp:cNvGraphicFramePr>
              <a:graphicFrameLocks noChangeAspect="1"/>
            </wp:cNvGraphicFramePr>
            <a:graphic>
              <a:graphicData uri="http://schemas.openxmlformats.org/drawingml/2006/picture">
                <pic:pic>
                  <pic:nvPicPr>
                    <pic:cNvPr id="0" name="Fig 19 Experimental Testbed Architecture.png"/>
                    <pic:cNvPicPr/>
                  </pic:nvPicPr>
                  <pic:blipFill>
                    <a:blip r:embed="rId51"/>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42" w:name="_AdaFig19"/>
      <w:r>
        <w:rPr>
          <w:rFonts w:ascii="Helvetica Neue" w:eastAsia="Helvetica Neue" w:hAnsi="Helvetica Neue" w:cs="Helvetica Neue"/>
          <w:b/>
          <w:bCs/>
          <w:color w:val="00629B"/>
          <w:sz w:val="14"/>
          <w:szCs w:val="14"/>
        </w:rPr>
        <w:t xml:space="preserve">FIGURE 19. </w:t>
      </w:r>
      <w:r>
        <w:rPr>
          <w:rFonts w:ascii="Helvetica Neue" w:eastAsia="Helvetica Neue" w:hAnsi="Helvetica Neue" w:cs="Helvetica Neue"/>
          <w:b/>
          <w:bCs/>
          <w:sz w:val="14"/>
          <w:szCs w:val="14"/>
        </w:rPr>
        <w:t xml:space="preserve">Experimental Testbed Architecture</w:t>
      </w:r>
      <w:bookmarkEnd w:id="142"/>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43" w:name="_AdaSec14"/>
      <w:r>
        <w:rPr>
          <w:rFonts w:ascii="Helvetica Neue" w:eastAsia="Helvetica Neue" w:hAnsi="Helvetica Neue" w:cs="Helvetica Neue"/>
          <w:b/>
          <w:bCs/>
          <w:color w:val="00629B"/>
          <w:sz w:val="18"/>
          <w:szCs w:val="18"/>
        </w:rPr>
        <w:t xml:space="preserve">XIV. EVALUATION METRICS</w:t>
      </w:r>
      <w:bookmarkEnd w:id="143"/>
    </w:p>
    <w:p w:rsidR="00A7482C" w:rsidRDefault="00A7482C" w:rsidP="00A7482C">
      <w:pPr>
        <w:pBdr>
          <w:top w:val="nil"/>
          <w:left w:val="nil"/>
          <w:bottom w:val="nil"/>
          <w:right w:val="nil"/>
          <w:between w:val="nil"/>
        </w:pBdr>
        <w:jc w:val="both"/>
        <w:rPr>
          <w:sz w:val="20"/>
          <w:szCs w:val="20"/>
        </w:rPr>
      </w:pPr>
      <w:r>
        <w:rPr>
          <w:sz w:val="20"/>
          <w:szCs w:val="20"/>
        </w:rPr>
        <w:t xml:space="preserve">The primary metric throughout is median end-to-end execution time over exactly five usable repetitions (Fig. 20; Table 10 defines every metric). Secondary indicators are task-duration CV (imbalance), spill-bytes ratio (waste), and reward convergence (episodes to epsilon floor, greedy-policy agreement). Optimization effectiveness is judged against frozen gates rather than vibes: ≥10% spread for sensitivity (SC1), whole-interval position vs the 5% budget for overhead (SC6 clause 2), cross-seed agreement ≥0.70 for policy promotion (M8), and ±5% median reproducibility (SC7: pilot 2/4, X10; EXP-013 secondary 18/39; full study unevaluated). Reliability metrics count usable/failed/incomplete runs and budget consumption; a failed run is a first-class observation (reward −1), never a dropped row.</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Latency is the end-to-end execution time of a job; throughput, for one batch job over a fixed input, is its reciprocal and is not reported separately; resource utilization is reported as host CPU utilization, shuffle-write volume and session time (Fig. 22); and scalability is assessed across the three data scales, not across cluster sizes, which a single-node testbed cannot vary.</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44" w:name="_AdaTab10"/>
      <w:r>
        <w:rPr>
          <w:smallCaps/>
          <w:sz w:val="16"/>
          <w:szCs w:val="16"/>
        </w:rPr>
        <w:t xml:space="preserve">TABLE 10</w:t>
      </w:r>
      <w:bookmarkEnd w:id="144"/>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Metrics Definition Matrix</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Metric</w:t>
            </w:r>
          </w:p>
        </w:tc>
        <w:tc>
          <w:tcPr>
            <w:tcW w:type="dxa" w:w="3009"/>
          </w:tcPr>
          <w:p>
            <w:pPr>
              <w:keepNext/>
            </w:pPr>
            <w:r>
              <w:rPr>
                <w:b/>
                <w:sz w:val="16"/>
                <w:szCs w:val="16"/>
              </w:rPr>
              <w:t xml:space="preserve">Definition</w:t>
            </w:r>
          </w:p>
        </w:tc>
        <w:tc>
          <w:tcPr>
            <w:tcW w:type="dxa" w:w="3009"/>
          </w:tcPr>
          <w:p>
            <w:pPr>
              <w:keepNext/>
            </w:pPr>
            <w:r>
              <w:rPr>
                <w:b/>
                <w:sz w:val="16"/>
                <w:szCs w:val="16"/>
              </w:rPr>
              <w:t xml:space="preserve">Gate / use</w:t>
            </w:r>
          </w:p>
        </w:tc>
      </w:tr>
      <w:tr>
        <w:trPr>
          <w:cantSplit/>
        </w:trPr>
        <w:tc>
          <w:tcPr>
            <w:tcW w:type="dxa" w:w="3009"/>
          </w:tcPr>
          <w:p>
            <w:pPr>
              <w:keepNext/>
            </w:pPr>
            <w:r>
              <w:rPr>
                <w:sz w:val="16"/>
                <w:szCs w:val="16"/>
              </w:rPr>
              <w:t xml:space="preserve">Median execution time</w:t>
            </w:r>
          </w:p>
        </w:tc>
        <w:tc>
          <w:tcPr>
            <w:tcW w:type="dxa" w:w="3009"/>
          </w:tcPr>
          <w:p>
            <w:pPr>
              <w:keepNext/>
            </w:pPr>
            <w:r>
              <w:rPr>
                <w:sz w:val="16"/>
                <w:szCs w:val="16"/>
              </w:rPr>
              <w:t xml:space="preserve">Median of 5 usable reps, runner clock</w:t>
            </w:r>
          </w:p>
        </w:tc>
        <w:tc>
          <w:tcPr>
            <w:tcW w:type="dxa" w:w="3009"/>
          </w:tcPr>
          <w:p>
            <w:pPr>
              <w:keepNext/>
            </w:pPr>
            <w:r>
              <w:rPr>
                <w:sz w:val="16"/>
                <w:szCs w:val="16"/>
              </w:rPr>
              <w:t xml:space="preserve">Primary; all RQs</w:t>
            </w:r>
          </w:p>
        </w:tc>
      </w:tr>
      <w:tr>
        <w:trPr>
          <w:cantSplit/>
        </w:trPr>
        <w:tc>
          <w:tcPr>
            <w:tcW w:type="dxa" w:w="3009"/>
          </w:tcPr>
          <w:p>
            <w:pPr>
              <w:keepNext/>
            </w:pPr>
            <w:r>
              <w:rPr>
                <w:sz w:val="16"/>
                <w:szCs w:val="16"/>
              </w:rPr>
              <w:t xml:space="preserve">Spread across configs</w:t>
            </w:r>
          </w:p>
        </w:tc>
        <w:tc>
          <w:tcPr>
            <w:tcW w:type="dxa" w:w="3009"/>
          </w:tcPr>
          <w:p>
            <w:pPr>
              <w:keepNext/>
            </w:pPr>
            <w:r>
              <w:rPr>
                <w:sz w:val="16"/>
                <w:szCs w:val="16"/>
              </w:rPr>
              <w:t xml:space="preserve">(max − min)/min of medians</w:t>
            </w:r>
          </w:p>
        </w:tc>
        <w:tc>
          <w:tcPr>
            <w:tcW w:type="dxa" w:w="3009"/>
          </w:tcPr>
          <w:p>
            <w:pPr>
              <w:keepNext/>
            </w:pPr>
            <w:r>
              <w:rPr>
                <w:sz w:val="16"/>
                <w:szCs w:val="16"/>
              </w:rPr>
              <w:t xml:space="preserve">≥10% on ≥2 families (SC1/H1)</w:t>
            </w:r>
          </w:p>
        </w:tc>
      </w:tr>
      <w:tr>
        <w:trPr>
          <w:cantSplit/>
        </w:trPr>
        <w:tc>
          <w:tcPr>
            <w:tcW w:type="dxa" w:w="3009"/>
          </w:tcPr>
          <w:p>
            <w:pPr>
              <w:keepNext/>
            </w:pPr>
            <w:r>
              <w:rPr>
                <w:sz w:val="16"/>
                <w:szCs w:val="16"/>
              </w:rPr>
              <w:t xml:space="preserve">Overhead %</w:t>
            </w:r>
          </w:p>
        </w:tc>
        <w:tc>
          <w:tcPr>
            <w:tcW w:type="dxa" w:w="3009"/>
          </w:tcPr>
          <w:p>
            <w:pPr>
              <w:keepNext/>
            </w:pPr>
            <w:r>
              <w:rPr>
                <w:sz w:val="16"/>
                <w:szCs w:val="16"/>
              </w:rPr>
              <w:t xml:space="preserve">100·(med_full − med_base)/med_base</w:t>
            </w:r>
          </w:p>
        </w:tc>
        <w:tc>
          <w:tcPr>
            <w:tcW w:type="dxa" w:w="3009"/>
          </w:tcPr>
          <w:p>
            <w:pPr>
              <w:keepNext/>
            </w:pPr>
            <w:r>
              <w:rPr>
                <w:sz w:val="16"/>
                <w:szCs w:val="16"/>
              </w:rPr>
              <w:t xml:space="preserve">95% CI wholly below 5% (SC6c2); paired (10) in EXP-014</w:t>
            </w:r>
          </w:p>
        </w:tc>
      </w:tr>
      <w:tr>
        <w:trPr>
          <w:cantSplit/>
        </w:trPr>
        <w:tc>
          <w:tcPr>
            <w:tcW w:type="dxa" w:w="3009"/>
          </w:tcPr>
          <w:p>
            <w:pPr>
              <w:keepNext/>
            </w:pPr>
            <w:r>
              <w:rPr>
                <w:sz w:val="16"/>
                <w:szCs w:val="16"/>
              </w:rPr>
              <w:t xml:space="preserve">Task CV / spill ratio</w:t>
            </w:r>
          </w:p>
        </w:tc>
        <w:tc>
          <w:tcPr>
            <w:tcW w:type="dxa" w:w="3009"/>
          </w:tcPr>
          <w:p>
            <w:pPr>
              <w:keepNext/>
            </w:pPr>
            <w:r>
              <w:rPr>
                <w:sz w:val="16"/>
                <w:szCs w:val="16"/>
              </w:rPr>
              <w:t xml:space="preserve">CV of task durations; spill/input</w:t>
            </w:r>
          </w:p>
        </w:tc>
        <w:tc>
          <w:tcPr>
            <w:tcW w:type="dxa" w:w="3009"/>
          </w:tcPr>
          <w:p>
            <w:pPr>
              <w:keepNext/>
            </w:pPr>
            <w:r>
              <w:rPr>
                <w:sz w:val="16"/>
                <w:szCs w:val="16"/>
              </w:rPr>
              <w:t xml:space="preserve">R3 terms (refs 0.5 / 0.10)</w:t>
            </w:r>
          </w:p>
        </w:tc>
      </w:tr>
      <w:tr>
        <w:trPr>
          <w:cantSplit/>
        </w:trPr>
        <w:tc>
          <w:tcPr>
            <w:tcW w:type="dxa" w:w="3009"/>
          </w:tcPr>
          <w:p>
            <w:pPr>
              <w:keepNext/>
            </w:pPr>
            <w:r>
              <w:rPr>
                <w:sz w:val="16"/>
                <w:szCs w:val="16"/>
              </w:rPr>
              <w:t xml:space="preserve">Policy agreement</w:t>
            </w:r>
          </w:p>
        </w:tc>
        <w:tc>
          <w:tcPr>
            <w:tcW w:type="dxa" w:w="3009"/>
          </w:tcPr>
          <w:p>
            <w:pPr>
              <w:keepNext/>
            </w:pPr>
            <w:r>
              <w:rPr>
                <w:sz w:val="16"/>
                <w:szCs w:val="16"/>
              </w:rPr>
              <w:t xml:space="preserve">Cross-seed greedy match fraction</w:t>
            </w:r>
          </w:p>
        </w:tc>
        <w:tc>
          <w:tcPr>
            <w:tcW w:type="dxa" w:w="3009"/>
          </w:tcPr>
          <w:p>
            <w:pPr>
              <w:keepNext/>
            </w:pPr>
            <w:r>
              <w:rPr>
                <w:sz w:val="16"/>
                <w:szCs w:val="16"/>
              </w:rPr>
              <w:t xml:space="preserve">≥0.70 (M8; measured 0.20)</w:t>
            </w:r>
          </w:p>
        </w:tc>
      </w:tr>
      <w:tr>
        <w:trPr>
          <w:cantSplit/>
        </w:trPr>
        <w:tc>
          <w:tcPr>
            <w:tcW w:type="dxa" w:w="3009"/>
          </w:tcPr>
          <w:p>
            <w:pPr>
              <w:keepNext/>
            </w:pPr>
            <w:r>
              <w:rPr>
                <w:sz w:val="16"/>
                <w:szCs w:val="16"/>
              </w:rPr>
              <w:t xml:space="preserve">Reproducibility</w:t>
            </w:r>
          </w:p>
        </w:tc>
        <w:tc>
          <w:tcPr>
            <w:tcW w:type="dxa" w:w="3009"/>
          </w:tcPr>
          <w:p>
            <w:pPr>
              <w:keepNext/>
            </w:pPr>
            <w:r>
              <w:rPr>
                <w:sz w:val="16"/>
                <w:szCs w:val="16"/>
              </w:rPr>
              <w:t xml:space="preserve">Fresh-median within ±5%</w:t>
            </w:r>
          </w:p>
        </w:tc>
        <w:tc>
          <w:tcPr>
            <w:tcW w:type="dxa" w:w="3009"/>
          </w:tcPr>
          <w:p>
            <w:pPr>
              <w:keepNext/>
            </w:pPr>
            <w:r>
              <w:rPr>
                <w:sz w:val="16"/>
                <w:szCs w:val="16"/>
              </w:rPr>
              <w:t xml:space="preserve">SC7 pilot 2/4 (X10); EXP-013 18/39; full 60-run study not executed</w:t>
            </w:r>
          </w:p>
        </w:tc>
      </w:tr>
      <w:tr>
        <w:trPr>
          <w:cantSplit/>
        </w:trPr>
        <w:tc>
          <w:tcPr>
            <w:tcW w:type="dxa" w:w="3009"/>
          </w:tcPr>
          <w:p>
            <w:pPr>
              <w:keepNext/>
            </w:pPr>
            <w:r>
              <w:rPr>
                <w:sz w:val="16"/>
                <w:szCs w:val="16"/>
              </w:rPr>
              <w:t xml:space="preserve">Budget consumed</w:t>
            </w:r>
          </w:p>
        </w:tc>
        <w:tc>
          <w:tcPr>
            <w:tcW w:type="dxa" w:w="3009"/>
          </w:tcPr>
          <w:p>
            <w:pPr>
              <w:keepNext/>
            </w:pPr>
            <w:r>
              <w:rPr>
                <w:sz w:val="16"/>
                <w:szCs w:val="16"/>
              </w:rPr>
              <w:t xml:space="preserve">Ledger sum over manifests</w:t>
            </w:r>
          </w:p>
        </w:tc>
        <w:tc>
          <w:tcPr>
            <w:tcW w:type="dxa" w:w="3009"/>
          </w:tcPr>
          <w:p>
            <w:pPr>
              <w:keepNext/>
            </w:pPr>
            <w:r>
              <w:rPr>
                <w:sz w:val="16"/>
                <w:szCs w:val="16"/>
              </w:rPr>
              <w:t xml:space="preserve">≤500 (483 spent)</w:t>
            </w:r>
          </w:p>
        </w:tc>
      </w:tr>
      <w:tr>
        <w:trPr>
          <w:cantSplit/>
        </w:trPr>
        <w:tc>
          <w:tcPr>
            <w:tcW w:type="dxa" w:w="3009"/>
          </w:tcPr>
          <w:p>
            <w:r>
              <w:rPr>
                <w:sz w:val="16"/>
                <w:szCs w:val="16"/>
              </w:rPr>
              <w:t xml:space="preserve">Usable/failed/incomplete</w:t>
            </w:r>
          </w:p>
        </w:tc>
        <w:tc>
          <w:tcPr>
            <w:tcW w:type="dxa" w:w="3009"/>
          </w:tcPr>
          <w:p>
            <w:r>
              <w:rPr>
                <w:sz w:val="16"/>
                <w:szCs w:val="16"/>
              </w:rPr>
              <w:t xml:space="preserve">Per-record validity</w:t>
            </w:r>
          </w:p>
        </w:tc>
        <w:tc>
          <w:tcPr>
            <w:tcW w:type="dxa" w:w="3009"/>
          </w:tcPr>
          <w:p>
            <w:r>
              <w:rPr>
                <w:sz w:val="16"/>
                <w:szCs w:val="16"/>
              </w:rPr>
              <w:t xml:space="preserve">Reliability reporting</w:t>
            </w:r>
          </w:p>
        </w:tc>
      </w:tr>
    </w:tbl>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jc w:val="both"/>
        <w:rPr>
          <w:sz w:val="20"/>
          <w:szCs w:val="20"/>
        </w:rPr>
      </w:pPr>
      <w:r>
        <w:rPr>
          <w:sz w:val="20"/>
          <w:szCs w:val="20"/>
        </w:rPr>
        <w:t xml:space="preserve">Measurement definitions used throughout are the overhead (5), with med_full and med_base the medians of an instrumented condition and its uninstrumented baseline; the half-width (6) of an interval [CI_lo, CI_hi]; and the repetition count (7) implied by a target half-width when half-width h was measured at n repetitions:</w:t>
      </w:r>
    </w:p>
    <w:p w:rsidR="00A7482C" w:rsidRDefault="00A7482C" w:rsidP="00A7482C">
      <w:pPr>
        <w:pBdr>
          <w:top w:val="nil"/>
          <w:left w:val="nil"/>
          <w:bottom w:val="nil"/>
          <w:right w:val="nil"/>
          <w:between w:val="nil"/>
        </w:pBdr>
        <w:tabs>
          <w:tab w:val="right" w:pos="4320"/>
        </w:tabs>
        <w:spacing w:before="120" w:after="120"/>
        <w:rPr>
          <w:sz w:val="20"/>
          <w:szCs w:val="20"/>
        </w:rPr>
      </w:pPr>
      <m:oMath>
        <m:r>
          <m:t>O=100⋅</m:t>
        </m:r>
        <m:f>
          <m:fPr>
            <m:type m:val="bar"/>
          </m:fPr>
          <m:num>
            <m:sSub>
              <m:e>
                <m:r>
                  <m:rPr>
                    <m:sty m:val="p"/>
                  </m:rPr>
                  <m:t>med</m:t>
                </m:r>
              </m:e>
              <m:sub>
                <m:r>
                  <m:rPr>
                    <m:sty m:val="p"/>
                  </m:rPr>
                  <m:t>full</m:t>
                </m:r>
              </m:sub>
            </m:sSub>
            <m:r>
              <m:t>−</m:t>
            </m:r>
            <m:sSub>
              <m:e>
                <m:r>
                  <m:rPr>
                    <m:sty m:val="p"/>
                  </m:rPr>
                  <m:t>med</m:t>
                </m:r>
              </m:e>
              <m:sub>
                <m:r>
                  <m:rPr>
                    <m:sty m:val="p"/>
                  </m:rPr>
                  <m:t>base</m:t>
                </m:r>
              </m:sub>
            </m:sSub>
          </m:num>
          <m:den>
            <m:sSub>
              <m:e>
                <m:r>
                  <m:rPr>
                    <m:sty m:val="p"/>
                  </m:rPr>
                  <m:t>med</m:t>
                </m:r>
              </m:e>
              <m:sub>
                <m:r>
                  <m:rPr>
                    <m:sty m:val="p"/>
                  </m:rPr>
                  <m:t>base</m:t>
                </m:r>
              </m:sub>
            </m:sSub>
          </m:den>
        </m:f>
      </m:oMath>
      <w:r>
        <w:rPr>
          <w:sz w:val="20"/>
          <w:szCs w:val="20"/>
        </w:rPr>
        <w:t xml:space="preserve"/>
        <w:tab/>
        <w:t xml:space="preserve">(5)</w:t>
      </w:r>
    </w:p>
    <w:p w:rsidR="00A7482C" w:rsidRDefault="00A7482C" w:rsidP="00A7482C">
      <w:pPr>
        <w:pBdr>
          <w:top w:val="nil"/>
          <w:left w:val="nil"/>
          <w:bottom w:val="nil"/>
          <w:right w:val="nil"/>
          <w:between w:val="nil"/>
        </w:pBdr>
        <w:tabs>
          <w:tab w:val="right" w:pos="4320"/>
        </w:tabs>
        <w:spacing w:before="120" w:after="120"/>
        <w:rPr>
          <w:sz w:val="20"/>
          <w:szCs w:val="20"/>
        </w:rPr>
      </w:pPr>
      <m:oMath>
        <m:r>
          <m:t>h=</m:t>
        </m:r>
        <m:f>
          <m:fPr>
            <m:type m:val="bar"/>
          </m:fPr>
          <m:num>
            <m:sSub>
              <m:e>
                <m:r>
                  <m:rPr>
                    <m:sty m:val="p"/>
                  </m:rPr>
                  <m:t>CI</m:t>
                </m:r>
              </m:e>
              <m:sub>
                <m:r>
                  <m:rPr>
                    <m:sty m:val="p"/>
                  </m:rPr>
                  <m:t>hi</m:t>
                </m:r>
              </m:sub>
            </m:sSub>
            <m:r>
              <m:t>−</m:t>
            </m:r>
            <m:sSub>
              <m:e>
                <m:r>
                  <m:rPr>
                    <m:sty m:val="p"/>
                  </m:rPr>
                  <m:t>CI</m:t>
                </m:r>
              </m:e>
              <m:sub>
                <m:r>
                  <m:rPr>
                    <m:sty m:val="p"/>
                  </m:rPr>
                  <m:t>lo</m:t>
                </m:r>
              </m:sub>
            </m:sSub>
          </m:num>
          <m:den>
            <m:r>
              <m:t>2</m:t>
            </m:r>
          </m:den>
        </m:f>
      </m:oMath>
      <w:r>
        <w:rPr>
          <w:sz w:val="20"/>
          <w:szCs w:val="20"/>
        </w:rPr>
        <w:t xml:space="preserve"/>
        <w:tab/>
        <w:t xml:space="preserve">(6)</w:t>
      </w:r>
    </w:p>
    <w:p w:rsidR="00A7482C" w:rsidRDefault="00A7482C" w:rsidP="00A7482C">
      <w:pPr>
        <w:pBdr>
          <w:top w:val="nil"/>
          <w:left w:val="nil"/>
          <w:bottom w:val="nil"/>
          <w:right w:val="nil"/>
          <w:between w:val="nil"/>
        </w:pBdr>
        <w:tabs>
          <w:tab w:val="right" w:pos="4320"/>
        </w:tabs>
        <w:spacing w:before="120" w:after="120"/>
        <w:rPr>
          <w:sz w:val="20"/>
          <w:szCs w:val="20"/>
        </w:rPr>
      </w:pPr>
      <m:oMath>
        <m:sSub>
          <m:e>
            <m:r>
              <m:t>n</m:t>
            </m:r>
          </m:e>
          <m:sub>
            <m:r>
              <m:rPr>
                <m:sty m:val="p"/>
              </m:rPr>
              <m:t>req</m:t>
            </m:r>
          </m:sub>
        </m:sSub>
        <m:r>
          <m:t>=n⋅</m:t>
        </m:r>
        <m:sSup>
          <m:e>
            <m:d>
              <m:dPr>
                <m:sepChr m:val=""/>
              </m:dPr>
              <m:e>
                <m:f>
                  <m:fPr>
                    <m:type m:val="bar"/>
                  </m:fPr>
                  <m:num>
                    <m:r>
                      <m:t>h</m:t>
                    </m:r>
                  </m:num>
                  <m:den>
                    <m:sSub>
                      <m:e>
                        <m:r>
                          <m:t>h</m:t>
                        </m:r>
                      </m:e>
                      <m:sub>
                        <m:r>
                          <m:rPr>
                            <m:sty m:val="p"/>
                          </m:rPr>
                          <m:t>target</m:t>
                        </m:r>
                      </m:sub>
                    </m:sSub>
                  </m:den>
                </m:f>
              </m:e>
            </m:d>
          </m:e>
          <m:sup>
            <m:r>
              <m:t>2</m:t>
            </m:r>
          </m:sup>
        </m:sSup>
        <m:r>
          <m:t>,</m:t>
        </m:r>
        <m:sSub>
          <m:e>
            <m:r>
              <m:t>h</m:t>
            </m:r>
          </m:e>
          <m:sub>
            <m:r>
              <m:rPr>
                <m:sty m:val="p"/>
              </m:rPr>
              <m:t>target</m:t>
            </m:r>
          </m:sub>
        </m:sSub>
        <m:r>
          <m:t>=2</m:t>
        </m:r>
        <m:r>
          <m:rPr>
            <m:nor/>
          </m:rPr>
          <m:t> pp</m:t>
        </m:r>
      </m:oMath>
      <w:r>
        <w:rPr>
          <w:sz w:val="20"/>
          <w:szCs w:val="20"/>
        </w:rPr>
        <w:t xml:space="preserve"/>
        <w:tab/>
        <w:t xml:space="preserve">(7)</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Two additions make the main comparison decidable for the first time (EXP-013). First, the frozen test family of PLAN §22 — Wilcoxon signed-rank paired by workload instance, Mann–Whitney U within a cell, Cliff's δ and Holm correction — is computed exactly, without normal approximations, with the cell as the unit of analysis; the per-cell effect size (8) compares the m repetitions x_i of an arm with the n repetitions y_j of its comparator. Second, an A/A control measures the metric's own noise: two units executing the identical configuration in the same randomized block should differ only by chance, and their observed gap calibrates every other comparison in the design. Aggregate effects are reported as the geometric-mean ratio (9) of arm to comparator medians over the N cells c, which weights every cell equally instead of letting the largest cells dominate as a sum of medians does. Monitoring overhead in any measurement after EXP-009 — EXP-014 is the first — uses the paired statistic (10), the median over repetition blocks r of the per-block overhead, fixed by DEC-044 before such data existed.</w:t>
      </w:r>
    </w:p>
    <w:p w:rsidR="00A7482C" w:rsidRDefault="00A7482C" w:rsidP="00A7482C">
      <w:pPr>
        <w:pBdr>
          <w:top w:val="nil"/>
          <w:left w:val="nil"/>
          <w:bottom w:val="nil"/>
          <w:right w:val="nil"/>
          <w:between w:val="nil"/>
        </w:pBdr>
        <w:tabs>
          <w:tab w:val="right" w:pos="4320"/>
        </w:tabs>
        <w:spacing w:before="120" w:after="120"/>
        <w:rPr>
          <w:sz w:val="20"/>
          <w:szCs w:val="20"/>
        </w:rPr>
      </w:pPr>
      <m:oMath>
        <m:r>
          <m:t>δ=</m:t>
        </m:r>
        <m:f>
          <m:fPr>
            <m:type m:val="bar"/>
          </m:fPr>
          <m:num>
            <m:r>
              <m:t>#{(i,j):</m:t>
            </m:r>
            <m:sSub>
              <m:e>
                <m:r>
                  <m:t>x</m:t>
                </m:r>
              </m:e>
              <m:sub>
                <m:r>
                  <m:t>i</m:t>
                </m:r>
              </m:sub>
            </m:sSub>
            <m:r>
              <m:t>&gt;</m:t>
            </m:r>
            <m:sSub>
              <m:e>
                <m:r>
                  <m:t>y</m:t>
                </m:r>
              </m:e>
              <m:sub>
                <m:r>
                  <m:t>j</m:t>
                </m:r>
              </m:sub>
            </m:sSub>
            <m:r>
              <m:t>}−#{(i,j):</m:t>
            </m:r>
            <m:sSub>
              <m:e>
                <m:r>
                  <m:t>x</m:t>
                </m:r>
              </m:e>
              <m:sub>
                <m:r>
                  <m:t>i</m:t>
                </m:r>
              </m:sub>
            </m:sSub>
            <m:r>
              <m:t>&lt;</m:t>
            </m:r>
            <m:sSub>
              <m:e>
                <m:r>
                  <m:t>y</m:t>
                </m:r>
              </m:e>
              <m:sub>
                <m:r>
                  <m:t>j</m:t>
                </m:r>
              </m:sub>
            </m:sSub>
            <m:r>
              <m:t>}</m:t>
            </m:r>
          </m:num>
          <m:den>
            <m:r>
              <m:t>m⋅n</m:t>
            </m:r>
          </m:den>
        </m:f>
      </m:oMath>
      <w:r>
        <w:rPr>
          <w:sz w:val="20"/>
          <w:szCs w:val="20"/>
        </w:rPr>
        <w:t xml:space="preserve"/>
        <w:tab/>
        <w:t xml:space="preserve">(8)</w:t>
      </w:r>
    </w:p>
    <w:p w:rsidR="00A7482C" w:rsidRDefault="00A7482C" w:rsidP="00A7482C">
      <w:pPr>
        <w:pBdr>
          <w:top w:val="nil"/>
          <w:left w:val="nil"/>
          <w:bottom w:val="nil"/>
          <w:right w:val="nil"/>
          <w:between w:val="nil"/>
        </w:pBdr>
        <w:tabs>
          <w:tab w:val="right" w:pos="4320"/>
        </w:tabs>
        <w:spacing w:before="120" w:after="120"/>
        <w:rPr>
          <w:sz w:val="20"/>
          <w:szCs w:val="20"/>
        </w:rPr>
      </w:pPr>
      <m:oMath>
        <m:r>
          <m:rPr>
            <m:sty m:val="p"/>
          </m:rPr>
          <m:t>GMR</m:t>
        </m:r>
        <m:r>
          <m:t>=</m:t>
        </m:r>
        <m:r>
          <m:rPr>
            <m:sty m:val="p"/>
          </m:rPr>
          <m:t>exp</m:t>
        </m:r>
        <m:r>
          <m:t>(</m:t>
        </m:r>
        <m:f>
          <m:fPr>
            <m:type m:val="bar"/>
          </m:fPr>
          <m:num>
            <m:r>
              <m:t>1</m:t>
            </m:r>
          </m:num>
          <m:den>
            <m:r>
              <m:t>N</m:t>
            </m:r>
          </m:den>
        </m:f>
        <m:nary>
          <m:naryPr>
            <m:chr m:val="∑"/>
            <m:limLoc m:val="undOvr"/>
            <m:grow m:val="1"/>
            <m:subHide m:val="off"/>
            <m:supHide m:val="on"/>
          </m:naryPr>
          <m:sub>
            <m:r>
              <m:t>c</m:t>
            </m:r>
          </m:sub>
          <m:sup/>
          <m:e>
            <m:r>
              <m:rPr>
                <m:sty m:val="p"/>
              </m:rPr>
              <m:t>ln</m:t>
            </m:r>
          </m:e>
        </m:nary>
        <m:f>
          <m:fPr>
            <m:type m:val="bar"/>
          </m:fPr>
          <m:num>
            <m:sSub>
              <m:e>
                <m:r>
                  <m:rPr>
                    <m:sty m:val="p"/>
                  </m:rPr>
                  <m:t>med</m:t>
                </m:r>
              </m:e>
              <m:sub>
                <m:r>
                  <m:rPr>
                    <m:sty m:val="p"/>
                  </m:rPr>
                  <m:t>arm</m:t>
                </m:r>
                <m:r>
                  <m:t>,c</m:t>
                </m:r>
              </m:sub>
            </m:sSub>
          </m:num>
          <m:den>
            <m:sSub>
              <m:e>
                <m:r>
                  <m:rPr>
                    <m:sty m:val="p"/>
                  </m:rPr>
                  <m:t>med</m:t>
                </m:r>
              </m:e>
              <m:sub>
                <m:r>
                  <m:rPr>
                    <m:sty m:val="p"/>
                  </m:rPr>
                  <m:t>cmp</m:t>
                </m:r>
                <m:r>
                  <m:t>,c</m:t>
                </m:r>
              </m:sub>
            </m:sSub>
          </m:den>
        </m:f>
        <m:r>
          <m:t>)</m:t>
        </m:r>
      </m:oMath>
      <w:r>
        <w:rPr>
          <w:sz w:val="20"/>
          <w:szCs w:val="20"/>
        </w:rPr>
        <w:t xml:space="preserve"/>
        <w:tab/>
        <w:t xml:space="preserve">(9)</w:t>
      </w:r>
    </w:p>
    <w:p w:rsidR="00A7482C" w:rsidRDefault="00A7482C" w:rsidP="00A7482C">
      <w:pPr>
        <w:pBdr>
          <w:top w:val="nil"/>
          <w:left w:val="nil"/>
          <w:bottom w:val="nil"/>
          <w:right w:val="nil"/>
          <w:between w:val="nil"/>
        </w:pBdr>
        <w:tabs>
          <w:tab w:val="right" w:pos="4320"/>
        </w:tabs>
        <w:spacing w:before="120" w:after="120"/>
        <w:rPr>
          <w:sz w:val="20"/>
          <w:szCs w:val="20"/>
        </w:rPr>
      </w:pPr>
      <m:oMath>
        <m:sSub>
          <m:e>
            <m:r>
              <m:t>O</m:t>
            </m:r>
          </m:e>
          <m:sub>
            <m:r>
              <m:rPr>
                <m:sty m:val="p"/>
              </m:rPr>
              <m:t>paired</m:t>
            </m:r>
          </m:sub>
        </m:sSub>
        <m:r>
          <m:t>=</m:t>
        </m:r>
        <m:limLow>
          <m:e>
            <m:r>
              <m:rPr>
                <m:sty m:val="p"/>
              </m:rPr>
              <m:t>median</m:t>
            </m:r>
          </m:e>
          <m:lim>
            <m:r>
              <m:t>r</m:t>
            </m:r>
          </m:lim>
        </m:limLow>
        <m:r>
          <m:t>[100⋅</m:t>
        </m:r>
        <m:f>
          <m:fPr>
            <m:type m:val="bar"/>
          </m:fPr>
          <m:num>
            <m:sSub>
              <m:e>
                <m:r>
                  <m:t>t</m:t>
                </m:r>
              </m:e>
              <m:sub>
                <m:r>
                  <m:rPr>
                    <m:sty m:val="p"/>
                  </m:rPr>
                  <m:t>full</m:t>
                </m:r>
                <m:r>
                  <m:t>,r</m:t>
                </m:r>
              </m:sub>
            </m:sSub>
            <m:r>
              <m:t>−</m:t>
            </m:r>
            <m:sSub>
              <m:e>
                <m:r>
                  <m:t>t</m:t>
                </m:r>
              </m:e>
              <m:sub>
                <m:r>
                  <m:rPr>
                    <m:sty m:val="p"/>
                  </m:rPr>
                  <m:t>base</m:t>
                </m:r>
                <m:r>
                  <m:t>,r</m:t>
                </m:r>
              </m:sub>
            </m:sSub>
          </m:num>
          <m:den>
            <m:sSub>
              <m:e>
                <m:r>
                  <m:t>t</m:t>
                </m:r>
              </m:e>
              <m:sub>
                <m:r>
                  <m:rPr>
                    <m:sty m:val="p"/>
                  </m:rPr>
                  <m:t>base</m:t>
                </m:r>
                <m:r>
                  <m:t>,r</m:t>
                </m:r>
              </m:sub>
            </m:sSub>
          </m:den>
        </m:f>
        <m:r>
          <m:t>]</m:t>
        </m:r>
      </m:oMath>
      <w:r>
        <w:rPr>
          <w:sz w:val="20"/>
          <w:szCs w:val="20"/>
        </w:rPr>
        <w:t xml:space="preserve"/>
        <w:tab/>
        <w:t xml:space="preserve">(10)</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119146"/>
            <wp:docPr id="11290" name="Picture 11290"/>
            <wp:cNvGraphicFramePr>
              <a:graphicFrameLocks noChangeAspect="1"/>
            </wp:cNvGraphicFramePr>
            <a:graphic>
              <a:graphicData uri="http://schemas.openxmlformats.org/drawingml/2006/picture">
                <pic:pic>
                  <pic:nvPicPr>
                    <pic:cNvPr id="0" name="Fig 20 Evaluation Framework.png"/>
                    <pic:cNvPicPr/>
                  </pic:nvPicPr>
                  <pic:blipFill>
                    <a:blip r:embed="rId52"/>
                    <a:stretch>
                      <a:fillRect/>
                    </a:stretch>
                  </pic:blipFill>
                  <pic:spPr>
                    <a:xfrm>
                      <a:off x="0" y="0"/>
                      <a:ext cx="5669280" cy="2119146"/>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45" w:name="_AdaFig20"/>
      <w:r>
        <w:rPr>
          <w:rFonts w:ascii="Helvetica Neue" w:eastAsia="Helvetica Neue" w:hAnsi="Helvetica Neue" w:cs="Helvetica Neue"/>
          <w:b/>
          <w:bCs/>
          <w:color w:val="00629B"/>
          <w:sz w:val="14"/>
          <w:szCs w:val="14"/>
        </w:rPr>
        <w:t xml:space="preserve">FIGURE 20. </w:t>
      </w:r>
      <w:r>
        <w:rPr>
          <w:rFonts w:ascii="Helvetica Neue" w:eastAsia="Helvetica Neue" w:hAnsi="Helvetica Neue" w:cs="Helvetica Neue"/>
          <w:b/>
          <w:bCs/>
          <w:sz w:val="14"/>
          <w:szCs w:val="14"/>
        </w:rPr>
        <w:t xml:space="preserve">Evaluation Framework</w:t>
      </w:r>
      <w:bookmarkEnd w:id="145"/>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46" w:name="_AdaSec15"/>
      <w:r>
        <w:rPr>
          <w:rFonts w:ascii="Helvetica Neue" w:eastAsia="Helvetica Neue" w:hAnsi="Helvetica Neue" w:cs="Helvetica Neue"/>
          <w:b/>
          <w:bCs/>
          <w:color w:val="00629B"/>
          <w:sz w:val="18"/>
          <w:szCs w:val="18"/>
        </w:rPr>
        <w:t xml:space="preserve">XV. RESULTS AND FINDINGS</w:t>
      </w:r>
      <w:bookmarkEnd w:id="146"/>
    </w:p>
    <w:p w:rsidR="00A7482C" w:rsidRDefault="00A7482C" w:rsidP="00A7482C">
      <w:pPr>
        <w:pBdr>
          <w:top w:val="nil"/>
          <w:left w:val="nil"/>
          <w:bottom w:val="nil"/>
          <w:right w:val="nil"/>
          <w:between w:val="nil"/>
        </w:pBdr>
        <w:jc w:val="both"/>
        <w:rPr>
          <w:sz w:val="20"/>
          <w:szCs w:val="20"/>
        </w:rPr>
      </w:pPr>
      <w:r>
        <w:rPr>
          <w:b/>
          <w:sz w:val="20"/>
          <w:szCs w:val="20"/>
        </w:rPr>
        <w:t xml:space="preserve">Sensitivity (EXP-002):</w:t>
      </w:r>
      <w:r>
        <w:rPr>
          <w:sz w:val="20"/>
          <w:szCs w:val="20"/>
        </w:rPr>
        <w:t xml:space="preserve"> configuration choice moves median execution time by ≥10% on all four tested families — the feasibility gate passes and the learning problem is real. </w:t>
      </w:r>
      <w:r>
        <w:rPr>
          <w:b/>
          <w:sz w:val="20"/>
          <w:szCs w:val="20"/>
        </w:rPr>
        <w:t xml:space="preserve">Training (EXP-004, Fig. 23):</w:t>
      </w:r>
      <w:r>
        <w:rPr>
          <w:sz w:val="20"/>
          <w:szCs w:val="20"/>
        </w:rPr>
        <w:t xml:space="preserve"> three seeds ran 84/49/42 episodes to ε = 0.05/0.081/0.116 under the 500-guard (232 spent at gate time; 483 total), with zero failed submitted configurations — but cross-seed greedy agreement reached only 0.20 against the 0.70 threshold, so no single policy was promoted and all three replicates were evaluated as separate arms.</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Main comparison — EXP-005 (descriptive) and EXP-013 (confirmatory; Figs. 21 and 24, Table 11):</w:t>
      </w:r>
      <w:r>
        <w:rPr>
          <w:sz w:val="20"/>
          <w:szCs w:val="20"/>
        </w:rPr>
        <w:t xml:space="preserve"> EXP-005 executed 245/245 runs (195 usable) across 7 frozen instances × 7 arms; on its six common cells the median-of-5 sums were B0 142.38, B1 30.32, B4 38.34 and RL-s0 38.15 s, read at the time as "RL matches random search but not static tuning", with no inferential test run. Its arms ran in a fixed instance-then-arm queue, and arms executing the identical configuration differed by up to 2.16× (</w:t>
      </w:r>
      <w:r>
        <w:rPr>
          <w:rFonts w:ascii="Consolas" w:hAnsi="Consolas" w:cs="Consolas" w:eastAsia="Consolas"/>
          <w:sz w:val="20"/>
          <w:szCs w:val="20"/>
        </w:rPr>
        <w:t xml:space="preserve">F1_agg|large|s3</w:t>
      </w:r>
      <w:r>
        <w:rPr>
          <w:sz w:val="20"/>
          <w:szCs w:val="20"/>
        </w:rPr>
        <w:t xml:space="preserve">), so that ordering was confounded with queue position. EXP-013 re-tested it under the pre-registered design of DEC-053: 900 queue entries over 42 frozen TEST cells in randomized interleaved blocks, 790 usable executions, 0 charged to SC6. </w:t>
      </w:r>
      <w:r>
        <w:rPr>
          <w:b/>
          <w:sz w:val="20"/>
          <w:szCs w:val="20"/>
        </w:rPr>
        <w:t xml:space="preserve">H2 is accepted</w:t>
      </w:r>
      <w:r>
        <w:rPr>
          <w:sz w:val="20"/>
          <w:szCs w:val="20"/>
        </w:rPr>
        <w:t xml:space="preserve"> for every RL arm: the learned policy needs 0.249× the default's time (geometric-mean ratio (9); 95% CI 0.212–0.295) and is ≥10% faster with cell-level significance (exact one-sided Mann–Whitney) on 36 of 37 decidable cells (across cells, one-sided exact Wilcoxon, Holm-adjusted p = 4.4×10⁻¹¹). </w:t>
      </w:r>
      <w:r>
        <w:rPr>
          <w:b/>
          <w:sz w:val="20"/>
          <w:szCs w:val="20"/>
        </w:rPr>
        <w:t xml:space="preserve">H3 is rejected:</w:t>
      </w:r>
      <w:r>
        <w:rPr>
          <w:sz w:val="20"/>
          <w:szCs w:val="20"/>
        </w:rPr>
        <w:t xml:space="preserve"> against the tuned static configuration B1 — to which the rule heuristic B3 and the random search B4 also resolve on every TEST cell — RL is 1.22× slower (CI 1.13–1.32), slower beyond the noise band on 16 cells (all 15 F4_ski cells and </w:t>
      </w:r>
      <w:r>
        <w:rPr>
          <w:rFonts w:ascii="Consolas" w:hAnsi="Consolas" w:cs="Consolas" w:eastAsia="Consolas"/>
          <w:sz w:val="20"/>
          <w:szCs w:val="20"/>
        </w:rPr>
        <w:t xml:space="preserve">F5_mixed|medium</w:t>
      </w:r>
      <w:r>
        <w:rPr>
          <w:sz w:val="20"/>
          <w:szCs w:val="20"/>
        </w:rPr>
        <w:t xml:space="preserve">) and faster on one (</w:t>
      </w:r>
      <w:r>
        <w:rPr>
          <w:rFonts w:ascii="Consolas" w:hAnsi="Consolas" w:cs="Consolas" w:eastAsia="Consolas"/>
          <w:sz w:val="20"/>
          <w:szCs w:val="20"/>
        </w:rPr>
        <w:t xml:space="preserve">F3_rdd|small</w:t>
      </w:r>
      <w:r>
        <w:rPr>
          <w:sz w:val="20"/>
          <w:szCs w:val="20"/>
        </w:rPr>
        <w:t xml:space="preserve">, 0.75×). The deficit is structural rather than noisy: on F1_agg and F2_join the policy selects the static configuration itself (ratio 1.01), on F4_ski its parallelism-2 choice is slower beyond noise on every cell (1.35–1.87×, family mean 1.60×), and on F5_mixed it is within noise (1.06). The A/A control explains EXP-005's ordering: B4 and B1 execute the same configuration and differ by a median 2.0% (maximum 9.7%; all 38 cells inside the 11.89% band; two-sided Wilcoxon p = 0.19), so EXP-005's 2.16× spreads were queue position, not configuration, and "RL ≈ random search" was an artifact — random search converged to the static configuration, and RL trails both alike (RL/B4 1.21, CI 1.11–1.31; H3 versus B4 is rejected, and only the pre-registered 'competitive with random search' verdict is INCONCLUSIVE, because that interval's lower end touches the band edge).</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Structural failures and secondary results (EXP-013).</w:t>
      </w:r>
      <w:r>
        <w:rPr>
          <w:sz w:val="20"/>
          <w:szCs w:val="20"/>
        </w:rPr>
        <w:t xml:space="preserve"> All four probed </w:t>
      </w:r>
      <w:r>
        <w:rPr>
          <w:rFonts w:ascii="Consolas" w:hAnsi="Consolas" w:cs="Consolas" w:eastAsia="Consolas"/>
          <w:sz w:val="20"/>
          <w:szCs w:val="20"/>
        </w:rPr>
        <w:t xml:space="preserve">F3_rdd|large</w:t>
      </w:r>
      <w:r>
        <w:rPr>
          <w:sz w:val="20"/>
          <w:szCs w:val="20"/>
        </w:rPr>
        <w:t xml:space="preserve"> cells (seeds 0, 1, 2, 4) failed with the same Windows sort/spill file lock as seed 3, confirming that failure as structural. A new one appeared on </w:t>
      </w:r>
      <w:r>
        <w:rPr>
          <w:rFonts w:ascii="Consolas" w:hAnsi="Consolas" w:cs="Consolas" w:eastAsia="Consolas"/>
          <w:sz w:val="20"/>
          <w:szCs w:val="20"/>
        </w:rPr>
        <w:t xml:space="preserve">F3_rdd|medium|s4</w:t>
      </w:r>
      <w:r>
        <w:rPr>
          <w:sz w:val="20"/>
          <w:szCs w:val="20"/>
        </w:rPr>
        <w:t xml:space="preserve">: the default and the RL policy's rdd_sort choice (</w:t>
      </w:r>
      <w:r>
        <w:rPr>
          <w:rFonts w:ascii="Consolas" w:hAnsi="Consolas" w:cs="Consolas" w:eastAsia="Consolas"/>
          <w:sz w:val="20"/>
          <w:szCs w:val="20"/>
        </w:rPr>
        <w:t xml:space="preserve">G-p4-sp128</w:t>
      </w:r>
      <w:r>
        <w:rPr>
          <w:sz w:val="20"/>
          <w:szCs w:val="20"/>
        </w:rPr>
        <w:t xml:space="preserve">) failed 5/5 while the validation-tuned static configurations completed every run; the pre-registered halt rule stopped the campaign for diagnosis, and an operator-signed amendment (DEC-055) let the cell finish as frozen. Re-measured side by side, AQE-on (B0′) was faster than B0 beyond noise on none of six cells — X6's −14.24% on </w:t>
      </w:r>
      <w:r>
        <w:rPr>
          <w:rFonts w:ascii="Consolas" w:hAnsi="Consolas" w:cs="Consolas" w:eastAsia="Consolas"/>
          <w:sz w:val="20"/>
          <w:szCs w:val="20"/>
        </w:rPr>
        <w:t xml:space="preserve">F2_join|large</w:t>
      </w:r>
      <w:r>
        <w:rPr>
          <w:sz w:val="20"/>
          <w:szCs w:val="20"/>
        </w:rPr>
        <w:t xml:space="preserve"> became +1.8% — so that cross-day lead is retracted. Fresh medians matched EXP-005 within ±5% for 18 of 39 cell-arms, the misses concentrating where EXP-005's medians had been inflated by queue position, and X10's "medium reproduces, small drifts" pattern did not recur. Lag-1 autocorrelation in queue order was +0.86, reproducing the regime-structured drift of EXP-009, and an exploratory check found no carry-over from heavy default-configuration runs (8.1% versus 10.0% slow runs after versus not after B0).</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Resource utilization (EXP-013, Fig. 22):</w:t>
      </w:r>
      <w:r>
        <w:rPr>
          <w:sz w:val="20"/>
          <w:szCs w:val="20"/>
        </w:rPr>
        <w:t xml:space="preserve"> on cells where B0, B1 and RL all completed, shuffle volume per run differs by under 8% in every family; B1 and RL draw more host CPU than B0 (about twice on F2_join and F5_mixed) and need 16–32% of B0's session time on F1, F2, F4 and F5, while on F4_ski the policy's parallelism-2 choice draws the least CPU (11.3% vs 14.1% and 16.3%).</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Generalization (EXP-006):</w:t>
      </w:r>
      <w:r>
        <w:rPr>
          <w:sz w:val="20"/>
          <w:szCs w:val="20"/>
        </w:rPr>
        <w:t xml:space="preserve"> partial — 61 usable of 125 planned with heavy structural failures on unseen cells, so SC5 is not evaluable. </w:t>
      </w:r>
      <w:r>
        <w:rPr>
          <w:b/>
          <w:sz w:val="20"/>
          <w:szCs w:val="20"/>
        </w:rPr>
        <w:t xml:space="preserve">Overhead (EXP-009):</w:t>
      </w:r>
      <w:r>
        <w:rPr>
          <w:sz w:val="20"/>
          <w:szCs w:val="20"/>
        </w:rPr>
        <w:t xml:space="preserve"> 4,842 timing-valid runs (3,228 usable; the 1,614 NEITHER runs have no event log by design) over ~57.4 wall-clock hours; six of seven cells PASS the 5% budget by whole-interval position, with sysmon point estimates within ±0.2%. A pre-registered re-measurement (EXP-014, DEC-054; 270 runs in randomized blocks, all timing-valid) applied the paired statistic (10) that DEC-044 had fixed for future measurements: the sampler's overhead passed the 5% gate on six of seven cells with none failing — including </w:t>
      </w:r>
      <w:r>
        <w:rPr>
          <w:rFonts w:ascii="Consolas" w:hAnsi="Consolas" w:cs="Consolas" w:eastAsia="Consolas"/>
          <w:sz w:val="20"/>
          <w:szCs w:val="20"/>
        </w:rPr>
        <w:t xml:space="preserve">F1_agg|small</w:t>
      </w:r>
      <w:r>
        <w:rPr>
          <w:sz w:val="20"/>
          <w:szCs w:val="20"/>
        </w:rPr>
        <w:t xml:space="preserve">, inconclusive in EXP-009 — whereas the event log passed on only three, the other four intervals straddling the gate (upper ends 5.5–11.1%) around point estimates of −1.0% to +2.9%, again with none failing. The sampler conclusion therefore reproduces; the event log's six-of-seven pass is not re-established at this precision (its pre-registered prediction is refuted; no cell fails), and the unpaired statistic was inconclusive on every cell at these sample sizes, confirming why DEC-044 made the paired statistic primary. The pre-registered √n prediction failed on all seven cells (observed/predicted 0.18×–7.70×) because repetitions are serially correlated episodes, not independent draws.</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Robustness re-analysis (R1–R8):</w:t>
      </w:r>
      <w:r>
        <w:rPr>
          <w:sz w:val="20"/>
          <w:szCs w:val="20"/>
        </w:rPr>
        <w:t xml:space="preserve"> seed choice moves half-widths ≤0.1pp and BCa matches percentile CIs — the intervals are seed- and method-stable. But block bootstraps that respect serial dependence widen half-widths up to ~27pp and flip two of six PASS verdicts to INCONCLUSIVE; ACF stays +0.3…+0.7 at lag 3; CUSUM level shifts (up to 40%) land at the same repetition in all three interleaved arms — host drift, not overhead. The bimodality coefficient for the non-converging cell is 0.485 (below the 0.555 heuristic), so its distribution is reported as skewed-with-secondary-mass rather than bimodal. A "first PASS anywhere" stopping rule would have halted that cell at n = 29 — it never converged — quantifying the selection hazard. Dependence estimators used — over the run-ordered repetition times x_i with mean x̄, the lag-h autocorrelation (11) and the CUSUM path (12), and over a cell's time distribution the bimodality coefficient (13):</w:t>
      </w:r>
    </w:p>
    <w:p w:rsidR="00A7482C" w:rsidRDefault="00A7482C" w:rsidP="00A7482C">
      <w:pPr>
        <w:pBdr>
          <w:top w:val="nil"/>
          <w:left w:val="nil"/>
          <w:bottom w:val="nil"/>
          <w:right w:val="nil"/>
          <w:between w:val="nil"/>
        </w:pBdr>
        <w:tabs>
          <w:tab w:val="right" w:pos="4320"/>
        </w:tabs>
        <w:spacing w:before="120" w:after="120"/>
        <w:rPr>
          <w:sz w:val="20"/>
          <w:szCs w:val="20"/>
        </w:rPr>
      </w:pPr>
      <m:oMath>
        <m:sSub>
          <m:e>
            <m:limUpp>
              <m:e>
                <m:r>
                  <m:t>ρ</m:t>
                </m:r>
              </m:e>
              <m:lim>
                <m:r>
                  <m:t>^</m:t>
                </m:r>
              </m:lim>
            </m:limUpp>
          </m:e>
          <m:sub>
            <m:r>
              <m:t>h</m:t>
            </m:r>
          </m:sub>
        </m:sSub>
        <m:r>
          <m:t>=</m:t>
        </m:r>
        <m:f>
          <m:fPr>
            <m:type m:val="bar"/>
          </m:fPr>
          <m:num>
            <m:nary>
              <m:naryPr>
                <m:chr m:val="∑"/>
                <m:limLoc m:val="undOvr"/>
                <m:grow m:val="1"/>
                <m:subHide m:val="off"/>
                <m:supHide m:val="on"/>
              </m:naryPr>
              <m:sub>
                <m:r>
                  <m:t>i</m:t>
                </m:r>
              </m:sub>
              <m:sup/>
              <m:e>
                <m:r>
                  <m:t>(</m:t>
                </m:r>
              </m:e>
            </m:nary>
            <m:sSub>
              <m:e>
                <m:r>
                  <m:t>x</m:t>
                </m:r>
              </m:e>
              <m:sub>
                <m:r>
                  <m:t>i</m:t>
                </m:r>
              </m:sub>
            </m:sSub>
            <m:r>
              <m:t>−</m:t>
            </m:r>
            <m:bar>
              <m:barPr>
                <m:pos m:val="top"/>
              </m:barPr>
              <m:e>
                <m:r>
                  <m:t>x</m:t>
                </m:r>
              </m:e>
            </m:bar>
            <m:r>
              <m:t>)(</m:t>
            </m:r>
            <m:sSub>
              <m:e>
                <m:r>
                  <m:t>x</m:t>
                </m:r>
              </m:e>
              <m:sub>
                <m:r>
                  <m:t>i+h</m:t>
                </m:r>
              </m:sub>
            </m:sSub>
            <m:r>
              <m:t>−</m:t>
            </m:r>
            <m:bar>
              <m:barPr>
                <m:pos m:val="top"/>
              </m:barPr>
              <m:e>
                <m:r>
                  <m:t>x</m:t>
                </m:r>
              </m:e>
            </m:bar>
            <m:r>
              <m:t>)</m:t>
            </m:r>
          </m:num>
          <m:den>
            <m:nary>
              <m:naryPr>
                <m:chr m:val="∑"/>
                <m:limLoc m:val="undOvr"/>
                <m:grow m:val="1"/>
                <m:subHide m:val="off"/>
                <m:supHide m:val="on"/>
              </m:naryPr>
              <m:sub>
                <m:r>
                  <m:t>i</m:t>
                </m:r>
              </m:sub>
              <m:sup/>
              <m:e>
                <m:sSup>
                  <m:e>
                    <m:d>
                      <m:dPr>
                        <m:sepChr m:val="−"/>
                      </m:dPr>
                      <m:e>
                        <m:sSub>
                          <m:e>
                            <m:r>
                              <m:t>x</m:t>
                            </m:r>
                          </m:e>
                          <m:sub>
                            <m:r>
                              <m:t>i</m:t>
                            </m:r>
                          </m:sub>
                        </m:sSub>
                      </m:e>
                      <m:e>
                        <m:bar>
                          <m:barPr>
                            <m:pos m:val="top"/>
                          </m:barPr>
                          <m:e>
                            <m:r>
                              <m:t>x</m:t>
                            </m:r>
                          </m:e>
                        </m:bar>
                      </m:e>
                    </m:d>
                  </m:e>
                  <m:sup>
                    <m:r>
                      <m:t>2</m:t>
                    </m:r>
                  </m:sup>
                </m:sSup>
              </m:e>
            </m:nary>
          </m:den>
        </m:f>
      </m:oMath>
      <w:r>
        <w:rPr>
          <w:sz w:val="20"/>
          <w:szCs w:val="20"/>
        </w:rPr>
        <w:t xml:space="preserve"/>
        <w:tab/>
        <w:t xml:space="preserve">(11)</w:t>
      </w:r>
    </w:p>
    <w:p w:rsidR="00A7482C" w:rsidRDefault="00A7482C" w:rsidP="00A7482C">
      <w:pPr>
        <w:pBdr>
          <w:top w:val="nil"/>
          <w:left w:val="nil"/>
          <w:bottom w:val="nil"/>
          <w:right w:val="nil"/>
          <w:between w:val="nil"/>
        </w:pBdr>
        <w:tabs>
          <w:tab w:val="right" w:pos="4320"/>
        </w:tabs>
        <w:spacing w:before="120" w:after="120"/>
        <w:rPr>
          <w:sz w:val="20"/>
          <w:szCs w:val="20"/>
        </w:rPr>
      </w:pPr>
      <m:oMath>
        <m:sSub>
          <m:e>
            <m:r>
              <m:t>S</m:t>
            </m:r>
          </m:e>
          <m:sub>
            <m:r>
              <m:t>k</m:t>
            </m:r>
          </m:sub>
        </m:sSub>
        <m:r>
          <m:t>=</m:t>
        </m:r>
        <m:nary>
          <m:naryPr>
            <m:chr m:val="∑"/>
            <m:limLoc m:val="undOvr"/>
            <m:grow m:val="1"/>
            <m:subHide m:val="off"/>
            <m:supHide m:val="on"/>
          </m:naryPr>
          <m:sub>
            <m:r>
              <m:t>i≤k</m:t>
            </m:r>
          </m:sub>
          <m:sup/>
          <m:e>
            <m:r>
              <m:t>(</m:t>
            </m:r>
          </m:e>
        </m:nary>
        <m:sSub>
          <m:e>
            <m:r>
              <m:t>x</m:t>
            </m:r>
          </m:e>
          <m:sub>
            <m:r>
              <m:t>i</m:t>
            </m:r>
          </m:sub>
        </m:sSub>
        <m:r>
          <m:t>−</m:t>
        </m:r>
        <m:bar>
          <m:barPr>
            <m:pos m:val="top"/>
          </m:barPr>
          <m:e>
            <m:r>
              <m:t>x</m:t>
            </m:r>
          </m:e>
        </m:bar>
        <m:r>
          <m:t>)</m:t>
        </m:r>
      </m:oMath>
      <w:r>
        <w:rPr>
          <w:sz w:val="20"/>
          <w:szCs w:val="20"/>
        </w:rPr>
        <w:t xml:space="preserve"/>
        <w:tab/>
        <w:t xml:space="preserve">(12)</w:t>
      </w:r>
    </w:p>
    <w:p w:rsidR="00A7482C" w:rsidRDefault="00A7482C" w:rsidP="00A7482C">
      <w:pPr>
        <w:pBdr>
          <w:top w:val="nil"/>
          <w:left w:val="nil"/>
          <w:bottom w:val="nil"/>
          <w:right w:val="nil"/>
          <w:between w:val="nil"/>
        </w:pBdr>
        <w:tabs>
          <w:tab w:val="right" w:pos="4320"/>
        </w:tabs>
        <w:spacing w:before="120" w:after="120"/>
        <w:rPr>
          <w:sz w:val="20"/>
          <w:szCs w:val="20"/>
        </w:rPr>
      </w:pPr>
      <m:oMath>
        <m:r>
          <m:rPr>
            <m:sty m:val="p"/>
          </m:rPr>
          <m:t>BC</m:t>
        </m:r>
        <m:r>
          <m:t>=</m:t>
        </m:r>
        <m:f>
          <m:fPr>
            <m:type m:val="bar"/>
          </m:fPr>
          <m:num>
            <m:sSup>
              <m:e>
                <m:r>
                  <m:rPr>
                    <m:sty m:val="p"/>
                  </m:rPr>
                  <m:t>skew</m:t>
                </m:r>
              </m:e>
              <m:sup>
                <m:r>
                  <m:t>2</m:t>
                </m:r>
              </m:sup>
            </m:sSup>
            <m:r>
              <m:t>+1</m:t>
            </m:r>
          </m:num>
          <m:den>
            <m:r>
              <m:rPr>
                <m:sty m:val="p"/>
              </m:rPr>
              <m:t>kurtosis</m:t>
            </m:r>
          </m:den>
        </m:f>
      </m:oMath>
      <w:r>
        <w:rPr>
          <w:sz w:val="20"/>
          <w:szCs w:val="20"/>
        </w:rPr>
        <w:t xml:space="preserve"/>
        <w:tab/>
        <w:t xml:space="preserve">(13)</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Supporting studies complete the picture. EXP-003 baseline selection ran 96 validation observations (12 configs × 8 cells × 1 rep) to freeze B1 (</w:t>
      </w:r>
      <w:r>
        <w:rPr>
          <w:rFonts w:ascii="Consolas" w:hAnsi="Consolas" w:cs="Consolas" w:eastAsia="Consolas"/>
          <w:sz w:val="20"/>
          <w:szCs w:val="20"/>
        </w:rPr>
        <w:t xml:space="preserve">G-p8-sp16</w:t>
      </w:r>
      <w:r>
        <w:rPr>
          <w:sz w:val="20"/>
          <w:szCs w:val="20"/>
        </w:rPr>
        <w:t xml:space="preserve">) and per-family B2 assignments; the planned 120-run formal comparison was separately authorized after the register gap (estimate ~30 vs required 216) was recorded as a plan defect. EXP-007 state ablations (A1: 35+35 episodes; A2: 35+21) found 0/4 and 0/2 cross-seed greedy agreement with single-episode evidence on key states — no-evidence zones reported, not smoothed over. EXP-008's derived ablation recomputed 48 evidence pairs at zero execution cost. Training density explains the disagreement: 16.8/9.8/8.4 episodes per evidence-bearing state per seed, 41 of 60 state-action cells ever visited (68.3%), and the single unanimous state resting on one episode per seed executed by no seed — the M8 failure is a measurement-density fact, and the report treats it as such. The measured per-execution reward noise floor is 0.069 (largest repeat-execution range on an identical cell-action-config), and the SC6 ledger closes at 483/500: 232 training baseline + 84 B4 search + 20 EXP-001 + 126 EXP-007 + 21 smoke, with 17 remaining (488/500 combined — 12 remaining — once the five disclosed demo TRAIN runs of EXP-012 are added).</w:t>
      </w:r>
    </w:p>
    <w:p w:rsidR="00A7482C" w:rsidRDefault="00A7482C" w:rsidP="00A7482C">
      <w:pPr>
        <w:pBdr>
          <w:top w:val="nil"/>
          <w:left w:val="nil"/>
          <w:bottom w:val="nil"/>
          <w:right w:val="nil"/>
          <w:between w:val="nil"/>
        </w:pBdr>
        <w:ind w:firstLine="200"/>
        <w:jc w:val="both"/>
        <w:rPr>
          <w:sz w:val="20"/>
          <w:szCs w:val="20"/>
        </w:rPr>
      </w:pPr>
      <w:r>
        <w:rPr>
          <w:b/>
          <w:sz w:val="20"/>
          <w:szCs w:val="20"/>
        </w:rPr>
        <w:t xml:space="preserve">Confirmation pilots (X-family, own register lines, 0 charged to SC6; DEC-047–051):</w:t>
      </w:r>
      <w:r>
        <w:rPr>
          <w:sz w:val="20"/>
          <w:szCs w:val="20"/>
        </w:rPr>
        <w:t xml:space="preserve"> the heuristic collapse is confirmed empirically — B3 resolved byte-identically to B1 on 7/7 executed validation cells (X1), while the sampler sweep (X2, n=1, +9.4/−7.3/+1.8% across 0.5/1/2 Hz) and the event-log confound pair (X3, −3.9%, inside the 11.89% noise band) stay descriptive and bounded, changing no verdict. The AQE-on arm B0′ (X6, 35 runs, 30 usable) was </w:t>
      </w:r>
      <w:r>
        <w:rPr>
          <w:b/>
          <w:sz w:val="20"/>
          <w:szCs w:val="20"/>
        </w:rPr>
        <w:t xml:space="preserve">mixed</w:t>
      </w:r>
      <w:r>
        <w:rPr>
          <w:sz w:val="20"/>
          <w:szCs w:val="20"/>
        </w:rPr>
        <w:t xml:space="preserve"> — </w:t>
      </w:r>
      <w:r>
        <w:rPr>
          <w:rFonts w:ascii="Consolas" w:hAnsi="Consolas" w:cs="Consolas" w:eastAsia="Consolas"/>
          <w:sz w:val="20"/>
          <w:szCs w:val="20"/>
        </w:rPr>
        <w:t xml:space="preserve">F2_join|large</w:t>
      </w:r>
      <w:r>
        <w:rPr>
          <w:sz w:val="20"/>
          <w:szCs w:val="20"/>
        </w:rPr>
        <w:t xml:space="preserve"> −14.24% outside noise, the other five decidable cells inside noise or reversed, </w:t>
      </w:r>
      <w:r>
        <w:rPr>
          <w:rFonts w:ascii="Consolas" w:hAnsi="Consolas" w:cs="Consolas" w:eastAsia="Consolas"/>
          <w:sz w:val="20"/>
          <w:szCs w:val="20"/>
        </w:rPr>
        <w:t xml:space="preserve">F3_rdd|large</w:t>
      </w:r>
      <w:r>
        <w:rPr>
          <w:sz w:val="20"/>
          <w:szCs w:val="20"/>
        </w:rPr>
        <w:t xml:space="preserve"> incomplete, pooling forbidden — and EXP-013's interleaved re-test did not reproduce its lead. The F2 lead rematch (X8; a TEST-cell run outside its recorded scope, disclosed in DEC-052) </w:t>
      </w:r>
      <w:r>
        <w:rPr>
          <w:b/>
          <w:sz w:val="20"/>
          <w:szCs w:val="20"/>
        </w:rPr>
        <w:t xml:space="preserve">falsified its own hypothesis</w:t>
      </w:r>
      <w:r>
        <w:rPr>
          <w:sz w:val="20"/>
          <w:szCs w:val="20"/>
        </w:rPr>
        <w:t xml:space="preserve">: a fresh same-day run gave B1 2.964 s vs RL-s1 2.947 s (−0.57%), so neither the EXP-005 −8.6% lead (vs B4, in-noise, different baseline) nor the cross-day −24.7% implied by an earlier figure description (unsourced, dropped) was reproduced — drift, not a stable lead. The NYC-Taxi pilot (X9, 20 runs) established transfer </w:t>
      </w:r>
      <w:r>
        <w:rPr>
          <w:b/>
          <w:sz w:val="20"/>
          <w:szCs w:val="20"/>
        </w:rPr>
        <w:t xml:space="preserve">feasibility</w:t>
      </w:r>
      <w:r>
        <w:rPr>
          <w:sz w:val="20"/>
          <w:szCs w:val="20"/>
        </w:rPr>
        <w:t xml:space="preserve"> — tuned −78.05%/−69.82% vs B0 with the frozen RL-s0 greedy action identical to the tuned configuration, verified from the artifact (30 planned runs → 20 executed plus identity, substitution disclosed) — not a generality verdict; SC5 remains NOT EVALUABLE. The SC7 pilot (X10, 20 runs) returned </w:t>
      </w:r>
      <w:r>
        <w:rPr>
          <w:b/>
          <w:sz w:val="20"/>
          <w:szCs w:val="20"/>
        </w:rPr>
        <w:t xml:space="preserve">PARTIAL 2/4</w:t>
      </w:r>
      <w:r>
        <w:rPr>
          <w:sz w:val="20"/>
          <w:szCs w:val="20"/>
        </w:rPr>
        <w:t xml:space="preserve">: medium arms reproduce within ±5% (+2.71%/+4.74%), small arms miss it (+6.82%/+11.73%), so reproducibility claims stay partial (EXP-013: 18/39) while the full 60-run EXP-011 remains unauthorized (gap G-01). The live demo rehearsal (EXP-012) ran 5/5 usable TRAIN-split executions on its own line — B0 4.699 s slowest, B3 and the frozen policy clustering near 1.4–1.8 s, episode 1 acting on </w:t>
      </w:r>
      <w:r>
        <w:rPr>
          <w:rFonts w:ascii="Consolas" w:hAnsi="Consolas" w:cs="Consolas" w:eastAsia="Consolas"/>
          <w:sz w:val="20"/>
          <w:szCs w:val="20"/>
        </w:rPr>
        <w:t xml:space="preserve">G-p8-sp32</w:t>
      </w:r>
      <w:r>
        <w:rPr>
          <w:sz w:val="20"/>
          <w:szCs w:val="20"/>
        </w:rPr>
        <w:t xml:space="preserve"> (the pre-registered </w:t>
      </w:r>
      <w:r>
        <w:rPr>
          <w:rFonts w:ascii="Consolas" w:hAnsi="Consolas" w:cs="Consolas" w:eastAsia="Consolas"/>
          <w:sz w:val="20"/>
          <w:szCs w:val="20"/>
        </w:rPr>
        <w:t xml:space="preserve">G-p8-sp16</w:t>
      </w:r>
      <w:r>
        <w:rPr>
          <w:sz w:val="20"/>
          <w:szCs w:val="20"/>
        </w:rPr>
        <w:t xml:space="preserve"> identity parenthetical did not hold and is reported as-is).</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47" w:name="_AdaTab11"/>
      <w:r>
        <w:rPr>
          <w:smallCaps/>
          <w:sz w:val="16"/>
          <w:szCs w:val="16"/>
        </w:rPr>
        <w:t xml:space="preserve">TABLE 11</w:t>
      </w:r>
      <w:bookmarkEnd w:id="147"/>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Experimental Results Summary</w:t>
      </w:r>
    </w:p>
    <w:tbl>
      <w:tblPr>
        <w:tblStyle w:val="TableGrid"/>
        <w:tblW w:type="auto" w:w="0"/>
        <w:jc w:val="center"/>
        <w:tblLook w:firstColumn="1" w:firstRow="1" w:lastColumn="0" w:lastRow="0" w:noHBand="0" w:noVBand="1" w:val="04A0"/>
      </w:tblPr>
      <w:tblGrid>
        <w:gridCol w:w="2256"/>
        <w:gridCol w:w="2256"/>
        <w:gridCol w:w="2256"/>
        <w:gridCol w:w="2256"/>
      </w:tblGrid>
      <w:tr>
        <w:trPr>
          <w:cantSplit/>
          <w:tblHeader/>
        </w:trPr>
        <w:tc>
          <w:tcPr>
            <w:tcW w:type="dxa" w:w="2256"/>
          </w:tcPr>
          <w:p>
            <w:pPr>
              <w:keepNext/>
            </w:pPr>
            <w:r>
              <w:rPr>
                <w:b/>
                <w:sz w:val="16"/>
                <w:szCs w:val="16"/>
              </w:rPr>
              <w:t xml:space="preserve">Question</w:t>
            </w:r>
          </w:p>
        </w:tc>
        <w:tc>
          <w:tcPr>
            <w:tcW w:type="dxa" w:w="2256"/>
          </w:tcPr>
          <w:p>
            <w:pPr>
              <w:keepNext/>
            </w:pPr>
            <w:r>
              <w:rPr>
                <w:b/>
                <w:sz w:val="16"/>
                <w:szCs w:val="16"/>
              </w:rPr>
              <w:t xml:space="preserve">Study</w:t>
            </w:r>
          </w:p>
        </w:tc>
        <w:tc>
          <w:tcPr>
            <w:tcW w:type="dxa" w:w="2256"/>
          </w:tcPr>
          <w:p>
            <w:pPr>
              <w:keepNext/>
            </w:pPr>
            <w:r>
              <w:rPr>
                <w:b/>
                <w:sz w:val="16"/>
                <w:szCs w:val="16"/>
              </w:rPr>
              <w:t xml:space="preserve">Measured result</w:t>
            </w:r>
          </w:p>
        </w:tc>
        <w:tc>
          <w:tcPr>
            <w:tcW w:type="dxa" w:w="2256"/>
          </w:tcPr>
          <w:p>
            <w:pPr>
              <w:keepNext/>
            </w:pPr>
            <w:r>
              <w:rPr>
                <w:b/>
                <w:sz w:val="16"/>
                <w:szCs w:val="16"/>
              </w:rPr>
              <w:t xml:space="preserve">Verdict</w:t>
            </w:r>
          </w:p>
        </w:tc>
      </w:tr>
      <w:tr>
        <w:trPr>
          <w:cantSplit/>
        </w:trPr>
        <w:tc>
          <w:tcPr>
            <w:tcW w:type="dxa" w:w="2256"/>
          </w:tcPr>
          <w:p>
            <w:pPr>
              <w:keepNext/>
            </w:pPr>
            <w:r>
              <w:rPr>
                <w:sz w:val="16"/>
                <w:szCs w:val="16"/>
              </w:rPr>
              <w:t xml:space="preserve">Configuration choice matters (SC1/H1)</w:t>
            </w:r>
          </w:p>
        </w:tc>
        <w:tc>
          <w:tcPr>
            <w:tcW w:type="dxa" w:w="2256"/>
          </w:tcPr>
          <w:p>
            <w:pPr>
              <w:keepNext/>
            </w:pPr>
            <w:r>
              <w:rPr>
                <w:sz w:val="16"/>
                <w:szCs w:val="16"/>
              </w:rPr>
              <w:t xml:space="preserve">EXP-002</w:t>
            </w:r>
          </w:p>
        </w:tc>
        <w:tc>
          <w:tcPr>
            <w:tcW w:type="dxa" w:w="2256"/>
          </w:tcPr>
          <w:p>
            <w:pPr>
              <w:keepNext/>
            </w:pPr>
            <w:r>
              <w:rPr>
                <w:sz w:val="16"/>
                <w:szCs w:val="16"/>
              </w:rPr>
              <w:t xml:space="preserve">≥10% median spread on 4/4 families</w:t>
            </w:r>
          </w:p>
        </w:tc>
        <w:tc>
          <w:tcPr>
            <w:tcW w:type="dxa" w:w="2256"/>
          </w:tcPr>
          <w:p>
            <w:pPr>
              <w:keepNext/>
            </w:pPr>
            <w:r>
              <w:rPr>
                <w:sz w:val="16"/>
                <w:szCs w:val="16"/>
              </w:rPr>
              <w:t xml:space="preserve">PASS</w:t>
            </w:r>
          </w:p>
        </w:tc>
      </w:tr>
      <w:tr>
        <w:trPr>
          <w:cantSplit/>
        </w:trPr>
        <w:tc>
          <w:tcPr>
            <w:tcW w:type="dxa" w:w="2256"/>
          </w:tcPr>
          <w:p>
            <w:r>
              <w:rPr>
                <w:sz w:val="16"/>
                <w:szCs w:val="16"/>
              </w:rPr>
              <w:t xml:space="preserve">Learning fits the budget (SC6, clause 1)</w:t>
            </w:r>
          </w:p>
        </w:tc>
        <w:tc>
          <w:tcPr>
            <w:tcW w:type="dxa" w:w="2256"/>
          </w:tcPr>
          <w:p>
            <w:r>
              <w:rPr>
                <w:sz w:val="16"/>
                <w:szCs w:val="16"/>
              </w:rPr>
              <w:t xml:space="preserve">Training ledger</w:t>
            </w:r>
          </w:p>
        </w:tc>
        <w:tc>
          <w:tcPr>
            <w:tcW w:type="dxa" w:w="2256"/>
          </w:tcPr>
          <w:p>
            <w:r>
              <w:rPr>
                <w:sz w:val="16"/>
                <w:szCs w:val="16"/>
              </w:rPr>
              <w:t xml:space="preserve">483/500 executions; 0 failed submitted configurations</w:t>
            </w:r>
          </w:p>
        </w:tc>
        <w:tc>
          <w:tcPr>
            <w:tcW w:type="dxa" w:w="2256"/>
          </w:tcPr>
          <w:p>
            <w:r>
              <w:rPr>
                <w:sz w:val="16"/>
                <w:szCs w:val="16"/>
              </w:rPr>
              <w:t xml:space="preserve">PASS</w:t>
            </w:r>
          </w:p>
        </w:tc>
      </w:tr>
      <w:tr>
        <w:trPr>
          <w:cantSplit/>
        </w:trPr>
        <w:tc>
          <w:tcPr>
            <w:tcW w:type="dxa" w:w="2256"/>
          </w:tcPr>
          <w:p>
            <w:r>
              <w:rPr>
                <w:sz w:val="16"/>
                <w:szCs w:val="16"/>
              </w:rPr>
              <w:t xml:space="preserve">RL beats Spark defaults (H2, SC2)</w:t>
            </w:r>
          </w:p>
        </w:tc>
        <w:tc>
          <w:tcPr>
            <w:tcW w:type="dxa" w:w="2256"/>
          </w:tcPr>
          <w:p>
            <w:r>
              <w:rPr>
                <w:sz w:val="16"/>
                <w:szCs w:val="16"/>
              </w:rPr>
              <w:t xml:space="preserve">EXP-013, 37 cells</w:t>
            </w:r>
          </w:p>
        </w:tc>
        <w:tc>
          <w:tcPr>
            <w:tcW w:type="dxa" w:w="2256"/>
          </w:tcPr>
          <w:p>
            <w:r>
              <w:rPr>
                <w:sz w:val="16"/>
                <w:szCs w:val="16"/>
              </w:rPr>
              <w:t xml:space="preserve">GMR 0.249 (CI 0.212–0.295); ≥10% faster on 36/37; Holm p = 4.4×10⁻¹¹</w:t>
            </w:r>
          </w:p>
        </w:tc>
        <w:tc>
          <w:tcPr>
            <w:tcW w:type="dxa" w:w="2256"/>
          </w:tcPr>
          <w:p>
            <w:r>
              <w:rPr>
                <w:sz w:val="16"/>
                <w:szCs w:val="16"/>
              </w:rPr>
              <w:t xml:space="preserve">ACCEPTED</w:t>
            </w:r>
          </w:p>
        </w:tc>
      </w:tr>
      <w:tr>
        <w:trPr>
          <w:cantSplit/>
        </w:trPr>
        <w:tc>
          <w:tcPr>
            <w:tcW w:type="dxa" w:w="2256"/>
          </w:tcPr>
          <w:p>
            <w:r>
              <w:rPr>
                <w:sz w:val="16"/>
                <w:szCs w:val="16"/>
              </w:rPr>
              <w:t xml:space="preserve">RL beats heuristic and random search (H3, SC3–SC4)</w:t>
            </w:r>
          </w:p>
        </w:tc>
        <w:tc>
          <w:tcPr>
            <w:tcW w:type="dxa" w:w="2256"/>
          </w:tcPr>
          <w:p>
            <w:r>
              <w:rPr>
                <w:sz w:val="16"/>
                <w:szCs w:val="16"/>
              </w:rPr>
              <w:t xml:space="preserve">EXP-013, 37 cells</w:t>
            </w:r>
          </w:p>
        </w:tc>
        <w:tc>
          <w:tcPr>
            <w:tcW w:type="dxa" w:w="2256"/>
          </w:tcPr>
          <w:p>
            <w:r>
              <w:rPr>
                <w:sz w:val="16"/>
                <w:szCs w:val="16"/>
              </w:rPr>
              <w:t xml:space="preserve">RL/B1 1.218 (CI 1.128–1.319); RL/B4 1.206 (CI 1.115–1.309); worse on 16 cells vs B1 (15 vs B4), better on 1</w:t>
            </w:r>
          </w:p>
        </w:tc>
        <w:tc>
          <w:tcPr>
            <w:tcW w:type="dxa" w:w="2256"/>
          </w:tcPr>
          <w:p>
            <w:r>
              <w:rPr>
                <w:sz w:val="16"/>
                <w:szCs w:val="16"/>
              </w:rPr>
              <w:t xml:space="preserve">REJECTED</w:t>
            </w:r>
          </w:p>
        </w:tc>
      </w:tr>
      <w:tr>
        <w:trPr>
          <w:cantSplit/>
        </w:trPr>
        <w:tc>
          <w:tcPr>
            <w:tcW w:type="dxa" w:w="2256"/>
          </w:tcPr>
          <w:p>
            <w:r>
              <w:rPr>
                <w:sz w:val="16"/>
                <w:szCs w:val="16"/>
              </w:rPr>
              <w:t xml:space="preserve">Identical configurations agree (A/A)</w:t>
            </w:r>
          </w:p>
        </w:tc>
        <w:tc>
          <w:tcPr>
            <w:tcW w:type="dxa" w:w="2256"/>
          </w:tcPr>
          <w:p>
            <w:r>
              <w:rPr>
                <w:sz w:val="16"/>
                <w:szCs w:val="16"/>
              </w:rPr>
              <w:t xml:space="preserve">EXP-013, 38 cells</w:t>
            </w:r>
          </w:p>
        </w:tc>
        <w:tc>
          <w:tcPr>
            <w:tcW w:type="dxa" w:w="2256"/>
          </w:tcPr>
          <w:p>
            <w:r>
              <w:rPr>
                <w:sz w:val="16"/>
                <w:szCs w:val="16"/>
              </w:rPr>
              <w:t xml:space="preserve">Median gap 2.0%, maximum 9.7%; 38/38 within 11.89%</w:t>
            </w:r>
          </w:p>
        </w:tc>
        <w:tc>
          <w:tcPr>
            <w:tcW w:type="dxa" w:w="2256"/>
          </w:tcPr>
          <w:p>
            <w:r>
              <w:rPr>
                <w:sz w:val="16"/>
                <w:szCs w:val="16"/>
              </w:rPr>
              <w:t xml:space="preserve">AFFIRMED</w:t>
            </w:r>
          </w:p>
        </w:tc>
      </w:tr>
      <w:tr>
        <w:trPr>
          <w:cantSplit/>
        </w:trPr>
        <w:tc>
          <w:tcPr>
            <w:tcW w:type="dxa" w:w="2256"/>
          </w:tcPr>
          <w:p>
            <w:r>
              <w:rPr>
                <w:sz w:val="16"/>
                <w:szCs w:val="16"/>
              </w:rPr>
              <w:t xml:space="preserve">AQE-on helps shuffle-heavy cells</w:t>
            </w:r>
          </w:p>
        </w:tc>
        <w:tc>
          <w:tcPr>
            <w:tcW w:type="dxa" w:w="2256"/>
          </w:tcPr>
          <w:p>
            <w:r>
              <w:rPr>
                <w:sz w:val="16"/>
                <w:szCs w:val="16"/>
              </w:rPr>
              <w:t xml:space="preserve">EXP-013 B0′, 6 cells</w:t>
            </w:r>
          </w:p>
        </w:tc>
        <w:tc>
          <w:tcPr>
            <w:tcW w:type="dxa" w:w="2256"/>
          </w:tcPr>
          <w:p>
            <w:r>
              <w:rPr>
                <w:sz w:val="16"/>
                <w:szCs w:val="16"/>
              </w:rPr>
              <w:t xml:space="preserve">Faster beyond noise on 0/6; X6's −14.24% → +1.8%</w:t>
            </w:r>
          </w:p>
        </w:tc>
        <w:tc>
          <w:tcPr>
            <w:tcW w:type="dxa" w:w="2256"/>
          </w:tcPr>
          <w:p>
            <w:r>
              <w:rPr>
                <w:sz w:val="16"/>
                <w:szCs w:val="16"/>
              </w:rPr>
              <w:t xml:space="preserve">X6 lead not replicated (P7 refuted)</w:t>
            </w:r>
          </w:p>
        </w:tc>
      </w:tr>
      <w:tr>
        <w:trPr>
          <w:cantSplit/>
        </w:trPr>
        <w:tc>
          <w:tcPr>
            <w:tcW w:type="dxa" w:w="2256"/>
          </w:tcPr>
          <w:p>
            <w:r>
              <w:rPr>
                <w:sz w:val="16"/>
                <w:szCs w:val="16"/>
              </w:rPr>
              <w:t xml:space="preserve">Monitoring overhead ≤5% (SC6, clause 2)</w:t>
            </w:r>
          </w:p>
        </w:tc>
        <w:tc>
          <w:tcPr>
            <w:tcW w:type="dxa" w:w="2256"/>
          </w:tcPr>
          <w:p>
            <w:r>
              <w:rPr>
                <w:sz w:val="16"/>
                <w:szCs w:val="16"/>
              </w:rPr>
              <w:t xml:space="preserve">EXP-009; EXP-014 (paired)</w:t>
            </w:r>
          </w:p>
        </w:tc>
        <w:tc>
          <w:tcPr>
            <w:tcW w:type="dxa" w:w="2256"/>
          </w:tcPr>
          <w:p>
            <w:r>
              <w:rPr>
                <w:sz w:val="16"/>
                <w:szCs w:val="16"/>
              </w:rPr>
              <w:t xml:space="preserve">EXP-009 6/7 PASS; EXP-014 sampler 6/7 PASS, event log 3/7 PASS (0 FAIL, 4 inconclusive)</w:t>
            </w:r>
          </w:p>
        </w:tc>
        <w:tc>
          <w:tcPr>
            <w:tcW w:type="dxa" w:w="2256"/>
          </w:tcPr>
          <w:p>
            <w:r>
              <w:rPr>
                <w:sz w:val="16"/>
                <w:szCs w:val="16"/>
              </w:rPr>
              <w:t xml:space="preserve">Sampler AFFIRMED; event log not re-established (Q2 refuted, 0 FAIL)</w:t>
            </w:r>
          </w:p>
        </w:tc>
      </w:tr>
      <w:tr>
        <w:trPr>
          <w:cantSplit/>
        </w:trPr>
        <w:tc>
          <w:tcPr>
            <w:tcW w:type="dxa" w:w="2256"/>
          </w:tcPr>
          <w:p>
            <w:r>
              <w:rPr>
                <w:sz w:val="16"/>
                <w:szCs w:val="16"/>
              </w:rPr>
              <w:t xml:space="preserve">Re-runs reproduce within ±5% (SC7)</w:t>
            </w:r>
          </w:p>
        </w:tc>
        <w:tc>
          <w:tcPr>
            <w:tcW w:type="dxa" w:w="2256"/>
          </w:tcPr>
          <w:p>
            <w:r>
              <w:rPr>
                <w:sz w:val="16"/>
                <w:szCs w:val="16"/>
              </w:rPr>
              <w:t xml:space="preserve">EXP-013 vs EXP-005; X10</w:t>
            </w:r>
          </w:p>
        </w:tc>
        <w:tc>
          <w:tcPr>
            <w:tcW w:type="dxa" w:w="2256"/>
          </w:tcPr>
          <w:p>
            <w:r>
              <w:rPr>
                <w:sz w:val="16"/>
                <w:szCs w:val="16"/>
              </w:rPr>
              <w:t xml:space="preserve">18/39 cell-arms; pilot 2/4</w:t>
            </w:r>
          </w:p>
        </w:tc>
        <w:tc>
          <w:tcPr>
            <w:tcW w:type="dxa" w:w="2256"/>
          </w:tcPr>
          <w:p>
            <w:r>
              <w:rPr>
                <w:sz w:val="16"/>
                <w:szCs w:val="16"/>
              </w:rPr>
              <w:t xml:space="preserve">PARTIAL</w:t>
            </w:r>
          </w:p>
        </w:tc>
      </w:tr>
      <w:tr>
        <w:trPr>
          <w:cantSplit/>
        </w:trPr>
        <w:tc>
          <w:tcPr>
            <w:tcW w:type="dxa" w:w="2256"/>
          </w:tcPr>
          <w:p>
            <w:r>
              <w:rPr>
                <w:sz w:val="16"/>
                <w:szCs w:val="16"/>
              </w:rPr>
              <w:t xml:space="preserve">Policies generalize (H4, SC5)</w:t>
            </w:r>
          </w:p>
        </w:tc>
        <w:tc>
          <w:tcPr>
            <w:tcW w:type="dxa" w:w="2256"/>
          </w:tcPr>
          <w:p>
            <w:r>
              <w:rPr>
                <w:sz w:val="16"/>
                <w:szCs w:val="16"/>
              </w:rPr>
              <w:t xml:space="preserve">EXP-006</w:t>
            </w:r>
          </w:p>
        </w:tc>
        <w:tc>
          <w:tcPr>
            <w:tcW w:type="dxa" w:w="2256"/>
          </w:tcPr>
          <w:p>
            <w:r>
              <w:rPr>
                <w:sz w:val="16"/>
                <w:szCs w:val="16"/>
              </w:rPr>
              <w:t xml:space="preserve">Seen-advantage baseline never frozen</w:t>
            </w:r>
          </w:p>
        </w:tc>
        <w:tc>
          <w:tcPr>
            <w:tcW w:type="dxa" w:w="2256"/>
          </w:tcPr>
          <w:p>
            <w:r>
              <w:rPr>
                <w:sz w:val="16"/>
                <w:szCs w:val="16"/>
              </w:rPr>
              <w:t xml:space="preserve">NOT EVALUABLE</w:t>
            </w:r>
          </w:p>
        </w:tc>
      </w:tr>
    </w:tbl>
    <w:p/>
    <w:p>
      <w:pPr>
        <w:keepNext/>
        <w:jc w:val="center"/>
      </w:pPr>
      <w:r>
        <w:drawing>
          <wp:inline xmlns:a="http://schemas.openxmlformats.org/drawingml/2006/main" xmlns:pic="http://schemas.openxmlformats.org/drawingml/2006/picture">
            <wp:extent cx="5669280" cy="2664798"/>
            <wp:docPr id="11291" name="Picture 11291"/>
            <wp:cNvGraphicFramePr>
              <a:graphicFrameLocks noChangeAspect="1"/>
            </wp:cNvGraphicFramePr>
            <a:graphic>
              <a:graphicData uri="http://schemas.openxmlformats.org/drawingml/2006/picture">
                <pic:pic>
                  <pic:nvPicPr>
                    <pic:cNvPr id="0" name="Fig 21 Performance Benchmark Results.png"/>
                    <pic:cNvPicPr/>
                  </pic:nvPicPr>
                  <pic:blipFill>
                    <a:blip r:embed="rId53"/>
                    <a:stretch>
                      <a:fillRect/>
                    </a:stretch>
                  </pic:blipFill>
                  <pic:spPr>
                    <a:xfrm>
                      <a:off x="0" y="0"/>
                      <a:ext cx="5669280" cy="266479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48" w:name="_AdaFig21"/>
      <w:r>
        <w:rPr>
          <w:rFonts w:ascii="Helvetica Neue" w:eastAsia="Helvetica Neue" w:hAnsi="Helvetica Neue" w:cs="Helvetica Neue"/>
          <w:b/>
          <w:bCs/>
          <w:color w:val="00629B"/>
          <w:sz w:val="14"/>
          <w:szCs w:val="14"/>
        </w:rPr>
        <w:t xml:space="preserve">FIGURE 21. </w:t>
      </w:r>
      <w:r>
        <w:rPr>
          <w:rFonts w:ascii="Helvetica Neue" w:eastAsia="Helvetica Neue" w:hAnsi="Helvetica Neue" w:cs="Helvetica Neue"/>
          <w:b/>
          <w:bCs/>
          <w:sz w:val="14"/>
          <w:szCs w:val="14"/>
        </w:rPr>
        <w:t xml:space="preserve">Performance Benchmark Results. EXP-013 per-cell medians relative to B1 (log scale, lower is faster; grey band ±11.89% noise). B0 is above the band on 36 of its 37 completed cells; the policy is above it on all 15 F4_ski cells and F5_mixed|medium, below it on F3_rdd|small, and fails with B0 on F3_rdd|medium|s4.</w:t>
      </w:r>
      <w:bookmarkEnd w:id="148"/>
    </w:p>
    <w:p>
      <w:pPr>
        <w:keepNext/>
        <w:jc w:val="center"/>
      </w:pPr>
      <w:r>
        <w:drawing>
          <wp:inline xmlns:a="http://schemas.openxmlformats.org/drawingml/2006/main" xmlns:pic="http://schemas.openxmlformats.org/drawingml/2006/picture">
            <wp:extent cx="5669280" cy="1800262"/>
            <wp:docPr id="11292" name="Picture 11292"/>
            <wp:cNvGraphicFramePr>
              <a:graphicFrameLocks noChangeAspect="1"/>
            </wp:cNvGraphicFramePr>
            <a:graphic>
              <a:graphicData uri="http://schemas.openxmlformats.org/drawingml/2006/picture">
                <pic:pic>
                  <pic:nvPicPr>
                    <pic:cNvPr id="0" name="Fig 22 Resource Utilization Analysis.png"/>
                    <pic:cNvPicPr/>
                  </pic:nvPicPr>
                  <pic:blipFill>
                    <a:blip r:embed="rId54"/>
                    <a:stretch>
                      <a:fillRect/>
                    </a:stretch>
                  </pic:blipFill>
                  <pic:spPr>
                    <a:xfrm>
                      <a:off x="0" y="0"/>
                      <a:ext cx="5669280" cy="1800262"/>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49" w:name="_AdaFig22"/>
      <w:r>
        <w:rPr>
          <w:rFonts w:ascii="Helvetica Neue" w:eastAsia="Helvetica Neue" w:hAnsi="Helvetica Neue" w:cs="Helvetica Neue"/>
          <w:b/>
          <w:bCs/>
          <w:color w:val="00629B"/>
          <w:sz w:val="14"/>
          <w:szCs w:val="14"/>
        </w:rPr>
        <w:t xml:space="preserve">FIGURE 22. </w:t>
      </w:r>
      <w:r>
        <w:rPr>
          <w:rFonts w:ascii="Helvetica Neue" w:eastAsia="Helvetica Neue" w:hAnsi="Helvetica Neue" w:cs="Helvetica Neue"/>
          <w:b/>
          <w:bCs/>
          <w:sz w:val="14"/>
          <w:szCs w:val="14"/>
        </w:rPr>
        <w:t xml:space="preserve">Resource Utilization Analysis. Per-family medians from the EXP-013 monitoring records over cells where B0, B1 and RL all completed: near-equal shuffle volume, higher CPU draw, and shorter sessions on four of five families for the tuned configurations (Section XV).</w:t>
      </w:r>
      <w:bookmarkEnd w:id="149"/>
    </w:p>
    <w:p>
      <w:pPr>
        <w:keepNext/>
        <w:jc w:val="center"/>
      </w:pPr>
      <w:r>
        <w:drawing>
          <wp:inline xmlns:a="http://schemas.openxmlformats.org/drawingml/2006/main" xmlns:pic="http://schemas.openxmlformats.org/drawingml/2006/picture">
            <wp:extent cx="5669280" cy="1795391"/>
            <wp:docPr id="11293" name="Picture 11293"/>
            <wp:cNvGraphicFramePr>
              <a:graphicFrameLocks noChangeAspect="1"/>
            </wp:cNvGraphicFramePr>
            <a:graphic>
              <a:graphicData uri="http://schemas.openxmlformats.org/drawingml/2006/picture">
                <pic:pic>
                  <pic:nvPicPr>
                    <pic:cNvPr id="0" name="Fig 23 RL Convergence Analysis.png"/>
                    <pic:cNvPicPr/>
                  </pic:nvPicPr>
                  <pic:blipFill>
                    <a:blip r:embed="rId55"/>
                    <a:stretch>
                      <a:fillRect/>
                    </a:stretch>
                  </pic:blipFill>
                  <pic:spPr>
                    <a:xfrm>
                      <a:off x="0" y="0"/>
                      <a:ext cx="5669280" cy="1795391"/>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50" w:name="_AdaFig23"/>
      <w:r>
        <w:rPr>
          <w:rFonts w:ascii="Helvetica Neue" w:eastAsia="Helvetica Neue" w:hAnsi="Helvetica Neue" w:cs="Helvetica Neue"/>
          <w:b/>
          <w:bCs/>
          <w:color w:val="00629B"/>
          <w:sz w:val="14"/>
          <w:szCs w:val="14"/>
        </w:rPr>
        <w:t xml:space="preserve">FIGURE 23. </w:t>
      </w:r>
      <w:r>
        <w:rPr>
          <w:rFonts w:ascii="Helvetica Neue" w:eastAsia="Helvetica Neue" w:hAnsi="Helvetica Neue" w:cs="Helvetica Neue"/>
          <w:b/>
          <w:bCs/>
          <w:sz w:val="14"/>
          <w:szCs w:val="14"/>
        </w:rPr>
        <w:t xml:space="preserve">RL Convergence Analysis. Reward, |TD error| and ε per episode for the three training seeds (84, 49 and 42 episodes) under the 500-execution guard; ε decays toward its 0.05 floor (reached by seed 0 only), and with cross-seed agreement at 0.20 convergence is not claimed.</w:t>
      </w:r>
      <w:bookmarkEnd w:id="150"/>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51" w:name="_AdaSec16"/>
      <w:r>
        <w:rPr>
          <w:rFonts w:ascii="Helvetica Neue" w:eastAsia="Helvetica Neue" w:hAnsi="Helvetica Neue" w:cs="Helvetica Neue"/>
          <w:b/>
          <w:bCs/>
          <w:color w:val="00629B"/>
          <w:sz w:val="18"/>
          <w:szCs w:val="18"/>
        </w:rPr>
        <w:t xml:space="preserve">XVI. COMPARATIVE ANALYSIS</w:t>
      </w:r>
      <w:bookmarkEnd w:id="151"/>
    </w:p>
    <w:p w:rsidR="00A7482C" w:rsidRDefault="00A7482C" w:rsidP="00A7482C">
      <w:pPr>
        <w:pBdr>
          <w:top w:val="nil"/>
          <w:left w:val="nil"/>
          <w:bottom w:val="nil"/>
          <w:right w:val="nil"/>
          <w:between w:val="nil"/>
        </w:pBdr>
        <w:jc w:val="both"/>
        <w:rPr>
          <w:sz w:val="20"/>
          <w:szCs w:val="20"/>
        </w:rPr>
      </w:pPr>
      <w:r>
        <w:rPr>
          <w:sz w:val="20"/>
          <w:szCs w:val="20"/>
        </w:rPr>
        <w:t xml:space="preserve">Fig. 24 summarizes the comparison per workload family as geometric-mean speed relative to the tuned static configuration B1 (outward is faster), from the drift-controlled EXP-013 study. Against the four measured comparison classes the picture is now decided rather than descriptive. </w:t>
      </w:r>
      <w:r>
        <w:rPr>
          <w:b/>
          <w:sz w:val="20"/>
          <w:szCs w:val="20"/>
        </w:rPr>
        <w:t xml:space="preserve">Static scheduling:</w:t>
      </w:r>
      <w:r>
        <w:rPr>
          <w:sz w:val="20"/>
          <w:szCs w:val="20"/>
        </w:rPr>
        <w:t xml:space="preserve"> the validation-tuned static configuration (B1) is the strongest measured arm; the learned policy is 1.22× slower overall (95% CI 1.13–1.32) — identical on the aggregation and join families, 1.60× slower on skew joins (family mean) and within noise on mixed pipelines — so superiority over static tuning is rejected (H3). </w:t>
      </w:r>
      <w:r>
        <w:rPr>
          <w:b/>
          <w:sz w:val="20"/>
          <w:szCs w:val="20"/>
        </w:rPr>
        <w:t xml:space="preserve">Heuristic optimization:</w:t>
      </w:r>
      <w:r>
        <w:rPr>
          <w:sz w:val="20"/>
          <w:szCs w:val="20"/>
        </w:rPr>
        <w:t xml:space="preserve"> the size rule B3 resolves to B1's configuration on every TEST cell (and was byte-identical on 7/7 executed validation cells, X1), so "RL versus heuristics" is the same comparison as RL versus B1. </w:t>
      </w:r>
      <w:r>
        <w:rPr>
          <w:b/>
          <w:sz w:val="20"/>
          <w:szCs w:val="20"/>
        </w:rPr>
        <w:t xml:space="preserve">Equal-budget random search:</w:t>
      </w:r>
      <w:r>
        <w:rPr>
          <w:sz w:val="20"/>
          <w:szCs w:val="20"/>
        </w:rPr>
        <w:t xml:space="preserve"> B4 also resolves to B1's configuration on every TEST cell, and EXP-013's A/A control shows the two agree within a 2.0% median gap (maximum 9.7%); EXP-005's apparent tie between RL and random search was a queue-order artifact, and RL trails random search by 1.21×, nearly the 1.22× it trails static tuning. </w:t>
      </w:r>
      <w:r>
        <w:rPr>
          <w:b/>
          <w:sz w:val="20"/>
          <w:szCs w:val="20"/>
        </w:rPr>
        <w:t xml:space="preserve">Adaptive query execution:</w:t>
      </w:r>
      <w:r>
        <w:rPr>
          <w:sz w:val="20"/>
          <w:szCs w:val="20"/>
        </w:rPr>
        <w:t xml:space="preserve"> executed side by side with B0 in the same randomized blocks, AQE-on (B0′) was faster beyond noise on none of six cells (</w:t>
      </w:r>
      <w:r>
        <w:rPr>
          <w:rFonts w:ascii="Consolas" w:hAnsi="Consolas" w:cs="Consolas" w:eastAsia="Consolas"/>
          <w:sz w:val="20"/>
          <w:szCs w:val="20"/>
        </w:rPr>
        <w:t xml:space="preserve">F2_join|large</w:t>
      </w:r>
      <w:r>
        <w:rPr>
          <w:sz w:val="20"/>
          <w:szCs w:val="20"/>
        </w:rPr>
        <w:t xml:space="preserve"> +1.8%; two skew-join cells 18–21% slower but not significantly), so X6's single-cell lead is retracted and no complementarity claim is made; pooling AQE-on with RL arms remains forbidden (gap G-04). </w:t>
      </w:r>
      <w:r>
        <w:rPr>
          <w:b/>
          <w:sz w:val="20"/>
          <w:szCs w:val="20"/>
        </w:rPr>
        <w:t xml:space="preserve">AutoML-style systems:</w:t>
      </w:r>
      <w:r>
        <w:rPr>
          <w:sz w:val="20"/>
          <w:szCs w:val="20"/>
        </w:rPr>
        <w:t xml:space="preserve"> offline tuners in the OtterTune/CDBTune lineage [7][8] and recent DRL tuners [54] trade larger tuning budgets for potentially stronger optima; AdaSpark's counter-position is sample efficiency (≤500 runs, single machine) with governed adaptation — a different point on the cost–adaptivity frontier, not a domination claim. What the learner did deliver is a large, significant improvement over Spark defaults (4.0×, H2 accepted), reached within the budget yet 1.22× short of competent static tuning (H3).</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Table 12 states each comparison class with its measured result.</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52" w:name="_AdaTab12"/>
      <w:r>
        <w:rPr>
          <w:smallCaps/>
          <w:sz w:val="16"/>
          <w:szCs w:val="16"/>
        </w:rPr>
        <w:t xml:space="preserve">TABLE 12</w:t>
      </w:r>
      <w:bookmarkEnd w:id="152"/>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Comparative Benchmark Analysis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Comparison class</w:t>
            </w:r>
          </w:p>
        </w:tc>
        <w:tc>
          <w:tcPr>
            <w:tcW w:type="dxa" w:w="3009"/>
          </w:tcPr>
          <w:p>
            <w:pPr>
              <w:keepNext/>
            </w:pPr>
            <w:r>
              <w:rPr>
                <w:b/>
                <w:sz w:val="16"/>
                <w:szCs w:val="16"/>
              </w:rPr>
              <w:t xml:space="preserve">Rival</w:t>
            </w:r>
          </w:p>
        </w:tc>
        <w:tc>
          <w:tcPr>
            <w:tcW w:type="dxa" w:w="3009"/>
          </w:tcPr>
          <w:p>
            <w:pPr>
              <w:keepNext/>
            </w:pPr>
            <w:r>
              <w:rPr>
                <w:b/>
                <w:sz w:val="16"/>
                <w:szCs w:val="16"/>
              </w:rPr>
              <w:t xml:space="preserve">Result (EXP-013 unless noted)</w:t>
            </w:r>
          </w:p>
        </w:tc>
      </w:tr>
      <w:tr>
        <w:trPr>
          <w:cantSplit/>
        </w:trPr>
        <w:tc>
          <w:tcPr>
            <w:tcW w:type="dxa" w:w="3009"/>
          </w:tcPr>
          <w:p>
            <w:pPr>
              <w:keepNext/>
            </w:pPr>
            <w:r>
              <w:rPr>
                <w:sz w:val="16"/>
                <w:szCs w:val="16"/>
              </w:rPr>
              <w:t xml:space="preserve">Spark defaults</w:t>
            </w:r>
          </w:p>
        </w:tc>
        <w:tc>
          <w:tcPr>
            <w:tcW w:type="dxa" w:w="3009"/>
          </w:tcPr>
          <w:p>
            <w:pPr>
              <w:keepNext/>
            </w:pPr>
            <w:r>
              <w:rPr>
                <w:sz w:val="16"/>
                <w:szCs w:val="16"/>
              </w:rPr>
              <w:t xml:space="preserve">B0</w:t>
            </w:r>
          </w:p>
        </w:tc>
        <w:tc>
          <w:tcPr>
            <w:tcW w:type="dxa" w:w="3009"/>
          </w:tcPr>
          <w:p>
            <w:pPr>
              <w:keepNext/>
            </w:pPr>
            <w:r>
              <w:rPr>
                <w:sz w:val="16"/>
                <w:szCs w:val="16"/>
              </w:rPr>
              <w:t xml:space="preserve">RL needs 0.249× the default's time (CI 0.212–0.295); ≥10% faster on 36/37 cells; H2 accepted</w:t>
            </w:r>
          </w:p>
        </w:tc>
      </w:tr>
      <w:tr>
        <w:trPr>
          <w:cantSplit/>
        </w:trPr>
        <w:tc>
          <w:tcPr>
            <w:tcW w:type="dxa" w:w="3009"/>
          </w:tcPr>
          <w:p>
            <w:pPr>
              <w:keepNext/>
            </w:pPr>
            <w:r>
              <w:rPr>
                <w:sz w:val="16"/>
                <w:szCs w:val="16"/>
              </w:rPr>
              <w:t xml:space="preserve">Static scheduling</w:t>
            </w:r>
          </w:p>
        </w:tc>
        <w:tc>
          <w:tcPr>
            <w:tcW w:type="dxa" w:w="3009"/>
          </w:tcPr>
          <w:p>
            <w:pPr>
              <w:keepNext/>
            </w:pPr>
            <w:r>
              <w:rPr>
                <w:sz w:val="16"/>
                <w:szCs w:val="16"/>
              </w:rPr>
              <w:t xml:space="preserve">B1 global / B2 per-family</w:t>
            </w:r>
          </w:p>
        </w:tc>
        <w:tc>
          <w:tcPr>
            <w:tcW w:type="dxa" w:w="3009"/>
          </w:tcPr>
          <w:p>
            <w:pPr>
              <w:keepNext/>
            </w:pPr>
            <w:r>
              <w:rPr>
                <w:sz w:val="16"/>
                <w:szCs w:val="16"/>
              </w:rPr>
              <w:t xml:space="preserve">RL/B1 1.218 (CI 1.128–1.319); worse on 16 cells, better on 1; H3 rejected. B2 equals B1 or RL's configuration except on F3 (sp64), where it is within 1.3% of B1</w:t>
            </w:r>
          </w:p>
        </w:tc>
      </w:tr>
      <w:tr>
        <w:trPr>
          <w:cantSplit/>
        </w:trPr>
        <w:tc>
          <w:tcPr>
            <w:tcW w:type="dxa" w:w="3009"/>
          </w:tcPr>
          <w:p>
            <w:pPr>
              <w:keepNext/>
            </w:pPr>
            <w:r>
              <w:rPr>
                <w:sz w:val="16"/>
                <w:szCs w:val="16"/>
              </w:rPr>
              <w:t xml:space="preserve">Heuristic</w:t>
            </w:r>
          </w:p>
        </w:tc>
        <w:tc>
          <w:tcPr>
            <w:tcW w:type="dxa" w:w="3009"/>
          </w:tcPr>
          <w:p>
            <w:pPr>
              <w:keepNext/>
            </w:pPr>
            <w:r>
              <w:rPr>
                <w:sz w:val="16"/>
                <w:szCs w:val="16"/>
              </w:rPr>
              <w:t xml:space="preserve">B3 size rule</w:t>
            </w:r>
          </w:p>
        </w:tc>
        <w:tc>
          <w:tcPr>
            <w:tcW w:type="dxa" w:w="3009"/>
          </w:tcPr>
          <w:p>
            <w:pPr>
              <w:keepNext/>
            </w:pPr>
            <w:r>
              <w:rPr>
                <w:sz w:val="16"/>
                <w:szCs w:val="16"/>
              </w:rPr>
              <w:t xml:space="preserve">Same configuration as B1 on every TEST cell; byte-identical on 7/7 validation cells (X1)</w:t>
            </w:r>
          </w:p>
        </w:tc>
      </w:tr>
      <w:tr>
        <w:trPr>
          <w:cantSplit/>
        </w:trPr>
        <w:tc>
          <w:tcPr>
            <w:tcW w:type="dxa" w:w="3009"/>
          </w:tcPr>
          <w:p>
            <w:pPr>
              <w:keepNext/>
            </w:pPr>
            <w:r>
              <w:rPr>
                <w:sz w:val="16"/>
                <w:szCs w:val="16"/>
              </w:rPr>
              <w:t xml:space="preserve">Equal-budget search</w:t>
            </w:r>
          </w:p>
        </w:tc>
        <w:tc>
          <w:tcPr>
            <w:tcW w:type="dxa" w:w="3009"/>
          </w:tcPr>
          <w:p>
            <w:pPr>
              <w:keepNext/>
            </w:pPr>
            <w:r>
              <w:rPr>
                <w:sz w:val="16"/>
                <w:szCs w:val="16"/>
              </w:rPr>
              <w:t xml:space="preserve">B4 random (84 TRAIN runs)</w:t>
            </w:r>
          </w:p>
        </w:tc>
        <w:tc>
          <w:tcPr>
            <w:tcW w:type="dxa" w:w="3009"/>
          </w:tcPr>
          <w:p>
            <w:pPr>
              <w:keepNext/>
            </w:pPr>
            <w:r>
              <w:rPr>
                <w:sz w:val="16"/>
                <w:szCs w:val="16"/>
              </w:rPr>
              <w:t xml:space="preserve">Same configuration as B1; A/A gap median 2.0%, maximum 9.7% (38/38 within noise); RL/B4 1.206 (CI 1.115–1.309)</w:t>
            </w:r>
          </w:p>
        </w:tc>
      </w:tr>
      <w:tr>
        <w:trPr>
          <w:cantSplit/>
        </w:trPr>
        <w:tc>
          <w:tcPr>
            <w:tcW w:type="dxa" w:w="3009"/>
          </w:tcPr>
          <w:p>
            <w:pPr>
              <w:keepNext/>
            </w:pPr>
            <w:r>
              <w:rPr>
                <w:sz w:val="16"/>
                <w:szCs w:val="16"/>
              </w:rPr>
              <w:t xml:space="preserve">Built-in adaptivity</w:t>
            </w:r>
          </w:p>
        </w:tc>
        <w:tc>
          <w:tcPr>
            <w:tcW w:type="dxa" w:w="3009"/>
          </w:tcPr>
          <w:p>
            <w:pPr>
              <w:keepNext/>
            </w:pPr>
            <w:r>
              <w:rPr>
                <w:sz w:val="16"/>
                <w:szCs w:val="16"/>
              </w:rPr>
              <w:t xml:space="preserve">B0′ AQE-on</w:t>
            </w:r>
          </w:p>
        </w:tc>
        <w:tc>
          <w:tcPr>
            <w:tcW w:type="dxa" w:w="3009"/>
          </w:tcPr>
          <w:p>
            <w:pPr>
              <w:keepNext/>
            </w:pPr>
            <w:r>
              <w:rPr>
                <w:sz w:val="16"/>
                <w:szCs w:val="16"/>
              </w:rPr>
              <w:t xml:space="preserve">Faster than B0 beyond noise on 0/6 cells (interleaved); X6's −14.24% not replicated</w:t>
            </w:r>
          </w:p>
        </w:tc>
      </w:tr>
      <w:tr>
        <w:trPr>
          <w:cantSplit/>
        </w:trPr>
        <w:tc>
          <w:tcPr>
            <w:tcW w:type="dxa" w:w="3009"/>
          </w:tcPr>
          <w:p>
            <w:r>
              <w:rPr>
                <w:sz w:val="16"/>
                <w:szCs w:val="16"/>
              </w:rPr>
              <w:t xml:space="preserve">Offline AutoML-style</w:t>
            </w:r>
          </w:p>
        </w:tc>
        <w:tc>
          <w:tcPr>
            <w:tcW w:type="dxa" w:w="3009"/>
          </w:tcPr>
          <w:p>
            <w:r>
              <w:rPr>
                <w:sz w:val="16"/>
                <w:szCs w:val="16"/>
              </w:rPr>
              <w:t xml:space="preserve">OtterTune/CDBTune class [7][8]</w:t>
            </w:r>
          </w:p>
        </w:tc>
        <w:tc>
          <w:tcPr>
            <w:tcW w:type="dxa" w:w="3009"/>
          </w:tcPr>
          <w:p>
            <w:r>
              <w:rPr>
                <w:sz w:val="16"/>
                <w:szCs w:val="16"/>
              </w:rPr>
              <w:t xml:space="preserve">Different budget regime; no head-to-head</w:t>
            </w:r>
          </w:p>
        </w:tc>
      </w:tr>
    </w:tbl>
    <w:p/>
    <w:p>
      <w:pPr>
        <w:keepNext/>
        <w:jc w:val="center"/>
      </w:pPr>
      <w:r>
        <w:drawing>
          <wp:inline xmlns:a="http://schemas.openxmlformats.org/drawingml/2006/main" xmlns:pic="http://schemas.openxmlformats.org/drawingml/2006/picture">
            <wp:extent cx="5669280" cy="4908550"/>
            <wp:docPr id="11294" name="Picture 11294"/>
            <wp:cNvGraphicFramePr>
              <a:graphicFrameLocks noChangeAspect="1"/>
            </wp:cNvGraphicFramePr>
            <a:graphic>
              <a:graphicData uri="http://schemas.openxmlformats.org/drawingml/2006/picture">
                <pic:pic>
                  <pic:nvPicPr>
                    <pic:cNvPr id="0" name="Fig 24 Comparative Radar Chart.png"/>
                    <pic:cNvPicPr/>
                  </pic:nvPicPr>
                  <pic:blipFill>
                    <a:blip r:embed="rId56"/>
                    <a:stretch>
                      <a:fillRect/>
                    </a:stretch>
                  </pic:blipFill>
                  <pic:spPr>
                    <a:xfrm>
                      <a:off x="0" y="0"/>
                      <a:ext cx="5669280" cy="4908550"/>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53" w:name="_AdaFig24"/>
      <w:r>
        <w:rPr>
          <w:rFonts w:ascii="Helvetica Neue" w:eastAsia="Helvetica Neue" w:hAnsi="Helvetica Neue" w:cs="Helvetica Neue"/>
          <w:b/>
          <w:bCs/>
          <w:color w:val="00629B"/>
          <w:sz w:val="14"/>
          <w:szCs w:val="14"/>
        </w:rPr>
        <w:t xml:space="preserve">FIGURE 24. </w:t>
      </w:r>
      <w:r>
        <w:rPr>
          <w:rFonts w:ascii="Helvetica Neue" w:eastAsia="Helvetica Neue" w:hAnsi="Helvetica Neue" w:cs="Helvetica Neue"/>
          <w:b/>
          <w:bCs/>
          <w:sz w:val="14"/>
          <w:szCs w:val="14"/>
        </w:rPr>
        <w:t xml:space="preserve">Comparative Radar Chart. Per-family geometric-mean speed relative to B1 (outward is faster; n = cells every arm completed): RL is within noise of B1 and B4 on F1, F2 and F5, falls inside them on F4, and leads only on the single matched F3 cell.</w:t>
      </w:r>
      <w:bookmarkEnd w:id="153"/>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54" w:name="_AdaSec17"/>
      <w:r>
        <w:rPr>
          <w:rFonts w:ascii="Helvetica Neue" w:eastAsia="Helvetica Neue" w:hAnsi="Helvetica Neue" w:cs="Helvetica Neue"/>
          <w:b/>
          <w:bCs/>
          <w:color w:val="00629B"/>
          <w:sz w:val="18"/>
          <w:szCs w:val="18"/>
        </w:rPr>
        <w:t xml:space="preserve">XVII. EXPLAINABILITY, RELIABILITY, AND TRUSTWORTHINESS ASSESSMENT</w:t>
      </w:r>
      <w:bookmarkEnd w:id="154"/>
    </w:p>
    <w:p w:rsidR="00A7482C" w:rsidRDefault="00A7482C" w:rsidP="00A7482C">
      <w:pPr>
        <w:pBdr>
          <w:top w:val="nil"/>
          <w:left w:val="nil"/>
          <w:bottom w:val="nil"/>
          <w:right w:val="nil"/>
          <w:between w:val="nil"/>
        </w:pBdr>
        <w:jc w:val="both"/>
        <w:rPr>
          <w:sz w:val="20"/>
          <w:szCs w:val="20"/>
        </w:rPr>
      </w:pPr>
      <w:r>
        <w:rPr>
          <w:sz w:val="20"/>
          <w:szCs w:val="20"/>
        </w:rPr>
        <w:t xml:space="preserve">Trust is assessed claim by claim, each paired with its evidence and verdict (Fig. 25, Table 13). Recommendation transparency holds: every acting policy is inspectable down to per-state Q-values with published episode counts — which is how the confirmatory study could establish, before running anything, that on test inputs the three replicate policies collapse to one per-family rule. Robustness is mixed and reported so: replicates disagree on training states (M8 0.20), </w:t>
      </w:r>
      <w:r>
        <w:rPr>
          <w:rFonts w:ascii="Consolas" w:hAnsi="Consolas" w:cs="Consolas" w:eastAsia="Consolas"/>
          <w:sz w:val="20"/>
          <w:szCs w:val="20"/>
        </w:rPr>
        <w:t xml:space="preserve">F3_rdd</w:t>
      </w:r>
      <w:r>
        <w:rPr>
          <w:sz w:val="20"/>
          <w:szCs w:val="20"/>
        </w:rPr>
        <w:t xml:space="preserve"> fails structurally on large data under every configuration tried and on medium data under the default and the policy's own choice, and two overhead verdicts fall under dependence-honest intervals. Decision trustworthiness improved where it mattered most: the main hypotheses are now decided by pre-registered, drift-controlled tests (H2 accepted, H3 rejected), and an A/A control measured the noise floor those decisions rest on. Reproducibility of analysis is strong (16/16 zero-execution corroboration; seed-stable intervals), while reproducibility of measurement is partial: 18 of 39 cell-arms re-measured in EXP-013 fell within ±5% of EXP-005, and the X10 pilot's size pattern did not recur. Governance readiness is the strongest pillar: sealed test discipline, counted budget, immutable record, and a decision log that preserves failures — including the halt and amendment of the confirmatory study itself.</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55" w:name="_AdaTab13"/>
      <w:r>
        <w:rPr>
          <w:smallCaps/>
          <w:sz w:val="16"/>
          <w:szCs w:val="16"/>
        </w:rPr>
        <w:t xml:space="preserve">TABLE 13</w:t>
      </w:r>
      <w:bookmarkEnd w:id="155"/>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Trustworthiness Evaluation Matrix</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Claim</w:t>
            </w:r>
          </w:p>
        </w:tc>
        <w:tc>
          <w:tcPr>
            <w:tcW w:type="dxa" w:w="3009"/>
          </w:tcPr>
          <w:p>
            <w:pPr>
              <w:keepNext/>
            </w:pPr>
            <w:r>
              <w:rPr>
                <w:b/>
                <w:sz w:val="16"/>
                <w:szCs w:val="16"/>
              </w:rPr>
              <w:t xml:space="preserve">Evidence</w:t>
            </w:r>
          </w:p>
        </w:tc>
        <w:tc>
          <w:tcPr>
            <w:tcW w:type="dxa" w:w="3009"/>
          </w:tcPr>
          <w:p>
            <w:pPr>
              <w:keepNext/>
            </w:pPr>
            <w:r>
              <w:rPr>
                <w:b/>
                <w:sz w:val="16"/>
                <w:szCs w:val="16"/>
              </w:rPr>
              <w:t xml:space="preserve">Verdict</w:t>
            </w:r>
          </w:p>
        </w:tc>
      </w:tr>
      <w:tr>
        <w:trPr>
          <w:cantSplit/>
        </w:trPr>
        <w:tc>
          <w:tcPr>
            <w:tcW w:type="dxa" w:w="3009"/>
          </w:tcPr>
          <w:p>
            <w:pPr>
              <w:keepNext/>
            </w:pPr>
            <w:r>
              <w:rPr>
                <w:sz w:val="16"/>
                <w:szCs w:val="16"/>
              </w:rPr>
              <w:t xml:space="preserve">Config choice matters</w:t>
            </w:r>
          </w:p>
        </w:tc>
        <w:tc>
          <w:tcPr>
            <w:tcW w:type="dxa" w:w="3009"/>
          </w:tcPr>
          <w:p>
            <w:pPr>
              <w:keepNext/>
            </w:pPr>
            <w:r>
              <w:rPr>
                <w:sz w:val="16"/>
                <w:szCs w:val="16"/>
              </w:rPr>
              <w:t xml:space="preserve">EXP-002: ≥10% on 4/4 families</w:t>
            </w:r>
          </w:p>
        </w:tc>
        <w:tc>
          <w:tcPr>
            <w:tcW w:type="dxa" w:w="3009"/>
          </w:tcPr>
          <w:p>
            <w:pPr>
              <w:keepNext/>
            </w:pPr>
            <w:r>
              <w:rPr>
                <w:sz w:val="16"/>
                <w:szCs w:val="16"/>
              </w:rPr>
              <w:t xml:space="preserve">Supported</w:t>
            </w:r>
          </w:p>
        </w:tc>
      </w:tr>
      <w:tr>
        <w:trPr>
          <w:cantSplit/>
        </w:trPr>
        <w:tc>
          <w:tcPr>
            <w:tcW w:type="dxa" w:w="3009"/>
          </w:tcPr>
          <w:p>
            <w:r>
              <w:rPr>
                <w:sz w:val="16"/>
                <w:szCs w:val="16"/>
              </w:rPr>
              <w:t xml:space="preserve">Learning fits budget</w:t>
            </w:r>
          </w:p>
        </w:tc>
        <w:tc>
          <w:tcPr>
            <w:tcW w:type="dxa" w:w="3009"/>
          </w:tcPr>
          <w:p>
            <w:r>
              <w:rPr>
                <w:sz w:val="16"/>
                <w:szCs w:val="16"/>
              </w:rPr>
              <w:t xml:space="preserve">Ledger 483/500 SC6-counted (+5 demo disclosed = 488 combined); 0 failed configs</w:t>
            </w:r>
          </w:p>
        </w:tc>
        <w:tc>
          <w:tcPr>
            <w:tcW w:type="dxa" w:w="3009"/>
          </w:tcPr>
          <w:p>
            <w:r>
              <w:rPr>
                <w:sz w:val="16"/>
                <w:szCs w:val="16"/>
              </w:rPr>
              <w:t xml:space="preserve">Supported</w:t>
            </w:r>
          </w:p>
        </w:tc>
      </w:tr>
      <w:tr>
        <w:trPr>
          <w:cantSplit/>
        </w:trPr>
        <w:tc>
          <w:tcPr>
            <w:tcW w:type="dxa" w:w="3009"/>
          </w:tcPr>
          <w:p>
            <w:r>
              <w:rPr>
                <w:sz w:val="16"/>
                <w:szCs w:val="16"/>
              </w:rPr>
              <w:t xml:space="preserve">RL beats defaults</w:t>
            </w:r>
          </w:p>
        </w:tc>
        <w:tc>
          <w:tcPr>
            <w:tcW w:type="dxa" w:w="3009"/>
          </w:tcPr>
          <w:p>
            <w:r>
              <w:rPr>
                <w:sz w:val="16"/>
                <w:szCs w:val="16"/>
              </w:rPr>
              <w:t xml:space="preserve">EXP-013: 0.249× (CI 0.212–0.295), 36/37 cells, Holm p = 4.4×10⁻¹¹</w:t>
            </w:r>
          </w:p>
        </w:tc>
        <w:tc>
          <w:tcPr>
            <w:tcW w:type="dxa" w:w="3009"/>
          </w:tcPr>
          <w:p>
            <w:r>
              <w:rPr>
                <w:sz w:val="16"/>
                <w:szCs w:val="16"/>
              </w:rPr>
              <w:t xml:space="preserve">Supported (H2 accepted)</w:t>
            </w:r>
          </w:p>
        </w:tc>
      </w:tr>
      <w:tr>
        <w:trPr>
          <w:cantSplit/>
        </w:trPr>
        <w:tc>
          <w:tcPr>
            <w:tcW w:type="dxa" w:w="3009"/>
          </w:tcPr>
          <w:p>
            <w:r>
              <w:rPr>
                <w:sz w:val="16"/>
                <w:szCs w:val="16"/>
              </w:rPr>
              <w:t xml:space="preserve">RL beats static/random</w:t>
            </w:r>
          </w:p>
        </w:tc>
        <w:tc>
          <w:tcPr>
            <w:tcW w:type="dxa" w:w="3009"/>
          </w:tcPr>
          <w:p>
            <w:r>
              <w:rPr>
                <w:sz w:val="16"/>
                <w:szCs w:val="16"/>
              </w:rPr>
              <w:t xml:space="preserve">EXP-013: RL/B1 1.218 (CI 1.128–1.319); worse on 16 cells, better on 1</w:t>
            </w:r>
          </w:p>
        </w:tc>
        <w:tc>
          <w:tcPr>
            <w:tcW w:type="dxa" w:w="3009"/>
          </w:tcPr>
          <w:p>
            <w:r>
              <w:rPr>
                <w:sz w:val="16"/>
                <w:szCs w:val="16"/>
              </w:rPr>
              <w:t xml:space="preserve">Rejected (H3)</w:t>
            </w:r>
          </w:p>
        </w:tc>
      </w:tr>
      <w:tr>
        <w:trPr>
          <w:cantSplit/>
        </w:trPr>
        <w:tc>
          <w:tcPr>
            <w:tcW w:type="dxa" w:w="3009"/>
          </w:tcPr>
          <w:p>
            <w:r>
              <w:rPr>
                <w:sz w:val="16"/>
                <w:szCs w:val="16"/>
              </w:rPr>
              <w:t xml:space="preserve">Identical configs agree</w:t>
            </w:r>
          </w:p>
        </w:tc>
        <w:tc>
          <w:tcPr>
            <w:tcW w:type="dxa" w:w="3009"/>
          </w:tcPr>
          <w:p>
            <w:r>
              <w:rPr>
                <w:sz w:val="16"/>
                <w:szCs w:val="16"/>
              </w:rPr>
              <w:t xml:space="preserve">EXP-013 A/A: 38/38 cells within 11.89%; median gap 2.0%</w:t>
            </w:r>
          </w:p>
        </w:tc>
        <w:tc>
          <w:tcPr>
            <w:tcW w:type="dxa" w:w="3009"/>
          </w:tcPr>
          <w:p>
            <w:r>
              <w:rPr>
                <w:sz w:val="16"/>
                <w:szCs w:val="16"/>
              </w:rPr>
              <w:t xml:space="preserve">Supported</w:t>
            </w:r>
          </w:p>
        </w:tc>
      </w:tr>
      <w:tr>
        <w:trPr>
          <w:cantSplit/>
        </w:trPr>
        <w:tc>
          <w:tcPr>
            <w:tcW w:type="dxa" w:w="3009"/>
          </w:tcPr>
          <w:p>
            <w:r>
              <w:rPr>
                <w:sz w:val="16"/>
                <w:szCs w:val="16"/>
              </w:rPr>
              <w:t xml:space="preserve">Policies generalize</w:t>
            </w:r>
          </w:p>
        </w:tc>
        <w:tc>
          <w:tcPr>
            <w:tcW w:type="dxa" w:w="3009"/>
          </w:tcPr>
          <w:p>
            <w:r>
              <w:rPr>
                <w:sz w:val="16"/>
                <w:szCs w:val="16"/>
              </w:rPr>
              <w:t xml:space="preserve">EXP-006 heavy failures</w:t>
            </w:r>
          </w:p>
        </w:tc>
        <w:tc>
          <w:tcPr>
            <w:tcW w:type="dxa" w:w="3009"/>
          </w:tcPr>
          <w:p>
            <w:r>
              <w:rPr>
                <w:sz w:val="16"/>
                <w:szCs w:val="16"/>
              </w:rPr>
              <w:t xml:space="preserve">NOT evaluable</w:t>
            </w:r>
          </w:p>
        </w:tc>
      </w:tr>
      <w:tr>
        <w:trPr>
          <w:cantSplit/>
        </w:trPr>
        <w:tc>
          <w:tcPr>
            <w:tcW w:type="dxa" w:w="3009"/>
          </w:tcPr>
          <w:p>
            <w:r>
              <w:rPr>
                <w:sz w:val="16"/>
                <w:szCs w:val="16"/>
              </w:rPr>
              <w:t xml:space="preserve">Monitoring is cheap</w:t>
            </w:r>
          </w:p>
        </w:tc>
        <w:tc>
          <w:tcPr>
            <w:tcW w:type="dxa" w:w="3009"/>
          </w:tcPr>
          <w:p>
            <w:r>
              <w:rPr>
                <w:sz w:val="16"/>
                <w:szCs w:val="16"/>
              </w:rPr>
              <w:t xml:space="preserve">Sampler 6/7 PASS in EXP-009 and EXP-014 (paired); event log 3/7 PASS, 0 FAIL in EXP-014</w:t>
            </w:r>
          </w:p>
        </w:tc>
        <w:tc>
          <w:tcPr>
            <w:tcW w:type="dxa" w:w="3009"/>
          </w:tcPr>
          <w:p>
            <w:r>
              <w:rPr>
                <w:sz w:val="16"/>
                <w:szCs w:val="16"/>
              </w:rPr>
              <w:t xml:space="preserve">Supported (sampler); not established (event log)</w:t>
            </w:r>
          </w:p>
        </w:tc>
      </w:tr>
      <w:tr>
        <w:trPr>
          <w:cantSplit/>
        </w:trPr>
        <w:tc>
          <w:tcPr>
            <w:tcW w:type="dxa" w:w="3009"/>
          </w:tcPr>
          <w:p>
            <w:r>
              <w:rPr>
                <w:sz w:val="16"/>
                <w:szCs w:val="16"/>
              </w:rPr>
              <w:t xml:space="preserve">Analysis reproduces</w:t>
            </w:r>
          </w:p>
        </w:tc>
        <w:tc>
          <w:tcPr>
            <w:tcW w:type="dxa" w:w="3009"/>
          </w:tcPr>
          <w:p>
            <w:r>
              <w:rPr>
                <w:sz w:val="16"/>
                <w:szCs w:val="16"/>
              </w:rPr>
              <w:t xml:space="preserve">16/16 (EXP-002/005/009); seeds/BCa stable</w:t>
            </w:r>
          </w:p>
        </w:tc>
        <w:tc>
          <w:tcPr>
            <w:tcW w:type="dxa" w:w="3009"/>
          </w:tcPr>
          <w:p>
            <w:r>
              <w:rPr>
                <w:sz w:val="16"/>
                <w:szCs w:val="16"/>
              </w:rPr>
              <w:t xml:space="preserve">Supported</w:t>
            </w:r>
          </w:p>
        </w:tc>
      </w:tr>
      <w:tr>
        <w:trPr>
          <w:cantSplit/>
        </w:trPr>
        <w:tc>
          <w:tcPr>
            <w:tcW w:type="dxa" w:w="3009"/>
          </w:tcPr>
          <w:p>
            <w:r>
              <w:rPr>
                <w:sz w:val="16"/>
                <w:szCs w:val="16"/>
              </w:rPr>
              <w:t xml:space="preserve">Measurements reproduce</w:t>
            </w:r>
          </w:p>
        </w:tc>
        <w:tc>
          <w:tcPr>
            <w:tcW w:type="dxa" w:w="3009"/>
          </w:tcPr>
          <w:p>
            <w:r>
              <w:rPr>
                <w:sz w:val="16"/>
                <w:szCs w:val="16"/>
              </w:rPr>
              <w:t xml:space="preserve">EXP-013 vs EXP-005: 18/39 cell-arms within ±5%; X10 pilot 2/4</w:t>
            </w:r>
          </w:p>
        </w:tc>
        <w:tc>
          <w:tcPr>
            <w:tcW w:type="dxa" w:w="3009"/>
          </w:tcPr>
          <w:p>
            <w:r>
              <w:rPr>
                <w:sz w:val="16"/>
                <w:szCs w:val="16"/>
              </w:rPr>
              <w:t xml:space="preserve">PARTIAL</w:t>
            </w:r>
          </w:p>
        </w:tc>
      </w:tr>
      <w:tr>
        <w:trPr>
          <w:cantSplit/>
        </w:trPr>
        <w:tc>
          <w:tcPr>
            <w:tcW w:type="dxa" w:w="3009"/>
          </w:tcPr>
          <w:p>
            <w:r>
              <w:rPr>
                <w:sz w:val="16"/>
                <w:szCs w:val="16"/>
              </w:rPr>
              <w:t xml:space="preserve">Process is auditable</w:t>
            </w:r>
          </w:p>
        </w:tc>
        <w:tc>
          <w:tcPr>
            <w:tcW w:type="dxa" w:w="3009"/>
          </w:tcPr>
          <w:p>
            <w:r>
              <w:rPr>
                <w:sz w:val="16"/>
                <w:szCs w:val="16"/>
              </w:rPr>
              <w:t xml:space="preserve">36/36 gate; decision log DEC-001–DEC-055</w:t>
            </w:r>
          </w:p>
        </w:tc>
        <w:tc>
          <w:tcPr>
            <w:tcW w:type="dxa" w:w="3009"/>
          </w:tcPr>
          <w:p>
            <w:r>
              <w:rPr>
                <w:sz w:val="16"/>
                <w:szCs w:val="16"/>
              </w:rPr>
              <w:t xml:space="preserve">Supported</w:t>
            </w:r>
          </w:p>
        </w:tc>
      </w:tr>
    </w:tbl>
    <w:p/>
    <w:p>
      <w:pPr>
        <w:keepNext/>
        <w:jc w:val="center"/>
      </w:pPr>
      <w:r>
        <w:drawing>
          <wp:inline xmlns:a="http://schemas.openxmlformats.org/drawingml/2006/main" xmlns:pic="http://schemas.openxmlformats.org/drawingml/2006/picture">
            <wp:extent cx="5669280" cy="2236874"/>
            <wp:docPr id="11295" name="Picture 11295"/>
            <wp:cNvGraphicFramePr>
              <a:graphicFrameLocks noChangeAspect="1"/>
            </wp:cNvGraphicFramePr>
            <a:graphic>
              <a:graphicData uri="http://schemas.openxmlformats.org/drawingml/2006/picture">
                <pic:pic>
                  <pic:nvPicPr>
                    <pic:cNvPr id="0" name="Fig 25 Reliability Assessment Framework.png"/>
                    <pic:cNvPicPr/>
                  </pic:nvPicPr>
                  <pic:blipFill>
                    <a:blip r:embed="rId57"/>
                    <a:stretch>
                      <a:fillRect/>
                    </a:stretch>
                  </pic:blipFill>
                  <pic:spPr>
                    <a:xfrm>
                      <a:off x="0" y="0"/>
                      <a:ext cx="5669280" cy="2236874"/>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56" w:name="_AdaFig25"/>
      <w:r>
        <w:rPr>
          <w:rFonts w:ascii="Helvetica Neue" w:eastAsia="Helvetica Neue" w:hAnsi="Helvetica Neue" w:cs="Helvetica Neue"/>
          <w:b/>
          <w:bCs/>
          <w:color w:val="00629B"/>
          <w:sz w:val="14"/>
          <w:szCs w:val="14"/>
        </w:rPr>
        <w:t xml:space="preserve">FIGURE 25. </w:t>
      </w:r>
      <w:r>
        <w:rPr>
          <w:rFonts w:ascii="Helvetica Neue" w:eastAsia="Helvetica Neue" w:hAnsi="Helvetica Neue" w:cs="Helvetica Neue"/>
          <w:b/>
          <w:bCs/>
          <w:sz w:val="14"/>
          <w:szCs w:val="14"/>
        </w:rPr>
        <w:t xml:space="preserve">Reliability Assessment Framework. Each trust claim passes from evidence to a recorded verdict (Table 13): seven supported, one rejected (H3), one partial and one not evaluable, with the event-log overhead not established.</w:t>
      </w:r>
      <w:bookmarkEnd w:id="156"/>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57" w:name="_AdaSec18"/>
      <w:r>
        <w:rPr>
          <w:rFonts w:ascii="Helvetica Neue" w:eastAsia="Helvetica Neue" w:hAnsi="Helvetica Neue" w:cs="Helvetica Neue"/>
          <w:b/>
          <w:bCs/>
          <w:color w:val="00629B"/>
          <w:sz w:val="18"/>
          <w:szCs w:val="18"/>
        </w:rPr>
        <w:t xml:space="preserve">XVIII. INDUSTRY USE CASES AND CASE STUDY EVALUATION</w:t>
      </w:r>
      <w:bookmarkEnd w:id="157"/>
    </w:p>
    <w:p w:rsidR="00A7482C" w:rsidRDefault="00A7482C" w:rsidP="00A7482C">
      <w:pPr>
        <w:pBdr>
          <w:top w:val="nil"/>
          <w:left w:val="nil"/>
          <w:bottom w:val="nil"/>
          <w:right w:val="nil"/>
          <w:between w:val="nil"/>
        </w:pBdr>
        <w:jc w:val="both"/>
        <w:rPr>
          <w:sz w:val="20"/>
          <w:szCs w:val="20"/>
        </w:rPr>
      </w:pPr>
      <w:r>
        <w:rPr>
          <w:sz w:val="20"/>
          <w:szCs w:val="20"/>
        </w:rPr>
        <w:t xml:space="preserve">The framework maps to industries where batch analytics cost is material and workloads recur with drift — the exact conditions under which static tuning goes stale (Fig. 26, Table 14). </w:t>
      </w:r>
      <w:r>
        <w:rPr>
          <w:b/>
          <w:sz w:val="20"/>
          <w:szCs w:val="20"/>
        </w:rPr>
        <w:t xml:space="preserve">Smart manufacturing</w:t>
      </w:r>
      <w:r>
        <w:rPr>
          <w:sz w:val="20"/>
          <w:szCs w:val="20"/>
        </w:rPr>
        <w:t xml:space="preserve">: sensor-batch aggregation and quality-join pipelines recur hourly with shifting skew as product mix changes; a governed tuning loop converts per-line expert tweaks into one policy per pipeline family. </w:t>
      </w:r>
      <w:r>
        <w:rPr>
          <w:b/>
          <w:sz w:val="20"/>
          <w:szCs w:val="20"/>
        </w:rPr>
        <w:t xml:space="preserve">Healthcare analytics</w:t>
      </w:r>
      <w:r>
        <w:rPr>
          <w:sz w:val="20"/>
          <w:szCs w:val="20"/>
        </w:rPr>
        <w:t xml:space="preserve">: cohort aggregations over growing record volumes, where auditability (decision log, manifests) matters as much as speed for compliance review. </w:t>
      </w:r>
      <w:r>
        <w:rPr>
          <w:b/>
          <w:sz w:val="20"/>
          <w:szCs w:val="20"/>
        </w:rPr>
        <w:t xml:space="preserve">Financial services</w:t>
      </w:r>
      <w:r>
        <w:rPr>
          <w:sz w:val="20"/>
          <w:szCs w:val="20"/>
        </w:rPr>
        <w:t xml:space="preserve"> (Fig. 27): end-of-day risk aggregations and fraud-join screens under hard time windows, where the roughly 4× gap between the default and the learned policy measured here (EXP-013) translates directly into window headroom. </w:t>
      </w:r>
      <w:r>
        <w:rPr>
          <w:b/>
          <w:sz w:val="20"/>
          <w:szCs w:val="20"/>
        </w:rPr>
        <w:t xml:space="preserve">Telecom, retail, and smart-city</w:t>
      </w:r>
      <w:r>
        <w:rPr>
          <w:sz w:val="20"/>
          <w:szCs w:val="20"/>
        </w:rPr>
        <w:t xml:space="preserve"> workloads share the pattern: recurring joins/aggregations over growing, skew-shifting data.</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Published work in each sector shows where such a loop would sit. In manufacturing, digital twins fed by IoT and big-data pipelines support sustainable production management [118][119], IIoT platforms connect digital twins to operational intelligence [120], life-cycle sustainability assessment runs on big-data analytics [121], and hierarchical multi-policy DRL already schedules multi-objective production [75], with explainability named as a precondition for adopting AI on the shop floor [106]. Healthcare reviews describe big-data analytics across treatment and health management [122][123], including real-time prediction over IoT streams [124]. Financial institutions run fraud detection and credit-risk models over large transaction records [125][126], and offline RL has been applied to automated trading precisely where online exploration is unacceptable [127]. Telecom operators embed machine learning in the 5G network data analytics function [128], in proactive network optimization [129] and in standardized 3GPP automation [130]. Retail and e-commerce platforms fuse multimodal product data for search and recommendation [131], and smart-city programmes depend on big-data integration capacity that emerging economies are still building [132]. In every case AdaSpark's contribution would be the same narrow one: governed configuration selection for the recurring batch jobs beneath these applications.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These mappings are prospective: no industry deployment was executed and no industry data measured. What transfers is the evaluated mechanism (sample-efficient tuning inside a counted budget with sealed evaluation) and the measured cost model (~57 wall-clock hours and commodity single-node compute for a full 4,842-run adjudication study), which bounds what a pilot would cost an adopting team.</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58" w:name="_AdaTab14"/>
      <w:r>
        <w:rPr>
          <w:smallCaps/>
          <w:sz w:val="16"/>
          <w:szCs w:val="16"/>
        </w:rPr>
        <w:t xml:space="preserve">TABLE 14</w:t>
      </w:r>
      <w:bookmarkEnd w:id="158"/>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Industry Use Cases Matrix</w:t>
      </w:r>
    </w:p>
    <w:tbl>
      <w:tblPr>
        <w:tblStyle w:val="TableGrid"/>
        <w:tblW w:type="auto" w:w="0"/>
        <w:jc w:val="center"/>
        <w:tblLook w:firstColumn="1" w:firstRow="1" w:lastColumn="0" w:lastRow="0" w:noHBand="0" w:noVBand="1" w:val="04A0"/>
      </w:tblPr>
      <w:tblGrid>
        <w:gridCol w:w="2256"/>
        <w:gridCol w:w="2256"/>
        <w:gridCol w:w="2256"/>
        <w:gridCol w:w="2256"/>
      </w:tblGrid>
      <w:tr>
        <w:trPr>
          <w:cantSplit/>
          <w:tblHeader/>
        </w:trPr>
        <w:tc>
          <w:tcPr>
            <w:tcW w:type="dxa" w:w="2256"/>
          </w:tcPr>
          <w:p>
            <w:pPr>
              <w:keepNext/>
            </w:pPr>
            <w:r>
              <w:rPr>
                <w:b/>
                <w:sz w:val="16"/>
                <w:szCs w:val="16"/>
              </w:rPr>
              <w:t xml:space="preserve">Industry</w:t>
            </w:r>
          </w:p>
        </w:tc>
        <w:tc>
          <w:tcPr>
            <w:tcW w:type="dxa" w:w="2256"/>
          </w:tcPr>
          <w:p>
            <w:pPr>
              <w:keepNext/>
            </w:pPr>
            <w:r>
              <w:rPr>
                <w:b/>
                <w:sz w:val="16"/>
                <w:szCs w:val="16"/>
              </w:rPr>
              <w:t xml:space="preserve">Workload pattern</w:t>
            </w:r>
          </w:p>
        </w:tc>
        <w:tc>
          <w:tcPr>
            <w:tcW w:type="dxa" w:w="2256"/>
          </w:tcPr>
          <w:p>
            <w:pPr>
              <w:keepNext/>
            </w:pPr>
            <w:r>
              <w:rPr>
                <w:b/>
                <w:sz w:val="16"/>
                <w:szCs w:val="16"/>
              </w:rPr>
              <w:t xml:space="preserve">Maps to</w:t>
            </w:r>
          </w:p>
        </w:tc>
        <w:tc>
          <w:tcPr>
            <w:tcW w:type="dxa" w:w="2256"/>
          </w:tcPr>
          <w:p>
            <w:pPr>
              <w:keepNext/>
            </w:pPr>
            <w:r>
              <w:rPr>
                <w:b/>
                <w:sz w:val="16"/>
                <w:szCs w:val="16"/>
              </w:rPr>
              <w:t xml:space="preserve">Expected benefit</w:t>
            </w:r>
          </w:p>
        </w:tc>
      </w:tr>
      <w:tr>
        <w:trPr>
          <w:cantSplit/>
        </w:trPr>
        <w:tc>
          <w:tcPr>
            <w:tcW w:type="dxa" w:w="2256"/>
          </w:tcPr>
          <w:p>
            <w:pPr>
              <w:keepNext/>
            </w:pPr>
            <w:r>
              <w:rPr>
                <w:sz w:val="16"/>
                <w:szCs w:val="16"/>
              </w:rPr>
              <w:t xml:space="preserve">Smart manufacturing</w:t>
            </w:r>
          </w:p>
        </w:tc>
        <w:tc>
          <w:tcPr>
            <w:tcW w:type="dxa" w:w="2256"/>
          </w:tcPr>
          <w:p>
            <w:pPr>
              <w:keepNext/>
            </w:pPr>
            <w:r>
              <w:rPr>
                <w:sz w:val="16"/>
                <w:szCs w:val="16"/>
              </w:rPr>
              <w:t xml:space="preserve">Sensor aggregation, quality joins</w:t>
            </w:r>
          </w:p>
        </w:tc>
        <w:tc>
          <w:tcPr>
            <w:tcW w:type="dxa" w:w="2256"/>
          </w:tcPr>
          <w:p>
            <w:pPr>
              <w:keepNext/>
            </w:pPr>
            <w:r>
              <w:rPr>
                <w:sz w:val="16"/>
                <w:szCs w:val="16"/>
              </w:rPr>
              <w:t xml:space="preserve">F1_agg, F2_join</w:t>
            </w:r>
          </w:p>
        </w:tc>
        <w:tc>
          <w:tcPr>
            <w:tcW w:type="dxa" w:w="2256"/>
          </w:tcPr>
          <w:p>
            <w:pPr>
              <w:keepNext/>
            </w:pPr>
            <w:r>
              <w:rPr>
                <w:sz w:val="16"/>
                <w:szCs w:val="16"/>
              </w:rPr>
              <w:t xml:space="preserve">Less per-line tuning; drift response</w:t>
            </w:r>
          </w:p>
        </w:tc>
      </w:tr>
      <w:tr>
        <w:trPr>
          <w:cantSplit/>
        </w:trPr>
        <w:tc>
          <w:tcPr>
            <w:tcW w:type="dxa" w:w="2256"/>
          </w:tcPr>
          <w:p>
            <w:pPr>
              <w:keepNext/>
            </w:pPr>
            <w:r>
              <w:rPr>
                <w:sz w:val="16"/>
                <w:szCs w:val="16"/>
              </w:rPr>
              <w:t xml:space="preserve">Healthcare analytics</w:t>
            </w:r>
          </w:p>
        </w:tc>
        <w:tc>
          <w:tcPr>
            <w:tcW w:type="dxa" w:w="2256"/>
          </w:tcPr>
          <w:p>
            <w:pPr>
              <w:keepNext/>
            </w:pPr>
            <w:r>
              <w:rPr>
                <w:sz w:val="16"/>
                <w:szCs w:val="16"/>
              </w:rPr>
              <w:t xml:space="preserve">Cohort aggregation over growth data</w:t>
            </w:r>
          </w:p>
        </w:tc>
        <w:tc>
          <w:tcPr>
            <w:tcW w:type="dxa" w:w="2256"/>
          </w:tcPr>
          <w:p>
            <w:pPr>
              <w:keepNext/>
            </w:pPr>
            <w:r>
              <w:rPr>
                <w:sz w:val="16"/>
                <w:szCs w:val="16"/>
              </w:rPr>
              <w:t xml:space="preserve">F1_agg (M→L)</w:t>
            </w:r>
          </w:p>
        </w:tc>
        <w:tc>
          <w:tcPr>
            <w:tcW w:type="dxa" w:w="2256"/>
          </w:tcPr>
          <w:p>
            <w:pPr>
              <w:keepNext/>
            </w:pPr>
            <w:r>
              <w:rPr>
                <w:sz w:val="16"/>
                <w:szCs w:val="16"/>
              </w:rPr>
              <w:t xml:space="preserve">Auditable tuning for review</w:t>
            </w:r>
          </w:p>
        </w:tc>
      </w:tr>
      <w:tr>
        <w:trPr>
          <w:cantSplit/>
        </w:trPr>
        <w:tc>
          <w:tcPr>
            <w:tcW w:type="dxa" w:w="2256"/>
          </w:tcPr>
          <w:p>
            <w:pPr>
              <w:keepNext/>
            </w:pPr>
            <w:r>
              <w:rPr>
                <w:sz w:val="16"/>
                <w:szCs w:val="16"/>
              </w:rPr>
              <w:t xml:space="preserve">Financial services</w:t>
            </w:r>
          </w:p>
        </w:tc>
        <w:tc>
          <w:tcPr>
            <w:tcW w:type="dxa" w:w="2256"/>
          </w:tcPr>
          <w:p>
            <w:pPr>
              <w:keepNext/>
            </w:pPr>
            <w:r>
              <w:rPr>
                <w:sz w:val="16"/>
                <w:szCs w:val="16"/>
              </w:rPr>
              <w:t xml:space="preserve">Risk aggregation, fraud joins, time windows</w:t>
            </w:r>
          </w:p>
        </w:tc>
        <w:tc>
          <w:tcPr>
            <w:tcW w:type="dxa" w:w="2256"/>
          </w:tcPr>
          <w:p>
            <w:pPr>
              <w:keepNext/>
            </w:pPr>
            <w:r>
              <w:rPr>
                <w:sz w:val="16"/>
                <w:szCs w:val="16"/>
              </w:rPr>
              <w:t xml:space="preserve">F1/F2, F5_mixed</w:t>
            </w:r>
          </w:p>
        </w:tc>
        <w:tc>
          <w:tcPr>
            <w:tcW w:type="dxa" w:w="2256"/>
          </w:tcPr>
          <w:p>
            <w:pPr>
              <w:keepNext/>
            </w:pPr>
            <w:r>
              <w:rPr>
                <w:sz w:val="16"/>
                <w:szCs w:val="16"/>
              </w:rPr>
              <w:t xml:space="preserve">Window headroom from the ~4× tuning gap</w:t>
            </w:r>
          </w:p>
        </w:tc>
      </w:tr>
      <w:tr>
        <w:trPr>
          <w:cantSplit/>
        </w:trPr>
        <w:tc>
          <w:tcPr>
            <w:tcW w:type="dxa" w:w="2256"/>
          </w:tcPr>
          <w:p>
            <w:pPr>
              <w:keepNext/>
            </w:pPr>
            <w:r>
              <w:rPr>
                <w:sz w:val="16"/>
                <w:szCs w:val="16"/>
              </w:rPr>
              <w:t xml:space="preserve">Telecom analytics</w:t>
            </w:r>
          </w:p>
        </w:tc>
        <w:tc>
          <w:tcPr>
            <w:tcW w:type="dxa" w:w="2256"/>
          </w:tcPr>
          <w:p>
            <w:pPr>
              <w:keepNext/>
            </w:pPr>
            <w:r>
              <w:rPr>
                <w:sz w:val="16"/>
                <w:szCs w:val="16"/>
              </w:rPr>
              <w:t xml:space="preserve">Call-record joins, skew by region</w:t>
            </w:r>
          </w:p>
        </w:tc>
        <w:tc>
          <w:tcPr>
            <w:tcW w:type="dxa" w:w="2256"/>
          </w:tcPr>
          <w:p>
            <w:pPr>
              <w:keepNext/>
            </w:pPr>
            <w:r>
              <w:rPr>
                <w:sz w:val="16"/>
                <w:szCs w:val="16"/>
              </w:rPr>
              <w:t xml:space="preserve">F4_ski</w:t>
            </w:r>
          </w:p>
        </w:tc>
        <w:tc>
          <w:tcPr>
            <w:tcW w:type="dxa" w:w="2256"/>
          </w:tcPr>
          <w:p>
            <w:pPr>
              <w:keepNext/>
            </w:pPr>
            <w:r>
              <w:rPr>
                <w:sz w:val="16"/>
                <w:szCs w:val="16"/>
              </w:rPr>
              <w:t xml:space="preserve">Skew-robust configs</w:t>
            </w:r>
          </w:p>
        </w:tc>
      </w:tr>
      <w:tr>
        <w:trPr>
          <w:cantSplit/>
        </w:trPr>
        <w:tc>
          <w:tcPr>
            <w:tcW w:type="dxa" w:w="2256"/>
          </w:tcPr>
          <w:p>
            <w:pPr>
              <w:keepNext/>
            </w:pPr>
            <w:r>
              <w:rPr>
                <w:sz w:val="16"/>
                <w:szCs w:val="16"/>
              </w:rPr>
              <w:t xml:space="preserve">Retail intelligence</w:t>
            </w:r>
          </w:p>
        </w:tc>
        <w:tc>
          <w:tcPr>
            <w:tcW w:type="dxa" w:w="2256"/>
          </w:tcPr>
          <w:p>
            <w:pPr>
              <w:keepNext/>
            </w:pPr>
            <w:r>
              <w:rPr>
                <w:sz w:val="16"/>
                <w:szCs w:val="16"/>
              </w:rPr>
              <w:t xml:space="preserve">Sales aggregation, inventory joins</w:t>
            </w:r>
          </w:p>
        </w:tc>
        <w:tc>
          <w:tcPr>
            <w:tcW w:type="dxa" w:w="2256"/>
          </w:tcPr>
          <w:p>
            <w:pPr>
              <w:keepNext/>
            </w:pPr>
            <w:r>
              <w:rPr>
                <w:sz w:val="16"/>
                <w:szCs w:val="16"/>
              </w:rPr>
              <w:t xml:space="preserve">F1_agg, F2_join</w:t>
            </w:r>
          </w:p>
        </w:tc>
        <w:tc>
          <w:tcPr>
            <w:tcW w:type="dxa" w:w="2256"/>
          </w:tcPr>
          <w:p>
            <w:pPr>
              <w:keepNext/>
            </w:pPr>
            <w:r>
              <w:rPr>
                <w:sz w:val="16"/>
                <w:szCs w:val="16"/>
              </w:rPr>
              <w:t xml:space="preserve">Seasonal-scale adaptation</w:t>
            </w:r>
          </w:p>
        </w:tc>
      </w:tr>
      <w:tr>
        <w:trPr>
          <w:cantSplit/>
        </w:trPr>
        <w:tc>
          <w:tcPr>
            <w:tcW w:type="dxa" w:w="2256"/>
          </w:tcPr>
          <w:p>
            <w:r>
              <w:rPr>
                <w:sz w:val="16"/>
                <w:szCs w:val="16"/>
              </w:rPr>
              <w:t xml:space="preserve">Smart cities</w:t>
            </w:r>
          </w:p>
        </w:tc>
        <w:tc>
          <w:tcPr>
            <w:tcW w:type="dxa" w:w="2256"/>
          </w:tcPr>
          <w:p>
            <w:r>
              <w:rPr>
                <w:sz w:val="16"/>
                <w:szCs w:val="16"/>
              </w:rPr>
              <w:t xml:space="preserve">Sensor-mixed pipelines</w:t>
            </w:r>
          </w:p>
        </w:tc>
        <w:tc>
          <w:tcPr>
            <w:tcW w:type="dxa" w:w="2256"/>
          </w:tcPr>
          <w:p>
            <w:r>
              <w:rPr>
                <w:sz w:val="16"/>
                <w:szCs w:val="16"/>
              </w:rPr>
              <w:t xml:space="preserve">F5_mixed</w:t>
            </w:r>
          </w:p>
        </w:tc>
        <w:tc>
          <w:tcPr>
            <w:tcW w:type="dxa" w:w="2256"/>
          </w:tcPr>
          <w:p>
            <w:r>
              <w:rPr>
                <w:sz w:val="16"/>
                <w:szCs w:val="16"/>
              </w:rPr>
              <w:t xml:space="preserve">Shared-host contention tolerance</w:t>
            </w:r>
          </w:p>
        </w:tc>
      </w:tr>
    </w:tbl>
    <w:p/>
    <w:p>
      <w:pPr>
        <w:keepNext/>
        <w:jc w:val="center"/>
      </w:pPr>
      <w:r>
        <w:drawing>
          <wp:inline xmlns:a="http://schemas.openxmlformats.org/drawingml/2006/main" xmlns:pic="http://schemas.openxmlformats.org/drawingml/2006/picture">
            <wp:extent cx="5669280" cy="2448368"/>
            <wp:docPr id="11296" name="Picture 11296"/>
            <wp:cNvGraphicFramePr>
              <a:graphicFrameLocks noChangeAspect="1"/>
            </wp:cNvGraphicFramePr>
            <a:graphic>
              <a:graphicData uri="http://schemas.openxmlformats.org/drawingml/2006/picture">
                <pic:pic>
                  <pic:nvPicPr>
                    <pic:cNvPr id="0" name="Fig 26 Smart Manufacturing Analytics Ecosystem.png"/>
                    <pic:cNvPicPr/>
                  </pic:nvPicPr>
                  <pic:blipFill>
                    <a:blip r:embed="rId58"/>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59" w:name="_AdaFig26"/>
      <w:r>
        <w:rPr>
          <w:rFonts w:ascii="Helvetica Neue" w:eastAsia="Helvetica Neue" w:hAnsi="Helvetica Neue" w:cs="Helvetica Neue"/>
          <w:b/>
          <w:bCs/>
          <w:color w:val="00629B"/>
          <w:sz w:val="14"/>
          <w:szCs w:val="14"/>
        </w:rPr>
        <w:t xml:space="preserve">FIGURE 26. </w:t>
      </w:r>
      <w:r>
        <w:rPr>
          <w:rFonts w:ascii="Helvetica Neue" w:eastAsia="Helvetica Neue" w:hAnsi="Helvetica Neue" w:cs="Helvetica Neue"/>
          <w:b/>
          <w:bCs/>
          <w:sz w:val="14"/>
          <w:szCs w:val="14"/>
        </w:rPr>
        <w:t xml:space="preserve">Smart Manufacturing Analytics Ecosystem. Prospective mapping of the F1/F2 workload patterns to manufacturing analytics; no industry deployment was executed (Section XVIII).</w:t>
      </w:r>
      <w:bookmarkEnd w:id="159"/>
    </w:p>
    <w:p>
      <w:pPr>
        <w:keepNext/>
        <w:jc w:val="center"/>
      </w:pPr>
      <w:r>
        <w:drawing>
          <wp:inline xmlns:a="http://schemas.openxmlformats.org/drawingml/2006/main" xmlns:pic="http://schemas.openxmlformats.org/drawingml/2006/picture">
            <wp:extent cx="5669280" cy="2448368"/>
            <wp:docPr id="11297" name="Picture 11297"/>
            <wp:cNvGraphicFramePr>
              <a:graphicFrameLocks noChangeAspect="1"/>
            </wp:cNvGraphicFramePr>
            <a:graphic>
              <a:graphicData uri="http://schemas.openxmlformats.org/drawingml/2006/picture">
                <pic:pic>
                  <pic:nvPicPr>
                    <pic:cNvPr id="0" name="Fig 27 Financial Analytics Optimization Platform.png"/>
                    <pic:cNvPicPr/>
                  </pic:nvPicPr>
                  <pic:blipFill>
                    <a:blip r:embed="rId59"/>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60" w:name="_AdaFig27"/>
      <w:r>
        <w:rPr>
          <w:rFonts w:ascii="Helvetica Neue" w:eastAsia="Helvetica Neue" w:hAnsi="Helvetica Neue" w:cs="Helvetica Neue"/>
          <w:b/>
          <w:bCs/>
          <w:color w:val="00629B"/>
          <w:sz w:val="14"/>
          <w:szCs w:val="14"/>
        </w:rPr>
        <w:t xml:space="preserve">FIGURE 27. </w:t>
      </w:r>
      <w:r>
        <w:rPr>
          <w:rFonts w:ascii="Helvetica Neue" w:eastAsia="Helvetica Neue" w:hAnsi="Helvetica Neue" w:cs="Helvetica Neue"/>
          <w:b/>
          <w:bCs/>
          <w:sz w:val="14"/>
          <w:szCs w:val="14"/>
        </w:rPr>
        <w:t xml:space="preserve">Financial Analytics Optimization Platform. Prospective mapping of the F5 pattern to end-of-day risk batches; no industry data were measured (Section XVIII).</w:t>
      </w:r>
      <w:bookmarkEnd w:id="160"/>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61" w:name="_AdaSec19"/>
      <w:r>
        <w:rPr>
          <w:rFonts w:ascii="Helvetica Neue" w:eastAsia="Helvetica Neue" w:hAnsi="Helvetica Neue" w:cs="Helvetica Neue"/>
          <w:b/>
          <w:bCs/>
          <w:color w:val="00629B"/>
          <w:sz w:val="18"/>
          <w:szCs w:val="18"/>
        </w:rPr>
        <w:t xml:space="preserve">XIX. BUSINESS IMPACT ASSESSMENT</w:t>
      </w:r>
      <w:bookmarkEnd w:id="161"/>
    </w:p>
    <w:p w:rsidR="00A7482C" w:rsidRDefault="00A7482C" w:rsidP="00A7482C">
      <w:pPr>
        <w:pBdr>
          <w:top w:val="nil"/>
          <w:left w:val="nil"/>
          <w:bottom w:val="nil"/>
          <w:right w:val="nil"/>
          <w:between w:val="nil"/>
        </w:pBdr>
        <w:jc w:val="both"/>
        <w:rPr>
          <w:sz w:val="20"/>
          <w:szCs w:val="20"/>
        </w:rPr>
      </w:pPr>
      <w:r>
        <w:rPr>
          <w:sz w:val="20"/>
          <w:szCs w:val="20"/>
        </w:rPr>
        <w:t xml:space="preserve">The business case rests on converting recurring tuning labour and wasted compute into a one-time governed loop (Fig. 28, Table 15). Operational efficiency comes from fewer manual interventions: each workload family carries one policy instead of one expert-maintained configuration per scale. Infrastructure savings follow the measured tuning gap — the learned policy beats defaults about 4× across 37 test cells (EXP-013), so jobs that must run daily consume proportionally fewer executor-hours once tuned. Performance improvement is therefore not a promise but a measured range on the studied backend, with the honest bound that the learner is 1.22× slower than the best static tuning. Productivity gains accrue to platform teams: every decision ships with its evidence (policy checkpoint, manifest, interval), cutting diagnosis time when performance regresses.</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ROI framing must stay inside the evidence. Measured costs: one full adjudication study ≈ 57 wall-clock hours on a single commodity node plus analyst time, against which ~3,000 unnecessary runs (≈60% of the study) are avoidable with dependence-aware stopping — a direct saving for any team running repetition studies. Unmeasured and therefore excluded from ROI: cluster-scale savings, multi-tenant effects, and the pooled AQE-on interaction. The cost–benefit table below labels each line as measured or projected.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Two external reference points bound the projection. A study of ML-based configuration tuning on an enterprise Oracle deployment with a real workload trace measured a 45% improvement over enterprise-grade configurations [64] — evidence that tuning gains can survive production conditions, but for a different system class and a far larger tuning budget than AdaSpark's. Reinforcement learning is also being reviewed as a route to data-centre energy efficiency [133]; this report measures execution time only, so no energy saving is claimed.</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rsidR="00A7482C" w:rsidRDefault="00A7482C" w:rsidP="00A7482C">
      <w:pPr>
        <w:keepNext/>
        <w:pBdr>
          <w:top w:val="nil"/>
          <w:left w:val="nil"/>
          <w:bottom w:val="nil"/>
          <w:right w:val="nil"/>
          <w:between w:val="nil"/>
        </w:pBdr>
        <w:jc w:val="center"/>
        <w:rPr>
          <w:smallCaps/>
          <w:sz w:val="16"/>
          <w:szCs w:val="16"/>
        </w:rPr>
      </w:pPr>
      <w:bookmarkStart w:id="162" w:name="_AdaTab15"/>
      <w:r>
        <w:rPr>
          <w:smallCaps/>
          <w:sz w:val="16"/>
          <w:szCs w:val="16"/>
        </w:rPr>
        <w:t xml:space="preserve">TABLE 15</w:t>
      </w:r>
      <w:bookmarkEnd w:id="162"/>
    </w:p>
    <w:p w:rsidR="00A7482C" w:rsidRDefault="00A7482C" w:rsidP="00A7482C">
      <w:pPr>
        <w:keepNext/>
        <w:pBdr>
          <w:top w:val="nil"/>
          <w:left w:val="nil"/>
          <w:bottom w:val="nil"/>
          <w:right w:val="nil"/>
          <w:between w:val="nil"/>
        </w:pBdr>
        <w:jc w:val="center"/>
        <w:rPr>
          <w:smallCaps/>
          <w:sz w:val="16"/>
          <w:szCs w:val="16"/>
        </w:rPr>
      </w:pPr>
      <w:r>
        <w:rPr>
          <w:smallCaps/>
          <w:sz w:val="16"/>
          <w:szCs w:val="16"/>
        </w:rPr>
        <w:t xml:space="preserve">Cost-Benefit Analysis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3009"/>
          </w:tcPr>
          <w:p>
            <w:pPr>
              <w:keepNext/>
            </w:pPr>
            <w:r>
              <w:rPr>
                <w:b/>
                <w:sz w:val="16"/>
                <w:szCs w:val="16"/>
              </w:rPr>
              <w:t xml:space="preserve">Line</w:t>
            </w:r>
          </w:p>
        </w:tc>
        <w:tc>
          <w:tcPr>
            <w:tcW w:type="dxa" w:w="3009"/>
          </w:tcPr>
          <w:p>
            <w:pPr>
              <w:keepNext/>
            </w:pPr>
            <w:r>
              <w:rPr>
                <w:b/>
                <w:sz w:val="16"/>
                <w:szCs w:val="16"/>
              </w:rPr>
              <w:t xml:space="preserve">Basis</w:t>
            </w:r>
          </w:p>
        </w:tc>
        <w:tc>
          <w:tcPr>
            <w:tcW w:type="dxa" w:w="3009"/>
          </w:tcPr>
          <w:p>
            <w:pPr>
              <w:keepNext/>
            </w:pPr>
            <w:r>
              <w:rPr>
                <w:b/>
                <w:sz w:val="16"/>
                <w:szCs w:val="16"/>
              </w:rPr>
              <w:t xml:space="preserve">Value</w:t>
            </w:r>
          </w:p>
        </w:tc>
      </w:tr>
      <w:tr>
        <w:trPr>
          <w:cantSplit/>
        </w:trPr>
        <w:tc>
          <w:tcPr>
            <w:tcW w:type="dxa" w:w="3009"/>
          </w:tcPr>
          <w:p>
            <w:pPr>
              <w:keepNext/>
            </w:pPr>
            <w:r>
              <w:rPr>
                <w:sz w:val="16"/>
                <w:szCs w:val="16"/>
              </w:rPr>
              <w:t xml:space="preserve">Tuning gap (default → learned policy)</w:t>
            </w:r>
          </w:p>
        </w:tc>
        <w:tc>
          <w:tcPr>
            <w:tcW w:type="dxa" w:w="3009"/>
          </w:tcPr>
          <w:p>
            <w:pPr>
              <w:keepNext/>
            </w:pPr>
            <w:r>
              <w:rPr>
                <w:sz w:val="16"/>
                <w:szCs w:val="16"/>
              </w:rPr>
              <w:t xml:space="preserve">Measured (EXP-013, 37 cells)</w:t>
            </w:r>
          </w:p>
        </w:tc>
        <w:tc>
          <w:tcPr>
            <w:tcW w:type="dxa" w:w="3009"/>
          </w:tcPr>
          <w:p>
            <w:pPr>
              <w:keepNext/>
            </w:pPr>
            <w:r>
              <w:rPr>
                <w:sz w:val="16"/>
                <w:szCs w:val="16"/>
              </w:rPr>
              <w:t xml:space="preserve">4.0× faster (GMR 0.249)</w:t>
            </w:r>
          </w:p>
        </w:tc>
      </w:tr>
      <w:tr>
        <w:trPr>
          <w:cantSplit/>
        </w:trPr>
        <w:tc>
          <w:tcPr>
            <w:tcW w:type="dxa" w:w="3009"/>
          </w:tcPr>
          <w:p>
            <w:pPr>
              <w:keepNext/>
            </w:pPr>
            <w:r>
              <w:rPr>
                <w:sz w:val="16"/>
                <w:szCs w:val="16"/>
              </w:rPr>
              <w:t xml:space="preserve">Learner vs static best</w:t>
            </w:r>
          </w:p>
        </w:tc>
        <w:tc>
          <w:tcPr>
            <w:tcW w:type="dxa" w:w="3009"/>
          </w:tcPr>
          <w:p>
            <w:pPr>
              <w:keepNext/>
            </w:pPr>
            <w:r>
              <w:rPr>
                <w:sz w:val="16"/>
                <w:szCs w:val="16"/>
              </w:rPr>
              <w:t xml:space="preserve">Measured (EXP-013)</w:t>
            </w:r>
          </w:p>
        </w:tc>
        <w:tc>
          <w:tcPr>
            <w:tcW w:type="dxa" w:w="3009"/>
          </w:tcPr>
          <w:p>
            <w:pPr>
              <w:keepNext/>
            </w:pPr>
            <w:r>
              <w:rPr>
                <w:sz w:val="16"/>
                <w:szCs w:val="16"/>
              </w:rPr>
              <w:t xml:space="preserve">1.22× slower (H3 rejected)</w:t>
            </w:r>
          </w:p>
        </w:tc>
      </w:tr>
      <w:tr>
        <w:trPr>
          <w:cantSplit/>
        </w:trPr>
        <w:tc>
          <w:tcPr>
            <w:tcW w:type="dxa" w:w="3009"/>
          </w:tcPr>
          <w:p>
            <w:pPr>
              <w:keepNext/>
            </w:pPr>
            <w:r>
              <w:rPr>
                <w:sz w:val="16"/>
                <w:szCs w:val="16"/>
              </w:rPr>
              <w:t xml:space="preserve">Adjudication study cost</w:t>
            </w:r>
          </w:p>
        </w:tc>
        <w:tc>
          <w:tcPr>
            <w:tcW w:type="dxa" w:w="3009"/>
          </w:tcPr>
          <w:p>
            <w:pPr>
              <w:keepNext/>
            </w:pPr>
            <w:r>
              <w:rPr>
                <w:sz w:val="16"/>
                <w:szCs w:val="16"/>
              </w:rPr>
              <w:t xml:space="preserve">Measured (4,842 runs)</w:t>
            </w:r>
          </w:p>
        </w:tc>
        <w:tc>
          <w:tcPr>
            <w:tcW w:type="dxa" w:w="3009"/>
          </w:tcPr>
          <w:p>
            <w:pPr>
              <w:keepNext/>
            </w:pPr>
            <w:r>
              <w:rPr>
                <w:sz w:val="16"/>
                <w:szCs w:val="16"/>
              </w:rPr>
              <w:t xml:space="preserve">~57 wall-clock hours on one node, 4.8 MB record</w:t>
            </w:r>
          </w:p>
        </w:tc>
      </w:tr>
      <w:tr>
        <w:trPr>
          <w:cantSplit/>
        </w:trPr>
        <w:tc>
          <w:tcPr>
            <w:tcW w:type="dxa" w:w="3009"/>
          </w:tcPr>
          <w:p>
            <w:pPr>
              <w:keepNext/>
            </w:pPr>
            <w:r>
              <w:rPr>
                <w:sz w:val="16"/>
                <w:szCs w:val="16"/>
              </w:rPr>
              <w:t xml:space="preserve">Avoidable runs (dependence-aware stopping)</w:t>
            </w:r>
          </w:p>
        </w:tc>
        <w:tc>
          <w:tcPr>
            <w:tcW w:type="dxa" w:w="3009"/>
          </w:tcPr>
          <w:p>
            <w:pPr>
              <w:keepNext/>
            </w:pPr>
            <w:r>
              <w:rPr>
                <w:sz w:val="16"/>
                <w:szCs w:val="16"/>
              </w:rPr>
              <w:t xml:space="preserve">Measured retrospectively</w:t>
            </w:r>
          </w:p>
        </w:tc>
        <w:tc>
          <w:tcPr>
            <w:tcW w:type="dxa" w:w="3009"/>
          </w:tcPr>
          <w:p>
            <w:pPr>
              <w:keepNext/>
            </w:pPr>
            <w:r>
              <w:rPr>
                <w:sz w:val="16"/>
                <w:szCs w:val="16"/>
              </w:rPr>
              <w:t xml:space="preserve">~3,000 runs (~60%)</w:t>
            </w:r>
          </w:p>
        </w:tc>
      </w:tr>
      <w:tr>
        <w:trPr>
          <w:cantSplit/>
        </w:trPr>
        <w:tc>
          <w:tcPr>
            <w:tcW w:type="dxa" w:w="3009"/>
          </w:tcPr>
          <w:p>
            <w:pPr>
              <w:keepNext/>
            </w:pPr>
            <w:r>
              <w:rPr>
                <w:sz w:val="16"/>
                <w:szCs w:val="16"/>
              </w:rPr>
              <w:t xml:space="preserve">Expert-tuning labour displaced</w:t>
            </w:r>
          </w:p>
        </w:tc>
        <w:tc>
          <w:tcPr>
            <w:tcW w:type="dxa" w:w="3009"/>
          </w:tcPr>
          <w:p>
            <w:pPr>
              <w:keepNext/>
            </w:pPr>
            <w:r>
              <w:rPr>
                <w:sz w:val="16"/>
                <w:szCs w:val="16"/>
              </w:rPr>
              <w:t xml:space="preserve">Projected</w:t>
            </w:r>
          </w:p>
        </w:tc>
        <w:tc>
          <w:tcPr>
            <w:tcW w:type="dxa" w:w="3009"/>
          </w:tcPr>
          <w:p>
            <w:pPr>
              <w:keepNext/>
            </w:pPr>
            <w:r>
              <w:rPr>
                <w:sz w:val="16"/>
                <w:szCs w:val="16"/>
              </w:rPr>
              <w:t xml:space="preserve">Per-family policy replaces per-scale configs</w:t>
            </w:r>
          </w:p>
        </w:tc>
      </w:tr>
      <w:tr>
        <w:trPr>
          <w:cantSplit/>
        </w:trPr>
        <w:tc>
          <w:tcPr>
            <w:tcW w:type="dxa" w:w="3009"/>
          </w:tcPr>
          <w:p>
            <w:r>
              <w:rPr>
                <w:sz w:val="16"/>
                <w:szCs w:val="16"/>
              </w:rPr>
              <w:t xml:space="preserve">Cluster/multi-tenant savings</w:t>
            </w:r>
          </w:p>
        </w:tc>
        <w:tc>
          <w:tcPr>
            <w:tcW w:type="dxa" w:w="3009"/>
          </w:tcPr>
          <w:p>
            <w:r>
              <w:rPr>
                <w:sz w:val="16"/>
                <w:szCs w:val="16"/>
              </w:rPr>
              <w:t xml:space="preserve">Not measured</w:t>
            </w:r>
          </w:p>
        </w:tc>
        <w:tc>
          <w:tcPr>
            <w:tcW w:type="dxa" w:w="3009"/>
          </w:tcPr>
          <w:p>
            <w:r>
              <w:rPr>
                <w:sz w:val="16"/>
                <w:szCs w:val="16"/>
              </w:rPr>
              <w:t xml:space="preserve">Excluded from ROI</w:t>
            </w:r>
          </w:p>
        </w:tc>
      </w:tr>
    </w:tbl>
    <w:p/>
    <w:p>
      <w:pPr>
        <w:keepNext/>
        <w:jc w:val="center"/>
      </w:pPr>
      <w:r>
        <w:drawing>
          <wp:inline xmlns:a="http://schemas.openxmlformats.org/drawingml/2006/main" xmlns:pic="http://schemas.openxmlformats.org/drawingml/2006/picture">
            <wp:extent cx="5669280" cy="1899268"/>
            <wp:docPr id="11298" name="Picture 11298"/>
            <wp:cNvGraphicFramePr>
              <a:graphicFrameLocks noChangeAspect="1"/>
            </wp:cNvGraphicFramePr>
            <a:graphic>
              <a:graphicData uri="http://schemas.openxmlformats.org/drawingml/2006/picture">
                <pic:pic>
                  <pic:nvPicPr>
                    <pic:cNvPr id="0" name="Fig 28 Business Impact Dashboard.png"/>
                    <pic:cNvPicPr/>
                  </pic:nvPicPr>
                  <pic:blipFill>
                    <a:blip r:embed="rId60"/>
                    <a:stretch>
                      <a:fillRect/>
                    </a:stretch>
                  </pic:blipFill>
                  <pic:spPr>
                    <a:xfrm>
                      <a:off x="0" y="0"/>
                      <a:ext cx="5669280" cy="18992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63" w:name="_AdaFig28"/>
      <w:r>
        <w:rPr>
          <w:rFonts w:ascii="Helvetica Neue" w:eastAsia="Helvetica Neue" w:hAnsi="Helvetica Neue" w:cs="Helvetica Neue"/>
          <w:b/>
          <w:bCs/>
          <w:color w:val="00629B"/>
          <w:sz w:val="14"/>
          <w:szCs w:val="14"/>
        </w:rPr>
        <w:t xml:space="preserve">FIGURE 28. </w:t>
      </w:r>
      <w:r>
        <w:rPr>
          <w:rFonts w:ascii="Helvetica Neue" w:eastAsia="Helvetica Neue" w:hAnsi="Helvetica Neue" w:cs="Helvetica Neue"/>
          <w:b/>
          <w:bCs/>
          <w:sz w:val="14"/>
          <w:szCs w:val="14"/>
        </w:rPr>
        <w:t xml:space="preserve">Business Impact Dashboard. Measured values only (EXP-013, EXP-009); cluster-scale and multi-tenant savings are not measured and are excluded (Table 15).</w:t>
      </w:r>
      <w:bookmarkEnd w:id="163"/>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64" w:name="_AdaSec20"/>
      <w:r>
        <w:rPr>
          <w:rFonts w:ascii="Helvetica Neue" w:eastAsia="Helvetica Neue" w:hAnsi="Helvetica Neue" w:cs="Helvetica Neue"/>
          <w:b/>
          <w:bCs/>
          <w:color w:val="00629B"/>
          <w:sz w:val="18"/>
          <w:szCs w:val="18"/>
        </w:rPr>
        <w:t xml:space="preserve">XX. CHALLENGES AND LIMITATIONS</w:t>
      </w:r>
      <w:bookmarkEnd w:id="164"/>
    </w:p>
    <w:p w:rsidR="00A7482C" w:rsidRDefault="00A7482C" w:rsidP="00A7482C">
      <w:pPr>
        <w:pBdr>
          <w:top w:val="nil"/>
          <w:left w:val="nil"/>
          <w:bottom w:val="nil"/>
          <w:right w:val="nil"/>
          <w:between w:val="nil"/>
        </w:pBdr>
        <w:jc w:val="both"/>
        <w:rPr>
          <w:sz w:val="20"/>
          <w:szCs w:val="20"/>
        </w:rPr>
      </w:pPr>
      <w:r>
        <w:rPr>
          <w:sz w:val="20"/>
          <w:szCs w:val="20"/>
        </w:rPr>
        <w:t xml:space="preserve">Fig. 29 maps the limitations; every entry below is measured or explicitly recorded, none discovered during writing. </w:t>
      </w:r>
      <w:r>
        <w:rPr>
          <w:b/>
          <w:sz w:val="20"/>
          <w:szCs w:val="20"/>
        </w:rPr>
        <w:t xml:space="preserve">Reward engineering complexity:</w:t>
      </w:r>
      <w:r>
        <w:rPr>
          <w:sz w:val="20"/>
          <w:szCs w:val="20"/>
        </w:rPr>
        <w:t xml:space="preserve"> R3's three terms and references (0.5 CV, 0.10 spill) are frozen constants, and the A3 study shows time-only reward agreeing with R3 on 4/4 states — but the R4 log-ratio variant could not even be fully specified, bounding how far reward redesign can currently go. </w:t>
      </w:r>
      <w:r>
        <w:rPr>
          <w:b/>
          <w:sz w:val="20"/>
          <w:szCs w:val="20"/>
        </w:rPr>
        <w:t xml:space="preserve">Exploration costs:</w:t>
      </w:r>
      <w:r>
        <w:rPr>
          <w:sz w:val="20"/>
          <w:szCs w:val="20"/>
        </w:rPr>
        <w:t xml:space="preserve"> 483 of 500 SC6-counted executions (488/500 combined with the five disclosed demo TRAIN runs) were consumed for a policy that the confirmatory study shows beats defaults but not static tuning; the budget bought honesty (replicates, sealed evaluation) rather than victory. </w:t>
      </w:r>
      <w:r>
        <w:rPr>
          <w:b/>
          <w:sz w:val="20"/>
          <w:szCs w:val="20"/>
        </w:rPr>
        <w:t xml:space="preserve">Scalability constraints:</w:t>
      </w:r>
      <w:r>
        <w:rPr>
          <w:sz w:val="20"/>
          <w:szCs w:val="20"/>
        </w:rPr>
        <w:t xml:space="preserve"> single node, </w:t>
      </w:r>
      <w:r>
        <w:rPr>
          <w:rFonts w:ascii="Consolas" w:hAnsi="Consolas" w:cs="Consolas" w:eastAsia="Consolas"/>
          <w:sz w:val="20"/>
          <w:szCs w:val="20"/>
        </w:rPr>
        <w:t xml:space="preserve">local[2]</w:t>
      </w:r>
      <w:r>
        <w:rPr>
          <w:sz w:val="20"/>
          <w:szCs w:val="20"/>
        </w:rPr>
        <w:t xml:space="preserve">, five synthetic families — no cluster, no streaming, no MLlib; external data appears only as one NYC-Taxi pilot (one month, one workload shape, analogical state mapping) — transfer feasibility, not a second public family (X9). </w:t>
      </w:r>
      <w:r>
        <w:rPr>
          <w:b/>
          <w:sz w:val="20"/>
          <w:szCs w:val="20"/>
        </w:rPr>
        <w:t xml:space="preserve">Computational overhead:</w:t>
      </w:r>
      <w:r>
        <w:rPr>
          <w:sz w:val="20"/>
          <w:szCs w:val="20"/>
        </w:rPr>
        <w:t xml:space="preserve"> the sampler is cheap (6/7 PASS in two studies) but the event log's cost is not pinned below 5% on four cells at n = 10–15 (EXP-014), and repetition studies are expensive when dependence is ignored (~3,000 wasted runs here). </w:t>
      </w:r>
      <w:r>
        <w:rPr>
          <w:b/>
          <w:sz w:val="20"/>
          <w:szCs w:val="20"/>
        </w:rPr>
        <w:t xml:space="preserve">Explainability limitations:</w:t>
      </w:r>
      <w:r>
        <w:rPr>
          <w:sz w:val="20"/>
          <w:szCs w:val="20"/>
        </w:rPr>
        <w:t xml:space="preserve"> policies are inspectable yet mutually disagreeing on training states (M8 0.20); interpretability of tables does not imply trustworthiness of any single table. </w:t>
      </w:r>
      <w:r>
        <w:rPr>
          <w:b/>
          <w:sz w:val="20"/>
          <w:szCs w:val="20"/>
        </w:rPr>
        <w:t xml:space="preserve">Deployment risks:</w:t>
      </w:r>
      <w:r>
        <w:rPr>
          <w:sz w:val="20"/>
          <w:szCs w:val="20"/>
        </w:rPr>
        <w:t xml:space="preserve"> the TEST-seal and budget guard are code properties of this repository, not transferable guarantees; AQE-on showed no benefit on six interleaved cells (EXP-013), so X6's single-cell lead is retracted (pooling untested); </w:t>
      </w:r>
      <w:r>
        <w:rPr>
          <w:rFonts w:ascii="Consolas" w:hAnsi="Consolas" w:cs="Consolas" w:eastAsia="Consolas"/>
          <w:sz w:val="20"/>
          <w:szCs w:val="20"/>
        </w:rPr>
        <w:t xml:space="preserve">F3_rdd|large</w:t>
      </w:r>
      <w:r>
        <w:rPr>
          <w:sz w:val="20"/>
          <w:szCs w:val="20"/>
        </w:rPr>
        <w:t xml:space="preserve"> fails structurally on Windows at every probed seed; no online drift detector gates the policy; </w:t>
      </w:r>
      <w:r>
        <w:rPr>
          <w:rFonts w:ascii="Consolas" w:hAnsi="Consolas" w:cs="Consolas" w:eastAsia="Consolas"/>
          <w:sz w:val="20"/>
          <w:szCs w:val="20"/>
        </w:rPr>
        <w:t xml:space="preserve">F3_rdd|medium</w:t>
      </w:r>
      <w:r>
        <w:rPr>
          <w:sz w:val="20"/>
          <w:szCs w:val="20"/>
        </w:rPr>
        <w:t xml:space="preserve"> is missing everywhere via the T_ref null — and on its TEST cell the learned policy's rdd_sort choice fails 5/5 where static configurations succeed. The frozen state also cannot perceive data scale: every input in the study falls in one size bin, so "unseen scale" was never visible to the agent. Finally, two verdicts fall under dependence-honest intervals and the "bimodal" label failed its own coefficient check — the paper's strong claims carry stated fragility, which is exactly why they are trustworthy as far as they go.</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These limitations echo the RL literature's open problems. Reward design remains a craft with known failure modes [95]; online exploration is costly enough that offline RL has become a field of its own [97]; learned optimizers regress on inputs their training did not cover [62]; and deep policies need verification machinery that this project avoided by staying tabular [99]. Even successful ML tuners needed evaluation under production conditions before their benchmark gains were trusted [64] — the reason EXP-013 re-tests this report's own main comparison under stricter, pre-registered conditions.</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299" name="Picture 11299"/>
            <wp:cNvGraphicFramePr>
              <a:graphicFrameLocks noChangeAspect="1"/>
            </wp:cNvGraphicFramePr>
            <a:graphic>
              <a:graphicData uri="http://schemas.openxmlformats.org/drawingml/2006/picture">
                <pic:pic>
                  <pic:nvPicPr>
                    <pic:cNvPr id="0" name="Fig 29 Challenges and Limitations Roadmap.png"/>
                    <pic:cNvPicPr/>
                  </pic:nvPicPr>
                  <pic:blipFill>
                    <a:blip r:embed="rId61"/>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65" w:name="_AdaFig29"/>
      <w:r>
        <w:rPr>
          <w:rFonts w:ascii="Helvetica Neue" w:eastAsia="Helvetica Neue" w:hAnsi="Helvetica Neue" w:cs="Helvetica Neue"/>
          <w:b/>
          <w:bCs/>
          <w:color w:val="00629B"/>
          <w:sz w:val="14"/>
          <w:szCs w:val="14"/>
        </w:rPr>
        <w:t xml:space="preserve">FIGURE 29. </w:t>
      </w:r>
      <w:r>
        <w:rPr>
          <w:rFonts w:ascii="Helvetica Neue" w:eastAsia="Helvetica Neue" w:hAnsi="Helvetica Neue" w:cs="Helvetica Neue"/>
          <w:b/>
          <w:bCs/>
          <w:sz w:val="14"/>
          <w:szCs w:val="14"/>
        </w:rPr>
        <w:t xml:space="preserve">Challenges and Limitations Roadmap</w:t>
      </w:r>
      <w:bookmarkEnd w:id="165"/>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66" w:name="_AdaSec21"/>
      <w:r>
        <w:rPr>
          <w:rFonts w:ascii="Helvetica Neue" w:eastAsia="Helvetica Neue" w:hAnsi="Helvetica Neue" w:cs="Helvetica Neue"/>
          <w:b/>
          <w:bCs/>
          <w:color w:val="00629B"/>
          <w:sz w:val="18"/>
          <w:szCs w:val="18"/>
        </w:rPr>
        <w:t xml:space="preserve">XXI. FUTURE RESEARCH DIRECTIONS</w:t>
      </w:r>
      <w:bookmarkEnd w:id="166"/>
    </w:p>
    <w:p w:rsidR="00A7482C" w:rsidRDefault="00A7482C" w:rsidP="00A7482C">
      <w:pPr>
        <w:pBdr>
          <w:top w:val="nil"/>
          <w:left w:val="nil"/>
          <w:bottom w:val="nil"/>
          <w:right w:val="nil"/>
          <w:between w:val="nil"/>
        </w:pBdr>
        <w:jc w:val="both"/>
        <w:rPr>
          <w:sz w:val="20"/>
          <w:szCs w:val="20"/>
        </w:rPr>
      </w:pPr>
      <w:r>
        <w:rPr>
          <w:sz w:val="20"/>
          <w:szCs w:val="20"/>
        </w:rPr>
        <w:t xml:space="preserve">Fig. 30 orders the agenda by evidence readiness. </w:t>
      </w:r>
      <w:r>
        <w:rPr>
          <w:b/>
          <w:sz w:val="20"/>
          <w:szCs w:val="20"/>
        </w:rPr>
        <w:t xml:space="preserve">Nearest (pre-designed):</w:t>
      </w:r>
      <w:r>
        <w:rPr>
          <w:sz w:val="20"/>
          <w:szCs w:val="20"/>
        </w:rPr>
        <w:t xml:space="preserve"> the once-nearest items — the scoped AQE-on arm (EXP-005b, 35 runs, own ledger) and the validation-scoped B3 heuristic, sampler and event-log confirmations — have since been executed as X6 and X1–X3 under DEC-047/048 (X6's lead later retracted by EXP-013); what remains nearest is a state whose size bins match the actual data range (today every input falls in one bin), root-causing the Windows sort/spill file lock behind every </w:t>
      </w:r>
      <w:r>
        <w:rPr>
          <w:rFonts w:ascii="Consolas" w:hAnsi="Consolas" w:cs="Consolas" w:eastAsia="Consolas"/>
          <w:sz w:val="20"/>
          <w:szCs w:val="20"/>
        </w:rPr>
        <w:t xml:space="preserve">F3_rdd</w:t>
      </w:r>
      <w:r>
        <w:rPr>
          <w:sz w:val="20"/>
          <w:szCs w:val="20"/>
        </w:rPr>
        <w:t xml:space="preserve"> failure, and the </w:t>
      </w:r>
      <w:r>
        <w:rPr>
          <w:rFonts w:ascii="Consolas" w:hAnsi="Consolas" w:cs="Consolas" w:eastAsia="Consolas"/>
          <w:sz w:val="20"/>
          <w:szCs w:val="20"/>
        </w:rPr>
        <w:t xml:space="preserve">F3_rdd|medium</w:t>
      </w:r>
      <w:r>
        <w:rPr>
          <w:sz w:val="20"/>
          <w:szCs w:val="20"/>
        </w:rPr>
        <w:t xml:space="preserve"> calibration backfill (gap G-05, needs its own TRAIN decision). </w:t>
      </w:r>
      <w:r>
        <w:rPr>
          <w:b/>
          <w:sz w:val="20"/>
          <w:szCs w:val="20"/>
        </w:rPr>
        <w:t xml:space="preserve">Medium term:</w:t>
      </w:r>
      <w:r>
        <w:rPr>
          <w:sz w:val="20"/>
          <w:szCs w:val="20"/>
        </w:rPr>
        <w:t xml:space="preserve"> multi-agent RL over partitioned configuration subspaces (one agent per axis, coordinated through the reward), federated optimization across teams sharing Q0 calibrations without sharing data, and autonomous cluster-scale validation of the single-node findings — each requiring its own budget line and pre-registration. </w:t>
      </w:r>
      <w:r>
        <w:rPr>
          <w:b/>
          <w:sz w:val="20"/>
          <w:szCs w:val="20"/>
        </w:rPr>
        <w:t xml:space="preserve">Longer term</w:t>
      </w:r>
      <w:r>
        <w:rPr>
          <w:sz w:val="20"/>
          <w:szCs w:val="20"/>
        </w:rPr>
        <w:t xml:space="preserve"> (Fig. 31): LLM-assisted optimization (language models proposing configurations the RL loop adjudicates, keeping measurement as the authority), cognitive data engineering (policies that explain themselves in operator language, grounded in the traceability layer of Section X), and dependence-aware stopping rules built from the CUSUM/ACF evidence of Section XV — converting this report's retrospective cost finding into a prospective method. Every direction inherits the guardrails: bounded budgets, sealed evaluation, frozen analysis code, and negative results published.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literature supplies concrete starting points. Multi-agent deep RL, including agents that learn to communicate, is surveyed in depth [134][135], and cooperative multi-task MARL is a natural fit for coordinating a partition agent with a parallelism agent [136]. Federated learning on resource-constrained devices [137] and federated Q-learning for industrial resource allocation [138] show how calibration knowledge could be shared without sharing data, at the price of new attack surfaces [113]. LLM-based agents already tune database knobs [139], and DB-GPT outlines LLM-driven data management [140]; in AdaSpark's design such a model would propose configurations while measurement stays the authority. Energy-aware objectives, now reviewed for data-centre RL [133], would extend the reward beyond execution time.</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Sequencing matters because budgets are finite (17 executions remain under the training cap): the validation-scoped confirmations came first and are done (X1–X3, DEC-048); the F3 calibration backfill remains. The TEST-crossing work proceeded under explicit authorization decisions — AQE-on arm X6 (DEC-047), SC7 pilot X10 (DEC-049) and EXP-013 (DEC-053/055) — since the seal is the project's most valuable methodological asset; the F2 rematch X8 crossed it outside its recorded scope, disclosed in DEC-052. External validity has one feasibility pilot (X9 Taxi, DEC-050) but its full form — a second public family, the 60-run reproducibility study — comes last because it is the most expensive and the least constrained by current gaps: it extends the claims rather than securing them. This ordering ensures that if resources run out, what remains unfinished is clearly marked future work rather than quietly weakened evidence.</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300" name="Picture 11300"/>
            <wp:cNvGraphicFramePr>
              <a:graphicFrameLocks noChangeAspect="1"/>
            </wp:cNvGraphicFramePr>
            <a:graphic>
              <a:graphicData uri="http://schemas.openxmlformats.org/drawingml/2006/picture">
                <pic:pic>
                  <pic:nvPicPr>
                    <pic:cNvPr id="0" name="Fig 30 Future Research Roadmap.png"/>
                    <pic:cNvPicPr/>
                  </pic:nvPicPr>
                  <pic:blipFill>
                    <a:blip r:embed="rId62"/>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67" w:name="_AdaFig30"/>
      <w:r>
        <w:rPr>
          <w:rFonts w:ascii="Helvetica Neue" w:eastAsia="Helvetica Neue" w:hAnsi="Helvetica Neue" w:cs="Helvetica Neue"/>
          <w:b/>
          <w:bCs/>
          <w:color w:val="00629B"/>
          <w:sz w:val="14"/>
          <w:szCs w:val="14"/>
        </w:rPr>
        <w:t xml:space="preserve">FIGURE 30. </w:t>
      </w:r>
      <w:r>
        <w:rPr>
          <w:rFonts w:ascii="Helvetica Neue" w:eastAsia="Helvetica Neue" w:hAnsi="Helvetica Neue" w:cs="Helvetica Neue"/>
          <w:b/>
          <w:bCs/>
          <w:sz w:val="14"/>
          <w:szCs w:val="14"/>
        </w:rPr>
        <w:t xml:space="preserve">Future Research Roadmap</w:t>
      </w:r>
      <w:bookmarkEnd w:id="167"/>
    </w:p>
    <w:p>
      <w:pPr>
        <w:keepNext/>
        <w:jc w:val="center"/>
      </w:pPr>
      <w:r>
        <w:drawing>
          <wp:inline xmlns:a="http://schemas.openxmlformats.org/drawingml/2006/main" xmlns:pic="http://schemas.openxmlformats.org/drawingml/2006/picture">
            <wp:extent cx="5669280" cy="2448368"/>
            <wp:docPr id="11301" name="Picture 11301"/>
            <wp:cNvGraphicFramePr>
              <a:graphicFrameLocks noChangeAspect="1"/>
            </wp:cNvGraphicFramePr>
            <a:graphic>
              <a:graphicData uri="http://schemas.openxmlformats.org/drawingml/2006/picture">
                <pic:pic>
                  <pic:nvPicPr>
                    <pic:cNvPr id="0" name="Fig 31 Next-Generation Autonomous Analytics Ecosystem.png"/>
                    <pic:cNvPicPr/>
                  </pic:nvPicPr>
                  <pic:blipFill>
                    <a:blip r:embed="rId63"/>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68" w:name="_AdaFig31"/>
      <w:r>
        <w:rPr>
          <w:rFonts w:ascii="Helvetica Neue" w:eastAsia="Helvetica Neue" w:hAnsi="Helvetica Neue" w:cs="Helvetica Neue"/>
          <w:b/>
          <w:bCs/>
          <w:color w:val="00629B"/>
          <w:sz w:val="14"/>
          <w:szCs w:val="14"/>
        </w:rPr>
        <w:t xml:space="preserve">FIGURE 31. </w:t>
      </w:r>
      <w:r>
        <w:rPr>
          <w:rFonts w:ascii="Helvetica Neue" w:eastAsia="Helvetica Neue" w:hAnsi="Helvetica Neue" w:cs="Helvetica Neue"/>
          <w:b/>
          <w:bCs/>
          <w:sz w:val="14"/>
          <w:szCs w:val="14"/>
        </w:rPr>
        <w:t xml:space="preserve">Next-Generation Autonomous Analytics Ecosystem. Prospective design in which language models propose configurations while measurement remains the authority (Section XXI).</w:t>
      </w:r>
      <w:bookmarkEnd w:id="168"/>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69" w:name="_AdaSec22"/>
      <w:r>
        <w:rPr>
          <w:rFonts w:ascii="Helvetica Neue" w:eastAsia="Helvetica Neue" w:hAnsi="Helvetica Neue" w:cs="Helvetica Neue"/>
          <w:b/>
          <w:bCs/>
          <w:color w:val="00629B"/>
          <w:sz w:val="18"/>
          <w:szCs w:val="18"/>
        </w:rPr>
        <w:t xml:space="preserve">XXII. CONCLUSION</w:t>
      </w:r>
      <w:bookmarkEnd w:id="169"/>
    </w:p>
    <w:p w:rsidR="00A7482C" w:rsidRDefault="00A7482C" w:rsidP="00A7482C">
      <w:pPr>
        <w:pBdr>
          <w:top w:val="nil"/>
          <w:left w:val="nil"/>
          <w:bottom w:val="nil"/>
          <w:right w:val="nil"/>
          <w:between w:val="nil"/>
        </w:pBdr>
        <w:jc w:val="both"/>
        <w:rPr>
          <w:sz w:val="20"/>
          <w:szCs w:val="20"/>
        </w:rPr>
      </w:pPr>
      <w:r>
        <w:rPr>
          <w:sz w:val="20"/>
          <w:szCs w:val="20"/>
        </w:rPr>
        <w:t xml:space="preserve">AdaSpark set out to test whether Spark execution-configuration selection can be made self-adaptive with sample-efficient reinforcement learning inside a practical budget — and to report whatever the measurement said (Fig. 32). What it established: configuration choice moves medians ≥10% on every tested family; a tabular learner with offline initialization trains inside 483 counted executions with zero failed submissions; and, in a pre-registered confirmatory evaluation on 42 frozen test cells, the learned policy is 4.0× faster than Spark defaults (H2 accepted) but 1.22× slower than a well-chosen static tuning (H3 rejected). The 1 Hz system sampler costs less than 5% on six of seven cells in two independent studies, the second analysed with a statistic fixed before its data existed; the Spark event log's cost could not be pinned below 5% on four cells at that study's precision. Repetition counts derived from independence assumptions fail universally because runs are regime-structured episodes, a finding with a measured ~60% waste attached.</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confirmatory studies changed the report as much as they confirmed it. The advantage over defaults held, the absence of an advantage over static tuning held, the skew-join parallelism deficit behind it held, and the sampler's low cost held. The apparent tie with random search did not — random search had converged to the static configuration, and the tie was an artifact of run order. Neither did the AQE-on lead on one join cell, a cross-day difference that vanished when the arms were interleaved, nor the size pattern in the reproducibility pilot, nor the event log's earlier pass. And a structural limitation surfaced that the descriptive record had hidden: every test input falls in one size bin, so the three replicate policies — which disagree on training states — act on test inputs as one five-rule lookup, and one of those rules fails on a test cell the agent never trained on.</w:t>
      </w:r>
    </w:p>
    <w:p w:rsidR="00A7482C" w:rsidRDefault="00A7482C" w:rsidP="00A7482C">
      <w:pPr>
        <w:pBdr>
          <w:top w:val="nil"/>
          <w:left w:val="nil"/>
          <w:bottom w:val="nil"/>
          <w:right w:val="nil"/>
          <w:between w:val="nil"/>
        </w:pBdr>
        <w:ind w:firstLine="200"/>
        <w:jc w:val="both"/>
        <w:rPr>
          <w:sz w:val="20"/>
          <w:szCs w:val="20"/>
        </w:rPr>
      </w:pPr>
      <w:r>
        <w:rPr>
          <w:sz w:val="20"/>
          <w:szCs w:val="20"/>
        </w:rPr>
        <w:t xml:space="preserve">The durable contributions are therefore threefold: a governed, auditable control loop for Spark tuning whose every claim traces to a recorded artifact; a measurement record, negative results included, that future work can build on without repeating; and a worked example of what pre-registered confirmation buys — an A/A control that turned a puzzling 2.2× spread into a 2% noise floor, and decision rules fixed before data that let several of the report's own claims be refuted rather than rationalized. The lessons are practical: interleave arms before comparing them, measure the noise of identical configurations before naming winners, pair conditions when measuring small overheads, and check what a policy's state can actually see before claiming it generalizes. For practitioners the immediate recommendation follows from H3: choose a static per-family configuration by interleaved measurement, and treat a learned policy as a candidate generator rather than the controller of record until its state can perceive scale. The opportunities follow directly — a state that perceives scale, multi-agent and federated tuning, and LLM-proposed configurations adjudicated by measurement (Section XXI). The lesson for self-adaptive systems is the report's final finding: adaptivity is not only learning faster but knowing, measurably, when not to claim learning at all.</w:t>
      </w:r>
    </w:p>
    <w:p>
      <w:p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p>
      <w:pPr>
        <w:keepNext/>
        <w:jc w:val="center"/>
      </w:pPr>
      <w:r>
        <w:drawing>
          <wp:inline xmlns:a="http://schemas.openxmlformats.org/drawingml/2006/main" xmlns:pic="http://schemas.openxmlformats.org/drawingml/2006/picture">
            <wp:extent cx="5669280" cy="2448368"/>
            <wp:docPr id="11302" name="Picture 11302"/>
            <wp:cNvGraphicFramePr>
              <a:graphicFrameLocks noChangeAspect="1"/>
            </wp:cNvGraphicFramePr>
            <a:graphic>
              <a:graphicData uri="http://schemas.openxmlformats.org/drawingml/2006/picture">
                <pic:pic>
                  <pic:nvPicPr>
                    <pic:cNvPr id="0" name="Fig 32 Research Contribution Framework.png"/>
                    <pic:cNvPicPr/>
                  </pic:nvPicPr>
                  <pic:blipFill>
                    <a:blip r:embed="rId64"/>
                    <a:stretch>
                      <a:fillRect/>
                    </a:stretch>
                  </pic:blipFill>
                  <pic:spPr>
                    <a:xfrm>
                      <a:off x="0" y="0"/>
                      <a:ext cx="5669280" cy="2448368"/>
                    </a:xfrm>
                    <a:prstGeom prst="rect"/>
                  </pic:spPr>
                </pic:pic>
              </a:graphicData>
            </a:graphic>
          </wp:inline>
        </w:drawing>
      </w:r>
    </w:p>
    <w:p w:rsidR="00A7482C" w:rsidRDefault="00A7482C" w:rsidP="00A7482C">
      <w:pPr>
        <w:pBdr>
          <w:top w:val="nil"/>
          <w:left w:val="nil"/>
          <w:bottom w:val="nil"/>
          <w:right w:val="nil"/>
          <w:between w:val="nil"/>
        </w:pBdr>
        <w:spacing w:before="140"/>
        <w:jc w:val="center"/>
        <w:rPr>
          <w:rFonts w:ascii="Helvetica Neue" w:eastAsia="Helvetica Neue" w:hAnsi="Helvetica Neue" w:cs="Helvetica Neue"/>
          <w:b/>
          <w:bCs/>
          <w:sz w:val="14"/>
          <w:szCs w:val="14"/>
        </w:rPr>
      </w:pPr>
      <w:bookmarkStart w:id="170" w:name="_AdaFig32"/>
      <w:r>
        <w:rPr>
          <w:rFonts w:ascii="Helvetica Neue" w:eastAsia="Helvetica Neue" w:hAnsi="Helvetica Neue" w:cs="Helvetica Neue"/>
          <w:b/>
          <w:bCs/>
          <w:color w:val="00629B"/>
          <w:sz w:val="14"/>
          <w:szCs w:val="14"/>
        </w:rPr>
        <w:t xml:space="preserve">FIGURE 32. </w:t>
      </w:r>
      <w:r>
        <w:rPr>
          <w:rFonts w:ascii="Helvetica Neue" w:eastAsia="Helvetica Neue" w:hAnsi="Helvetica Neue" w:cs="Helvetica Neue"/>
          <w:b/>
          <w:bCs/>
          <w:sz w:val="14"/>
          <w:szCs w:val="14"/>
        </w:rPr>
        <w:t xml:space="preserve">Research Contribution Framework. The governed loop (C1–C5, C8), the measurement record (C6–C7) and the honest bounds set by M8, H2 and H3 (Table 1).</w:t>
      </w:r>
      <w:bookmarkEnd w:id="170"/>
    </w:p>
    <w:p>
      <w:pPr>
        <w:sectPr w:rsidR="00A7482C" w:rsidSect="001C2925">
          <w:type w:val="continuous"/>
          <w:footerReference w:type="default" r:id="rId20"/>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71" w:name="_AdaSec23"/>
      <w:r>
        <w:rPr>
          <w:rFonts w:ascii="Helvetica Neue" w:eastAsia="Helvetica Neue" w:hAnsi="Helvetica Neue" w:cs="Helvetica Neue"/>
          <w:b/>
          <w:bCs/>
          <w:color w:val="00629B"/>
          <w:sz w:val="18"/>
          <w:szCs w:val="18"/>
        </w:rPr>
        <w:t xml:space="preserve">DATA AVAILABILITY</w:t>
      </w:r>
      <w:bookmarkEnd w:id="171"/>
    </w:p>
    <w:p w:rsidR="00A7482C" w:rsidRDefault="00A7482C" w:rsidP="00A7482C">
      <w:pPr>
        <w:pBdr>
          <w:top w:val="nil"/>
          <w:left w:val="nil"/>
          <w:bottom w:val="nil"/>
          <w:right w:val="nil"/>
          <w:between w:val="nil"/>
        </w:pBdr>
        <w:jc w:val="both"/>
        <w:rPr>
          <w:sz w:val="20"/>
          <w:szCs w:val="20"/>
        </w:rPr>
      </w:pPr>
      <w:r>
        <w:rPr>
          <w:sz w:val="20"/>
          <w:szCs w:val="20"/>
        </w:rPr>
        <w:t xml:space="preserve">The datasets generated and/or analysed during the current study are not publicly available due to a pending archival deposit — the raw observation records carry identifying machine metadata that are withheld during review, and the versioned archive receives its persistent identifier only at deposit (DEC-045) — but are available from the corresponding author on reasonable request. The analysis code, frozen policies, decision log and derived analysis artifacts are kept with SHA-256 checksums in the project repository, so every reported figure can be re-derived from the archived records. The seeded synthetic inputs regenerate deterministically from the manifests in the submission's datasets folder, and the NYC-Taxi pilot's one external month is public on the NYC Taxi and Limousine Commission trip-record site.</w:t>
      </w: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72" w:name="_AdaSec24"/>
      <w:r>
        <w:rPr>
          <w:rFonts w:ascii="Helvetica Neue" w:eastAsia="Helvetica Neue" w:hAnsi="Helvetica Neue" w:cs="Helvetica Neue"/>
          <w:b/>
          <w:bCs/>
          <w:color w:val="00629B"/>
          <w:sz w:val="18"/>
          <w:szCs w:val="18"/>
        </w:rPr>
        <w:t xml:space="preserve">REFERENCES</w:t>
      </w:r>
      <w:bookmarkEnd w:id="172"/>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 M. Zaharia et al., "Resilient distributed datasets: A fault-tolerant abstraction for in-memory cluster computing," in Proc. NSDI, 2012.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 M. Armbrust et al., "Spark SQL: Relational data processing in Spark," in Proc. SIGMOD, 2015, pp. 1383–1394, doi: 10.1145/2723372.2742797.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 R. S. Sutton and A. G. Barto, Reinforcement Learning: An Introduction, 2nd ed. MIT Press, 2018.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 C. J. C. H. Watkins and P. Dayan, "Q-learning," Machine Learning, vol. 8, no. 3–4, pp. 279–292, 1992, doi: 10.1007/bf00992698.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 J. O. Kephart and D. M. Chess, "The vision of autonomic computing," Computer, vol. 36, no. 1, pp. 41–50, 2003, doi: 10.1109/mc.2003.1160055.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 H. Herodotou et al., "Starfish: A self-tuning system for big data analytics," in Proc. CIDR, 2011.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 D. Van Aken, A. Pavlo, G. J. Gordon, and B. Zhang, "Automatic database management system tuning through large-scale machine learning," in Proc. SIGMOD, 2017, pp. 1009–1024, doi: 10.1145/3035918.3064029.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 J. Zhang et al., "An end-to-end automatic cloud database tuning system using deep reinforcement learning," in Proc. SIGMOD, 2019, pp. 415–432, doi: 10.1145/3299869.3300085.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 H. Mao, M. Schwarzkopf, S. B. Venkatakrishnan, Z. Meng, and M. Alizadeh, "Learning scheduling algorithms for data processing clusters," in Proc. ACM SIGCOMM, 2019, pp. 270–288, doi: 10.1145/3341302.3342080.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 Apache Software Foundation, "Monitoring and instrumentation," Apache Spark documentation, https://spark.apache.org/docs/latest/monitoring.html, 2026.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 A. Georges, D. Buytaert, and L. Eeckhout, "Statistically rigorous Java performance evaluation," in Proc. OOPSLA, 2007, pp. 57–76, doi: 10.1145/1297027.1297033.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 T. Kalibera and R. Jones, "Rigorous benchmarking in reasonable time," in Proc. ISMM, 2013, pp. 63–74, doi: 10.1145/2464157.2464160.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 E. Barrett, C. F. Bolz-Tereick, R. Killick, S. Mount, and L. Tratt, "Virtual machine warmup blows hot and cold," Proc. ACM Program. Lang., vol. 1, no. OOPSLA, pp. 1–27, 2017, doi: 10.1145/3133876.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[14] T. Mytkowicz, A. Diwan, M. Hauswirth, and P. F. Sweeney, "Producing wrong data without doing anything obviously wrong!" in Proc. ASPLOS, 2009, pp. 265–276, doi: 10.1145/1508244.1508275.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[15] T. Mytkowicz, A. Diwan, M. Hauswirth, and P. F. Sweeney, "Evaluating the accuracy of Java profilers," in Proc. PLDI, 2010, pp. 187–197, doi: 10.1145/1806596.1806618.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[16] J. Chen and J. Revels, "Robust benchmarking in noisy environments," arXiv:1608.04295, 2016.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[17] A. Abedi and T. Brecht, "Conducting repeatable experiments in highly variable cloud computing environments," in Proc. ICPE, 2017, pp. 287–292, doi: 10.1145/3030207.3030229.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[18] L. Bulej, V. Horký, P. Tůma, F. Farquet, and A. Prokopec, "Duet benchmarking: Improving measurement accuracy in the cloud," in Proc. ICPE, 2020, pp. 100–107, doi: 10.1145/3358960.3379132.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[19] C. Laaber, J. Scheuner, and P. Leitner, "Software microbenchmarking in the cloud. How bad is it really?" Empirical Software Engineering, vol. 24, no. 4, pp. 2469–2508, 2019, doi: 10.1007/s10664-019-09681-1.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[20] P. Leitner and J. Cito, "Patterns in the chaos — A study of performance variation and predictability in public IaaS clouds," ACM Trans. Internet Technol., vol. 16, no. 3, pp. 1–23, 2016, doi: 10.1145/2885497.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[21] A. Uta et al., "Is big data performance reproducible in modern cloud networks?" in Proc. NSDI, 2020.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[22] A. Maricq, D. Duplyakin, I. Jimenez, C. Maltzahn, R. Stutsman, and R. Ricci, "Taming performance variability," in Proc. OSDI, 2018.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[23] K. Ousterhout, R. Rasti, S. Ratnasamy, S. Shenker, and B.-G. Chun, "Making sense of performance in data analytics frameworks," in Proc. NSDI, 2015.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[24] A. V. Papadopoulos et al., "Methodological principles for reproducible performance evaluation in cloud computing," IEEE Trans. Software Eng., vol. 47, no. 8, pp. 1528–1543, 2021, doi: 10.1109/tse.2019.2927908.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[25] L. Traini, V. Cortellessa, D. Di Pompeo, and M. Tucci, "Towards effective assessment of steady state performance in Java software: Are we there yet?" Empirical Software Engineering, vol. 28, no. 1, 2023, doi: 10.1007/s10664-022-10247-x.</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[26] H. Burchell, O. Larose, S. Kaleba, and S. Marr, "Don't trust your profiler: An empirical study on the precision and accuracy of Java profilers," in Proc. MPLR, 2023, pp. 100–113, doi: 10.1145/3617651.3622985.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[27] A. van Hoorn, J. Waller, and W. Hasselbring, "Kieker: A framework for application performance monitoring and dynamic software analysis," in Proc. ICPE, 2012, pp. 247–248, doi: 10.1145/2188286.2188326.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[28] D. G. Reichelt, S. Kühne, and W. Hasselbring, "Towards solving the challenge of minimal overhead monitoring," in Proc. ICPE Companion, 2023, pp. 381–388, doi: 10.1145/3578245.3584851.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[29] D. G. Reichelt, L. Bulej, R. Jung, and A. van Hoorn, "Overhead comparison of instrumentation frameworks," in Proc. ICPE Companion, 2024, pp. 249–256, doi: 10.1145/3629527.3652269.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[30] G. Ren, E. Tune, T. Moseley, Y. Shi, S. Rus, and R. Hundt, "Google-wide profiling: A continuous profiling infrastructure for data centers," IEEE Micro, vol. 30, no. 4, pp. 65–79, 2010, doi: 10.1109/mm.2010.68.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[31] G. Li, X. Zhou, S. Li, and B. Gao, "QTune: A query-aware database tuning system with deep reinforcement learning," Proc. VLDB Endow., vol. 12, no. 12, pp. 2118–2130, 2019, doi: 10.14778/3352063.3352129.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[32] M. C. Huebscher and J. A. McCann, "A survey of autonomic computing — Degrees, models, and applications," ACM Comput. Surveys, vol. 40, no. 3, pp. 1–28, 2008, doi: 10.1145/1380584.1380585.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[33] M. Armbrust et al., "Delta Lake: High-performance ACID table storage over cloud object stores," Proc. VLDB Endow., vol. 13, no. 12, pp. 3411–3424, 2020, doi: 10.14778/3415478.3415560.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[34] Apache Software Foundation, "Adaptive query execution," Apache Spark documentation, https://spark.apache.org/docs/latest/sql-performance-tuning.html, 2026.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[35] J. Dean and S. Ghemawat, "MapReduce: Simplified data processing on large clusters," in Proc. OSDI, 2004.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[36] K. Shvachko, H. Kuang, S. Radia, and R. Chansler, "The Hadoop distributed file system," in Proc. MSST, 2010, pp. 1–10, doi: 10.1109/msst.2010.5496972.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[37] T. P. Lillicrap et al., "Continuous control with deep reinforcement learning," arXiv:1509.02971, 2016.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[38] V. Mnih et al., "Human-level control through deep reinforcement learning," Nature, vol. 518, no. 7540, pp. 529–533, 2015, doi: 10.1038/nature14236.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[39] J. Schulman et al., "Proximal policy optimization algorithms," arXiv:1707.06347, 2017.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[40] M. Fragkoulis, P. Carbone, V. Kalavri, and A. Katsifodimos, "A survey on the evolution of stream processing systems," The VLDB Journal, vol. 33, no. 2, pp. 507–541, 2023, doi: 10.1007/s00778-023-00819-8.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[41] C. Doulkeridis, A. Vlachou, N. Pelekis, and Y. Theodoridis, "A survey on big data processing frameworks for mobility analytics," ACM SIGMOD Record, vol. 50, no. 2, pp. 18–29, 2021, doi: 10.1145/3484622.3484626.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[42] H. Liang, Z. Zhang, C. Hu, Y. Gong, and D. Cheng, "A survey on spatio-temporal big data analytics ecosystem: Resource management, processing platform, and applications," IEEE Transactions on Big Data, vol. 10, no. 2, pp. 174–193, 2024, doi: 10.1109/tbdata.2023.3342619.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[43] E. Dritsas and M. Trigka, "Applying machine learning on big data with Apache Spark," IEEE Access, vol. 13, pp. 53377–53393, 2025, doi: 10.1109/access.2025.3552042.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[44] S. Shah, Y. Amannejad, and D. Krishnamurthy, "Diaspore: Diagnosing performance interference in Apache Spark," IEEE Access, vol. 9, pp. 103230–103243, 2021, doi: 10.1109/access.2021.3098426.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[45] Z. Tang, W. Lv, K. Li, and K. Li, "An intermediate data partition algorithm for skew mitigation in Spark computing environment," IEEE Transactions on Cloud Computing, vol. 9, no. 2, pp. 461–474, 2021, doi: 10.1109/tcc.2018.2878838.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[46] S. Bora, B. Walker, and M. Fidler, "The tiny-tasks granularity trade-off: Balancing overhead versus performance in parallel systems," IEEE Transactions on Parallel and Distributed Systems, vol. 34, no. 4, pp. 1128–1144, 2023, doi: 10.1109/tpds.2022.3233712.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[47] P. Wu and Z. G. Ives, "Modeling shifting workloads for learned database systems," Proceedings of the ACM on Management of Data, vol. 2, no. 1, pp. 1–27, 2024, doi: 10.1145/3639293.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[48] D. Kreuzberger, N. Kühl, and S. Hirschl, "Machine learning operations (MLOps): Overview, definition, and architecture," IEEE Access, vol. 11, pp. 31866–31879, 2023, doi: 10.1109/access.2023.3262138.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[49] A. Fannouch, J. Gharib, and Y. Gahi, "Enhancing DataOps practices through innovative collaborative models: A systematic review," International Journal of Information Management Data Insights, vol. 5, no. 1, Art. no. 100321, 2025, doi: 10.1016/j.jjimei.2025.100321.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[50] D. Jang, H. Yoon, K. Jung, and Y. D. Chung, "QHB+: Accelerated configuration optimization for automated performance tuning of Spark SQL applications," IEEE Access, vol. 12, pp. 60138–60148, 2024, doi: 10.1109/access.2024.3391333.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[51] M. Li, Z. Liu, X. Shi, and H. Jin, "ATCS: Auto-tuning configurations of big data frameworks based on generative adversarial nets," IEEE Access, vol. 8, pp. 50485–50496, 2020, doi: 10.1109/access.2020.2979812.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[52] A. Rasch, R. Schulze, M. Steuwer, and S. Gorlatch, "Efficient auto-tuning of parallel programs with interdependent tuning parameters via auto-tuning framework (ATF)," ACM Transactions on Architecture and Code Optimization, vol. 18, no. 1, pp. 1–26, 2021, doi: 10.1145/3427093.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[53] H. Dou, M. He, L. Zhang, Y. Zhang, and Z. Zheng, "CausalConf: Datasize-aware configuration auto-tuning for recurring big data processing jobs via adaptive causal structure learning," IEEE Transactions on Parallel and Distributed Systems, vol. 36, no. 7, pp. 1354–1371, 2025, doi: 10.1109/tpds.2025.3560304.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[54] H. Dou, Y. Wang, Y. Zhang, P. Chen, and Z. Zheng, "DeepCAT+: A low-cost and transferrable online configuration auto-tuning approach for big data frameworks," IEEE Transactions on Parallel and Distributed Systems, vol. 35, no. 11, pp. 2114–2131, 2024, doi: 10.1109/tpds.2024.3459889.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[55] Z. Fu, M. He, Y. Yi, and Z. Tang, "Improving data locality of tasks by executor allocation in Spark computing environment," IEEE Transactions on Cloud Computing, vol. 12, no. 3, pp. 876–888, 2024, doi: 10.1109/tcc.2024.3406041.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[56] H. Du and S. Zhang, "Hawkeye: Adaptive straggler identification on heterogeneous Spark cluster with reinforcement learning," IEEE Access, vol. 8, pp. 57822–57832, 2020, doi: 10.1109/access.2020.2982320.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[57] J. Ye, J. Li, L. Chen, Y. Mao, Y. Gao, and T. Li, "LEAP: A low-cost Spark SQL query optimizer using pairwise comparison," Proceedings of the VLDB Endowment, vol. 18, no. 3, pp. 675–687, 2024, doi: 10.14778/3712221.3712234.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[58] X. Zhao, X. Zhou, and G. Li, "Automatic database knob tuning: A survey," IEEE Transactions on Knowledge and Data Engineering, vol. 35, no. 12, pp. 12470–12490, 2023, doi: 10.1109/tkde.2023.3266893.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[59] Y. Wang, D. Basu, P. Bourhis, R. Rouvoy, and P. Royer, "DOT: Dynamic knob selection and online sampling for automated database tuning," Proceedings of the VLDB Endowment, vol. 19, no. 4, pp. 589–602, 2025, doi: 10.14778/3785297.3785302.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[60] W. Zhang, W. S. Lim, M. Butrovich, and A. Pavlo, "The Holon approach for simultaneously tuning multiple components in a self-driving database management system with machine learning via synthesized proto-actions," Proceedings of the VLDB Endowment, vol. 17, no. 11, pp. 3373–3387, 2024, doi: 10.14778/3681954.3682007.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[61] T. Chen, J. Gao, H. Chen, and Y. Tu, "LOGER: A learned optimizer towards generating efficient and robust query execution plans," Proceedings of the VLDB Endowment, vol. 16, no. 7, pp. 1777–1789, 2023, doi: 10.14778/3587136.3587150.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[62] L. Weng, R. Zhu, D. Wu, B. Ding, B. Zheng, and J. Zhou, "Eraser: Eliminating performance regression on learned query optimizer," Proceedings of the VLDB Endowment, vol. 17, no. 5, pp. 926–938, 2024, doi: 10.14778/3641204.3641205.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[63] C. Lehmann, P. Sulimov, and K. Stockinger, "Is your learned query optimizer behaving as you expect? A machine learning perspective," Proceedings of the VLDB Endowment, vol. 17, no. 7, pp. 1565–1577, 2024, doi: 10.14778/3654621.3654625.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[64] D. Van Aken et al., "An inquiry into machine learning-based automatic configuration tuning services on real-world database management systems," Proceedings of the VLDB Endowment, vol. 14, no. 7, pp. 1241–1253, 2021, doi: 10.14778/3450980.3450992.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[65] C. Zhang, F. Wu, Z. Wang, X. Wang, H. Ma, and Y. Liu, "A graph-based deep reinforcement learning model for task scheduling on heterogeneous resource-elastic management of resource pool," IEEE Transactions on Cloud Computing, vol. 13, no. 4, pp. 1327–1342, 2025, doi: 10.1109/tcc.2025.3620615.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[66] Z. Yao, L. Ding, H. Zhang, H. Li, L. Chen, and Z. Li, "Deep reinforcement learning for job scheduling on load-aware heterogeneous cluster," Journal of Big Data, vol. 12, no. 1, Art. no. 276, 2025, doi: 10.1186/s40537-025-01325-0.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[67] Z. Tang, W. Jia, X. Zhou, W. Yang, and Y. You, "Representation and reinforcement learning for task scheduling in edge computing," IEEE Transactions on Big Data, vol. 8, no. 3, pp. 795–808, 2022, doi: 10.1109/tbdata.2020.2990558.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[68] P. Choppara and S. Mangalampalli, "An efficient deep reinforcement learning based task scheduler in cloud-fog environment," Cluster Computing, vol. 28, no. 1, Art. no. 67, 2024, doi: 10.1007/s10586-024-04712-z.</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[69] H. Chen, J. Wen, W. Pedrycz, and G. Wu, "Big data processing workflows oriented real-time scheduling algorithm using task-duplication in geo-distributed clouds," IEEE Transactions on Big Data, vol. 6, no. 1, pp. 131–144, 2020, doi: 10.1109/tbdata.2018.2874469.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[70] H. Nasiri, S. Nasehi, A. Divband, and M. Goudarzi, "A scheduling algorithm to maximize storm throughput in heterogeneous cluster," Journal of Big Data, vol. 10, no. 1, Art. no. 103, 2023, doi: 10.1186/s40537-023-00771-y.</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[71] T. Fu, Y. Peng, P. Liu, H. Lao, and S. Wan, "Distributed reinforcement learning-based memory allocation for edge-PLCs in industrial IoT," Journal of Cloud Computing, vol. 11, no. 1, Art. no. 73, 2022, doi: 10.1186/s13677-022-00348-9.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[72] A. Ben-Ameur, A. Araldo, T. Chahed, and G. Dán, "Cache allocation in multi-tenant edge computing: An online model-based reinforcement learning approach," IEEE Transactions on Cloud Computing, vol. 13, no. 2, pp. 459–472, 2025, doi: 10.1109/tcc.2025.3538158.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[73] Z. Wang, M. Goudarzi, and R. Buyya, "ReinFog: A deep reinforcement learning empowered framework for resource management in edge and cloud computing environments," Journal of Network and Computer Applications, vol. 242, Art. no. 104250, 2025, doi: 10.1016/j.jnca.2025.104250.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[74] J. v. Remmerden, Z. Bukhsh, and Y. Zhang, "Offline reinforcement learning for learning to dispatch for job shop scheduling," Machine Learning, vol. 114, no. 8, Art. no. 191, 2025, doi: 10.1007/s10994-025-06826-w.</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[75] L. Ding, Z. Guan, D. Luo, and L. Yue, "Data-driven hierarchical multi-policy deep reinforcement learning framework for multi-objective multiplicity dynamic flexible job shop scheduling," Journal of Manufacturing Systems, vol. 80, pp. 536–562, 2025, doi: 10.1016/j.jmsy.2025.03.019.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[76] F. Rossi, V. Cardellini, F. L. Presti, and M. Nardelli, "Dynamic multi-metric thresholds for scaling applications using reinforcement learning," IEEE Transactions on Cloud Computing, vol. 11, no. 2, pp. 1807–1821, 2023, doi: 10.1109/tcc.2022.3163357.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[77] S. Agarwal, M. A. Rodriguez, and R. Buyya, "A deep recurrent-reinforcement learning method for intelligent AutoScaling of serverless functions," IEEE Transactions on Services Computing, vol. 17, no. 5, pp. 1899–1910, 2024, doi: 10.1109/tsc.2024.3387661.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[78] T. Li, S. Ying, X. Tian, T. Zhang, and Y. Wang, "ASTRA: Adversarial sim-to-real transfer reinforcement learning for autoscaling in cloud systems," IEEE Transactions on Software Engineering, vol. 51, no. 10, pp. 2921–2941, 2025, doi: 10.1109/tse.2025.3603995.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[79] A. A. Khaleq and I. Ra, "Intelligent autoscaling of microservices in the cloud for real-time applications," IEEE Access, vol. 9, pp. 35464–35476, 2021, doi: 10.1109/access.2021.3061890.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[80] W. Iqbal, A. Erradi, M. Abdullah, and A. Mahmood, "Predictive auto-scaling of multi-tier applications using performance varying cloud resources," IEEE Transactions on Cloud Computing, vol. 10, no. 1, pp. 595–607, 2022, doi: 10.1109/tcc.2019.2944364.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[81] A. Al-Dulaimy, J. Taheri, A. Kassler, M. R. HoseinyFarahabady, S. Deng, and A. Zomaya, "MultiScaler: A multi-loop auto-scaling approach for cloud-based applications," IEEE Transactions on Cloud Computing, vol. 10, no. 4, pp. 2769–2786, 2022, doi: 10.1109/tcc.2020.3031676.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[82] S. Chouliaras and S. Sotiriadis, "An adaptive auto-scaling framework for cloud resource provisioning," Future Generation Computer Systems, vol. 148, pp. 173–183, 2023, doi: 10.1016/j.future.2023.05.017.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[83] M. Straesser, S. Geissler, S. Lange, L. K. Schumann, T. Hossfeld, and S. Kounev, "Trust your local scaler: A continuous, decentralized approach to autoscaling," Performance Evaluation, vol. 167, Art. no. 102452, 2025, doi: 10.1016/j.peva.2024.102452.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[84] O. Gheibi, D. Weyns, and F. Quin, "Applying machine learning in self-adaptive systems," ACM Transactions on Autonomous and Adaptive Systems, vol. 15, no. 3, pp. 1–37, 2020, doi: 10.1145/3469440.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[85] T. R. D. Saputri and S. W. Lee, "The application of machine learning in self-adaptive systems: A systematic literature review," IEEE Access, vol. 8, pp. 205948–205967, 2020, doi: 10.1109/access.2020.3036037.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[86] F. Quin, D. Weyns, and O. Gheibi, "Reducing large adaptation spaces in self-adaptive systems using classical machine learning," Journal of Systems and Software, vol. 190, Art. no. 111341, 2022, doi: 10.1016/j.jss.2022.111341.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[87] M. Casimiro, D. Soares, D. Garlan, L. Rodrigues, and P. Romano, "Self-adapting machine learning-based systems via a probabilistic model checking framework," ACM Transactions on Autonomous and Adaptive Systems, vol. 19, no. 3, pp. 1–30, 2024, doi: 10.1145/3648682.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[88] A. Morales-Hernández, I. Van Nieuwenhuyse, and S. Rojas Gonzalez, "A survey on multi-objective hyperparameter optimization algorithms for machine learning," Artificial Intelligence Review, vol. 56, no. 8, pp. 8043–8093, 2022, doi: 10.1007/s10462-022-10359-2.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[89] S. M. Nabavinejad and S. Reda, "BayesTuner: Leveraging Bayesian optimization for DNN inference configuration selection," IEEE Computer Architecture Letters, vol. 20, no. 2, pp. 166–170, 2021, doi: 10.1109/lca.2021.3123695.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[90] S. Yu, T. Chen, L. Han, G. Demartini, and S. Sadiq, "DataOps-4G: On supporting generalists in data quality discovery," IEEE Transactions on Knowledge and Data Engineering, early access, 2022, doi: 10.1109/tkde.2022.3151605.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[91] M. Raatikainen, C. Souris, J. Remes, and V. Stirbu, "Machine learning lineage for trustworthy machine learning systems: Information framework for MLOps pipelines," IEEE Software, vol. 42, no. 1, pp. 51–58, 2025, doi: 10.1109/ms.2024.3414317.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[92] B. Thuraisingham, "Trustworthy machine learning," IEEE Intelligent Systems, vol. 37, no. 1, pp. 21–24, 2022, doi: 10.1109/mis.2022.3152946.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[93] D. Schoch, C. h. Chan, C. Wagner, and A. Bleier, "Computational reproducibility in computational social science," EPJ Data Science, vol. 13, no. 1, Art. no. 75, 2024, doi: 10.1140/epjds/s13688-024-00514-w.</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[94] S. Kumar and K. K. Mohbey, "A utility-based distributed pattern mining algorithm with reduced shuffle overhead," IEEE Transactions on Parallel and Distributed Systems, vol. 34, no. 1, pp. 416–428, 2023, doi: 10.1109/tpds.2022.3221210.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[95] S. Ibrahim, M. Mostafa, A. Jnadi, H. Salloum, and P. Osinenko, "Comprehensive overview of reward engineering and shaping in advancing reinforcement learning applications," IEEE Access, vol. 12, pp. 175473–175500, 2024, doi: 10.1109/access.2024.3504735.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[96] V. Zangirolami and M. Borrotti, "Dealing with uncertainty: Balancing exploration and exploitation in deep recurrent reinforcement learning," Knowledge-Based Systems, vol. 293, Art. no. 111663, 2024, doi: 10.1016/j.knosys.2024.111663.</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[97] R. Figueiredo Prudencio, M. R. O. A. Maximo, and E. L. Colombini, "A survey on offline reinforcement learning: Taxonomy, review, and open problems," IEEE Transactions on Neural Networks and Learning Systems, vol. 35, no. 8, pp. 10237–10257, 2024, doi: 10.1109/tnnls.2023.3250269.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[98] G. Goldenits, T. Neubauer, S. Raubitzek, K. Mallinger, and E. Weippl, "Tabular reinforcement learning for reward robust, explainable crop rotation policies matching deep reinforcement learning performance," Computers and Electronics in Agriculture, vol. 237, Art. no. 110571, 2025, doi: 10.1016/j.compag.2025.110571.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[99] M. Landers and A. Doryab, "Deep reinforcement learning verification: A survey," ACM Computing Surveys, vol. 55, no. 14s, pp. 1–31, 2023, doi: 10.1145/3596444.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[100] Z. Zhou, O. S. Oguz, M. Leibold, and M. Buss, "Learning a low-dimensional representation of a safe region for safe reinforcement learning on dynamical systems," IEEE Transactions on Neural Networks and Learning Systems, vol. 34, no. 5, pp. 2513–2527, 2023, doi: 10.1109/tnnls.2021.3106818.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[101] S. Milani, N. Topin, M. Veloso, and F. Fang, "Explainable reinforcement learning: A survey and comparative review," ACM Computing Surveys, vol. 56, no. 7, pp. 1–36, 2024, doi: 10.1145/3616864.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[102] Y. Bekkemoen, "Explainable reinforcement learning (XRL): A systematic literature review and taxonomy," Machine Learning, vol. 113, no. 1, pp. 355–441, 2023, doi: 10.1007/s10994-023-06479-7.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[103] R. Dazeley, P. Vamplew, and F. Cruz, "Explainable reinforcement learning for broad-XAI: A conceptual framework and survey," Neural Computing and Applications, vol. 35, no. 23, pp. 16893–16916, 2023, doi: 10.1007/s00521-023-08423-1.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[104] T. Yemisrach Wendimu, B. G. Assefa, and N. Argaw Wondimu, "Toward transparent reinforcement learning: An explainable deep Q-learning framework for sequential decision-making," IEEE Access, vol. 13, pp. 194156–194166, 2025, doi: 10.1109/access.2025.3631536.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[105] N. Gholizadeh and P. Musilek, "Explainable reinforcement learning for distribution network reconfiguration," Energy Reports, vol. 11, pp. 5703–5715, 2024, doi: 10.1016/j.egyr.2024.05.031.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[106] I. Ahmed, G. Jeon, and F. Piccialli, "From artificial intelligence to explainable artificial intelligence in Industry 4.0: A survey on what, how, and where," IEEE Transactions on Industrial Informatics, vol. 18, no. 8, pp. 5031–5042, 2022, doi: 10.1109/tii.2022.3146552.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[107] M. Usman, S. Ferlin, A. Brunstrom, and J. Taheri, "A survey on observability of distributed edge &amp; container-based microservices," IEEE Access, vol. 10, pp. 86904–86919, 2022, doi: 10.1109/access.2022.3193102.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[108] U. Faseeha, H. Jamil Syed, F. Samad, S. Zehra, and H. Ahmed, "Observability in microservices: An in-depth exploration of frameworks, challenges, and deployment paradigms," IEEE Access, vol. 13, pp. 72011–72039, 2025, doi: 10.1109/access.2025.3562125.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[109] S. Thudumu, P. Branch, J. Jin, and J. Singh, "A comprehensive survey of anomaly detection techniques for high dimensional big data," Journal of Big Data, vol. 7, no. 1, Art. no. 42, 2020, doi: 10.1186/s40537-020-00320-x.</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[110] M. Strobel and R. Shokri, "Data privacy and trustworthy machine learning," IEEE Security &amp; Privacy, vol. 20, no. 5, pp. 44–49, 2022, doi: 10.1109/msec.2022.3178187.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[111] P. C. M. Arachchige, P. Bertok, I. Khalil, D. Liu, S. Camtepe, and M. Atiquzzaman, "A trustworthy privacy preserving framework for machine learning in industrial IoT systems," IEEE Transactions on Industrial Informatics, vol. 16, no. 9, pp. 6092–6102, 2020, doi: 10.1109/tii.2020.2974555.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[112] L. Liu, J. Li, J. Lv, J. Wang, S. Zhao, and Q. Lu, "Privacy-preserving and secure industrial big data analytics: A survey and the research framework," IEEE Internet of Things Journal, vol. 11, no. 11, pp. 18976–18999, 2024, doi: 10.1109/jiot.2024.3353727.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[113] E. Hallaji, R. Razavi-Far, M. Saif, B. Wang, and Q. Yang, "Decentralized federated learning: A survey on security and privacy," IEEE Transactions on Big Data, vol. 10, no. 2, pp. 194–213, 2024, doi: 10.1109/tbdata.2024.3362191.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[114] H. Li and H. He, "Learning to operate distribution networks with safe deep reinforcement learning," IEEE Transactions on Smart Grid, vol. 13, no. 3, pp. 1860–1872, 2022, doi: 10.1109/tsg.2022.3142961.</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[115] T. Dancheva, U. Alonso, and M. Barton, "Cloud benchmarking and performance analysis of an HPC application in Amazon EC2," Cluster Computing, vol. 27, no. 2, pp. 2273–2290, 2023, doi: 10.1007/s10586-023-04060-4.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[116] S. Henning and W. Hasselbring, "Benchmarking scalability of stream processing frameworks deployed as microservices in the cloud," Journal of Systems and Software, vol. 208, Art. no. 111879, 2024, doi: 10.1016/j.jss.2023.111879.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[117] G. van Dongen and D. Van den Poel, "Evaluation of stream processing frameworks," IEEE Transactions on Parallel and Distributed Systems, vol. 31, no. 8, pp. 1845–1858, 2020, doi: 10.1109/tpds.2020.2978480.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[118] S. Ma, W. Ding, Y. Liu, S. Ren, and H. Yang, "Digital twin and big data-driven sustainable smart manufacturing based on information management systems for energy-intensive industries," Applied Energy, vol. 326, Art. no. 119986, 2022, doi: 10.1016/j.apenergy.2022.119986.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[119] M. Soori, B. Arezoo, and R. Dastres, "Digital twin for smart manufacturing, a review," Sustainable Manufacturing and Service Economics, vol. 2, Art. no. 100017, 2023, doi: 10.1016/j.smse.2023.100017.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[120] S. Attaran, M. Attaran, and B. G. Celik, "Digital twins and industrial Internet of Things: Uncovering operational intelligence in Industry 4.0," Decision Analytics Journal, vol. 10, Art. no. 100398, 2024, doi: 10.1016/j.dajour.2024.100398.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[121] L. Tamym, L. Benyoucef, A. Nait Sidi Moh, and M. D. El Ouadghiri, "Big data analytics-based life cycle sustainability assessment for sustainable manufacturing enterprises evaluation," Journal of Big Data, vol. 10, no. 1, Art. no. 170, 2023, doi: 10.1186/s40537-023-00848-8.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[122] K. Batko and A. Ślęzak, "The use of big data analytics in healthcare," Journal of Big Data, vol. 9, no. 1, Art. no. 3, 2022, doi: 10.1186/s40537-021-00553-4.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[123] K. Shahzad, S. A. Khan, M. Latif, A. M. D. Javeed, and A. Iqbal, "Big data analytics in healthcare: Current practices, innovations, and future prospects," Journal of Big Data, vol. 12, no. 1, Art. no. 242, 2025, doi: 10.1186/s40537-025-01288-2.</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[124] H. Asri and Z. Jarir, "Toward a smart health: Big data analytics and IoT for real-time miscarriage prediction," Journal of Big Data, vol. 10, no. 1, Art. no. 34, 2023, doi: 10.1186/s40537-023-00704-9.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[125] E. Ileberi, Y. Sun, and Z. Wang, "A machine learning based credit card fraud detection using the GA algorithm for feature selection," Journal of Big Data, vol. 9, no. 1, Art. no. 24, 2022, doi: 10.1186/s40537-022-00573-8.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[126] I. Emmanuel, Y. Sun, and Z. Wang, "A machine learning-based credit risk prediction engine system using a stacked classifier and a filter-based feature selection method," Journal of Big Data, vol. 11, no. 1, Art. no. 23, 2024, doi: 10.1186/s40537-024-00882-0.</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[127] N. Lee and J. Moon, "Offline reinforcement learning for automated stock trading," IEEE Access, vol. 11, pp. 112577–112589, 2023, doi: 10.1109/access.2023.3324458.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[128] S. Sevgican, M. Turan, K. Gokarslan, H. B. Yilmaz, and T. Tugcu, "Intelligent network data analytics function in 5G cellular networks using machine learning," Journal of Communications and Networks, vol. 22, no. 3, pp. 269–280, 2020, doi: 10.1109/jcn.2020.000019.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[129] B. Ma, W. Guo, and J. Zhang, "A survey of online data-driven proactive 5G network optimisation using machine learning," IEEE Access, vol. 8, pp. 35606–35637, 2020, doi: 10.1109/access.2020.2975004.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[130] M. A. Garcia-Martin, M. Gramaglia, and P. Serrano, "Network automation and data analytics in 3GPP 5G systems," IEEE Network, vol. 38, no. 4, pp. 182–189, 2024, doi: 10.1109/mnet.2023.3321524.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[131] A. Balachandran and M. Masum, "A multimodal framework for enhancing e-commerce information management using vision transformers and large language models," International Journal of Information Management Data Insights, vol. 5, no. 2, Art. no. 100355, 2025, doi: 10.1016/j.jjimei.2025.100355.</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[132] M. A. Khan, M. S. Siddiqui, M. K. I. Rahmani, and S. Husain, "Investigation of big data analytics for sustainable smart city development: An emerging country," IEEE Access, vol. 10, pp. 16028–16036, 2022, doi: 10.1109/access.2021.3115987.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[133] H. Kahil, S. Sharma, P. Välisuo, and M. Elmusrati, "Reinforcement learning for data center energy efficiency optimization: A systematic literature review and research roadmap," Applied Energy, vol. 389, Art. no. 125734, 2025, doi: 10.1016/j.apenergy.2025.125734.</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[134] S. Gronauer and K. Diepold, "Multi-agent deep reinforcement learning: A survey," Artificial Intelligence Review, vol. 55, no. 2, pp. 895–943, 2021, doi: 10.1007/s10462-021-09996-w.</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[135] C. Zhu, M. Dastani, and S. Wang, "A survey of multi-agent deep reinforcement learning with communication," Autonomous Agents and Multi-Agent Systems, vol. 38, no. 1, Art. no. 4, 2024, doi: 10.1007/s10458-023-09633-6.</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[136] J. Chai, Z. Zhao, Y. Zhu, and D. Zhao, "A survey of cooperative multi-agent reinforcement learning for multi-task scenarios," Artificial Intelligence Science and Engineering, vol. 1, no. 2, pp. 98–121, 2025, doi: 10.23919/aise.2025.000008.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[137] A. Imteaj, U. Thakker, S. Wang, J. Li, and M. H. Amini, "A survey on federated learning for resource-constrained IoT devices," IEEE Internet of Things Journal, vol. 9, no. 1, pp. 1–24, 2022, doi: 10.1109/jiot.2021.3095077.</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[138] M. S. Yaraziz and R. Hill, "Federated Q-learning-based optimization for resource allocation in industrial IoT networks," IEEE Access, vol. 13, pp. 188880–188891, 2025, doi: 10.1109/access.2025.3624919.</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[139] Y. Li et al., "AgentTune: An agent-based large language model framework for database knob tuning," Proceedings of the ACM on Management of Data, vol. 3, no. 6, pp. 1–29, 2025, doi: 10.1145/3769758.</w:t>
      </w:r>
    </w:p>
    <w:p w:rsidR="00A7482C" w:rsidRDefault="00A7482C" w:rsidP="00A7482C">
      <w:pPr>
        <w:pBdr>
          <w:top w:val="nil"/>
          <w:left w:val="nil"/>
          <w:bottom w:val="nil"/>
          <w:right w:val="nil"/>
          <w:between w:val="nil"/>
        </w:pBdr>
        <w:ind w:left="360" w:hanging="360"/>
        <w:jc w:val="both"/>
        <w:rPr>
          <w:sz w:val="20"/>
          <w:szCs w:val="20"/>
        </w:rPr>
      </w:pPr>
      <w:r>
        <w:rPr>
          <w:sz w:val="16"/>
          <w:szCs w:val="16"/>
        </w:rPr>
        <w:t xml:space="preserve">[140] X. Zhou, Z. Sun, and G. Li, "DB-GPT: Large language model meets database," Data Science and Engineering, vol. 9, no. 1, pp. 102–111, 2024, doi: 10.1007/s41019-023-00235-6.</w:t>
      </w:r>
    </w:p>
    <w:p w:rsidR="00A7482C" w:rsidRDefault="00A7482C" w:rsidP="00A7482C">
      <w:pPr>
        <w:pBdr>
          <w:top w:val="nil"/>
          <w:left w:val="nil"/>
          <w:bottom w:val="nil"/>
          <w:right w:val="nil"/>
          <w:between w:val="nil"/>
        </w:pBdr>
        <w:rPr>
          <w:rFonts w:ascii="Helvetica Neue" w:eastAsia="Helvetica Neue" w:hAnsi="Helvetica Neue" w:cs="Helvetica Neue"/>
          <w:b/>
          <w:bCs/>
          <w:color w:val="00629B"/>
          <w:sz w:val="18"/>
          <w:szCs w:val="18"/>
        </w:rPr>
      </w:pPr>
      <w:bookmarkStart w:id="173" w:name="_AdaSec25"/>
      <w:r>
        <w:rPr>
          <w:rFonts w:ascii="Helvetica Neue" w:eastAsia="Helvetica Neue" w:hAnsi="Helvetica Neue" w:cs="Helvetica Neue"/>
          <w:b/>
          <w:bCs/>
          <w:color w:val="00629B"/>
          <w:sz w:val="18"/>
          <w:szCs w:val="18"/>
        </w:rPr>
        <w:t xml:space="preserve">APPENDIX</w:t>
      </w:r>
      <w:bookmarkEnd w:id="173"/>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A. RL ALGORITHM (TABULAR Q-LEARNING, BANDIT MODE)</w:t>
      </w:r>
    </w:p>
    <w:p w:rsidR="00A7482C" w:rsidRDefault="00A7482C" w:rsidP="00A7482C">
      <w:pPr>
        <w:pBdr>
          <w:top w:val="nil"/>
          <w:left w:val="nil"/>
          <w:bottom w:val="nil"/>
          <w:right w:val="nil"/>
          <w:between w:val="nil"/>
        </w:pBdr>
        <w:jc w:val="both"/>
        <w:rPr>
          <w:sz w:val="20"/>
          <w:szCs w:val="20"/>
        </w:rPr>
      </w:pPr>
      <w:r>
        <w:rPr>
          <w:sz w:val="20"/>
          <w:szCs w:val="20"/>
        </w:rPr>
        <w:t xml:space="preserve">Q(s,a) ← Q(s,a) + 0.2·[r − Q(s,a)]; ε-greedy with ε 1.0 → 0.05 (×0.95/episode); optimistic Q0 = 0.5 for evidence-free pairs; Q0-median init from EXP-002 TRAIN records; checkpoints every 25 episodes; early stop after 2 stable epochs.</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B. REWARD-FUNCTION CONFIGURATIONS</w:t>
      </w:r>
    </w:p>
    <w:p w:rsidR="00A7482C" w:rsidRDefault="00A7482C" w:rsidP="00A7482C">
      <w:pPr>
        <w:pBdr>
          <w:top w:val="nil"/>
          <w:left w:val="nil"/>
          <w:bottom w:val="nil"/>
          <w:right w:val="nil"/>
          <w:between w:val="nil"/>
        </w:pBdr>
        <w:jc w:val="both"/>
        <w:rPr>
          <w:sz w:val="20"/>
          <w:szCs w:val="20"/>
        </w:rPr>
      </w:pPr>
      <w:r>
        <w:rPr>
          <w:sz w:val="20"/>
          <w:szCs w:val="20"/>
        </w:rPr>
        <w:t xml:space="preserve">R3: the reward (1) with weights (1.0, 0.2, 0.2, 1.0), references CV 0.5 / spill 0.10, clip [−1, +1], failure −1 exactly (</w:t>
      </w:r>
      <w:r>
        <w:rPr>
          <w:rFonts w:ascii="Consolas" w:hAnsi="Consolas" w:cs="Consolas" w:eastAsia="Consolas"/>
          <w:sz w:val="20"/>
          <w:szCs w:val="20"/>
        </w:rPr>
        <w:t xml:space="preserve">configs/reward.yaml</w:t>
      </w:r>
      <w:r>
        <w:rPr>
          <w:sz w:val="20"/>
          <w:szCs w:val="20"/>
        </w:rPr>
        <w:t xml:space="preserve">). A3-time-only: time term alone. A3-R4-log-ratio: registered, not implementable (incomplete specification).</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C. SPARK TUNING PARAMETERS (ACTION GRID)</w:t>
      </w:r>
    </w:p>
    <w:p w:rsidR="00A7482C" w:rsidRDefault="00A7482C" w:rsidP="00A7482C">
      <w:pPr>
        <w:pBdr>
          <w:top w:val="nil"/>
          <w:left w:val="nil"/>
          <w:bottom w:val="nil"/>
          <w:right w:val="nil"/>
          <w:between w:val="nil"/>
        </w:pBdr>
        <w:jc w:val="both"/>
        <w:rPr>
          <w:sz w:val="20"/>
          <w:szCs w:val="20"/>
        </w:rPr>
      </w:pPr>
      <w:r>
        <w:rPr>
          <w:rFonts w:ascii="Consolas" w:hAnsi="Consolas" w:cs="Consolas" w:eastAsia="Consolas"/>
          <w:sz w:val="20"/>
          <w:szCs w:val="20"/>
        </w:rPr>
        <w:t xml:space="preserve">shuffle.partitions ∈ {16, 32, 64, 128}</w:t>
      </w:r>
      <w:r>
        <w:rPr>
          <w:sz w:val="20"/>
          <w:szCs w:val="20"/>
        </w:rPr>
        <w:t xml:space="preserve"> × </w:t>
      </w:r>
      <w:r>
        <w:rPr>
          <w:rFonts w:ascii="Consolas" w:hAnsi="Consolas" w:cs="Consolas" w:eastAsia="Consolas"/>
          <w:sz w:val="20"/>
          <w:szCs w:val="20"/>
        </w:rPr>
        <w:t xml:space="preserve">local[N], default.parallelism ∈ {2, 4, 8}</w:t>
      </w:r>
      <w:r>
        <w:rPr>
          <w:sz w:val="20"/>
          <w:szCs w:val="20"/>
        </w:rPr>
        <w:t xml:space="preserve"> → 12 actions; mode-4 subset {0,3,6,9}; parallelism changes restart the session; AQE-off main study.</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D. BENCHMARK WORKLOADS</w:t>
      </w:r>
    </w:p>
    <w:p w:rsidR="00A7482C" w:rsidRDefault="00A7482C" w:rsidP="00A7482C">
      <w:pPr>
        <w:pBdr>
          <w:top w:val="nil"/>
          <w:left w:val="nil"/>
          <w:bottom w:val="nil"/>
          <w:right w:val="nil"/>
          <w:between w:val="nil"/>
        </w:pBdr>
        <w:jc w:val="both"/>
        <w:rPr>
          <w:sz w:val="20"/>
          <w:szCs w:val="20"/>
        </w:rPr>
      </w:pPr>
      <w:r>
        <w:rPr>
          <w:sz w:val="20"/>
          <w:szCs w:val="20"/>
        </w:rPr>
        <w:t xml:space="preserve">F1_agg (aggregation), F2_join (join), F3_rdd (sort/filter), F4_ski (skew join), F5_mixed (pipeline, twice-consumed cached intermediate) × small/medium/large scales (all below 512 MiB, i.e. state size bin S), dataset seed 0, checksummed manifests.</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E. EXPERIMENTAL SCRIPTS AND SUPPLEMENTARY RESULTS</w:t>
      </w:r>
    </w:p>
    <w:p w:rsidR="00A7482C" w:rsidRDefault="00A7482C" w:rsidP="00A7482C">
      <w:pPr>
        <w:pBdr>
          <w:top w:val="nil"/>
          <w:left w:val="nil"/>
          <w:bottom w:val="nil"/>
          <w:right w:val="nil"/>
          <w:between w:val="nil"/>
        </w:pBdr>
        <w:jc w:val="both"/>
        <w:rPr>
          <w:sz w:val="20"/>
          <w:szCs w:val="20"/>
        </w:rPr>
      </w:pPr>
      <w:r>
        <w:rPr>
          <w:sz w:val="20"/>
          <w:szCs w:val="20"/>
        </w:rPr>
        <w:t xml:space="preserve">Runners/analyzers: </w:t>
      </w:r>
      <w:r>
        <w:rPr>
          <w:rFonts w:ascii="Consolas" w:hAnsi="Consolas" w:cs="Consolas" w:eastAsia="Consolas"/>
          <w:sz w:val="20"/>
          <w:szCs w:val="20"/>
        </w:rPr>
        <w:t xml:space="preserve">scripts/run_exp00{1,2,5,6,9}.py</w:t>
      </w:r>
      <w:r>
        <w:rPr>
          <w:sz w:val="20"/>
          <w:szCs w:val="20"/>
        </w:rPr>
        <w:t xml:space="preserve">, </w:t>
      </w:r>
      <w:r>
        <w:rPr>
          <w:rFonts w:ascii="Consolas" w:hAnsi="Consolas" w:cs="Consolas" w:eastAsia="Consolas"/>
          <w:sz w:val="20"/>
          <w:szCs w:val="20"/>
        </w:rPr>
        <w:t xml:space="preserve">run_exp009_ext.py</w:t>
      </w:r>
      <w:r>
        <w:rPr>
          <w:sz w:val="20"/>
          <w:szCs w:val="20"/>
        </w:rPr>
        <w:t xml:space="preserve">, </w:t>
      </w:r>
      <w:r>
        <w:rPr>
          <w:rFonts w:ascii="Consolas" w:hAnsi="Consolas" w:cs="Consolas" w:eastAsia="Consolas"/>
          <w:sz w:val="20"/>
          <w:szCs w:val="20"/>
        </w:rPr>
        <w:t xml:space="preserve">run_training.py</w:t>
      </w:r>
      <w:r>
        <w:rPr>
          <w:sz w:val="20"/>
          <w:szCs w:val="20"/>
        </w:rPr>
        <w:t xml:space="preserve">, </w:t>
      </w:r>
      <w:r>
        <w:rPr>
          <w:rFonts w:ascii="Consolas" w:hAnsi="Consolas" w:cs="Consolas" w:eastAsia="Consolas"/>
          <w:sz w:val="20"/>
          <w:szCs w:val="20"/>
        </w:rPr>
        <w:t xml:space="preserve">analyze_exp00{2,6,7,9}.py</w:t>
      </w:r>
      <w:r>
        <w:rPr>
          <w:sz w:val="20"/>
          <w:szCs w:val="20"/>
        </w:rPr>
        <w:t xml:space="preserve">, </w:t>
      </w:r>
      <w:r>
        <w:rPr>
          <w:rFonts w:ascii="Consolas" w:hAnsi="Consolas" w:cs="Consolas" w:eastAsia="Consolas"/>
          <w:sz w:val="20"/>
          <w:szCs w:val="20"/>
        </w:rPr>
        <w:t xml:space="preserve">analyze_exp009_ext.py</w:t>
      </w:r>
      <w:r>
        <w:rPr>
          <w:sz w:val="20"/>
          <w:szCs w:val="20"/>
        </w:rPr>
        <w:t xml:space="preserve">, </w:t>
      </w:r>
      <w:r>
        <w:rPr>
          <w:rFonts w:ascii="Consolas" w:hAnsi="Consolas" w:cs="Consolas" w:eastAsia="Consolas"/>
          <w:sz w:val="20"/>
          <w:szCs w:val="20"/>
        </w:rPr>
        <w:t xml:space="preserve">analyze_exp009_robustness.py</w:t>
      </w:r>
      <w:r>
        <w:rPr>
          <w:sz w:val="20"/>
          <w:szCs w:val="20"/>
        </w:rPr>
        <w:t xml:space="preserve">; confirmatory studies: </w:t>
      </w:r>
      <w:r>
        <w:rPr>
          <w:rFonts w:ascii="Consolas" w:hAnsi="Consolas" w:cs="Consolas" w:eastAsia="Consolas"/>
          <w:sz w:val="20"/>
          <w:szCs w:val="20"/>
        </w:rPr>
        <w:t xml:space="preserve">run_exp013.py</w:t>
      </w:r>
      <w:r>
        <w:rPr>
          <w:sz w:val="20"/>
          <w:szCs w:val="20"/>
        </w:rPr>
        <w:t xml:space="preserve"> / </w:t>
      </w:r>
      <w:r>
        <w:rPr>
          <w:rFonts w:ascii="Consolas" w:hAnsi="Consolas" w:cs="Consolas" w:eastAsia="Consolas"/>
          <w:sz w:val="20"/>
          <w:szCs w:val="20"/>
        </w:rPr>
        <w:t xml:space="preserve">analyze_exp013.py</w:t>
      </w:r>
      <w:r>
        <w:rPr>
          <w:sz w:val="20"/>
          <w:szCs w:val="20"/>
        </w:rPr>
        <w:t xml:space="preserve"> and </w:t>
      </w:r>
      <w:r>
        <w:rPr>
          <w:rFonts w:ascii="Consolas" w:hAnsi="Consolas" w:cs="Consolas" w:eastAsia="Consolas"/>
          <w:sz w:val="20"/>
          <w:szCs w:val="20"/>
        </w:rPr>
        <w:t xml:space="preserve">run_exp014.py</w:t>
      </w:r>
      <w:r>
        <w:rPr>
          <w:sz w:val="20"/>
          <w:szCs w:val="20"/>
        </w:rPr>
        <w:t xml:space="preserve"> / </w:t>
      </w:r>
      <w:r>
        <w:rPr>
          <w:rFonts w:ascii="Consolas" w:hAnsi="Consolas" w:cs="Consolas" w:eastAsia="Consolas"/>
          <w:sz w:val="20"/>
          <w:szCs w:val="20"/>
        </w:rPr>
        <w:t xml:space="preserve">analyze_exp014.py</w:t>
      </w:r>
      <w:r>
        <w:rPr>
          <w:sz w:val="20"/>
          <w:szCs w:val="20"/>
        </w:rPr>
        <w:t xml:space="preserve"> with the exact-test module </w:t>
      </w:r>
      <w:r>
        <w:rPr>
          <w:rFonts w:ascii="Consolas" w:hAnsi="Consolas" w:cs="Consolas" w:eastAsia="Consolas"/>
          <w:sz w:val="20"/>
          <w:szCs w:val="20"/>
        </w:rPr>
        <w:t xml:space="preserve">src/sparkrl/analysis/inference.py</w:t>
      </w:r>
      <w:r>
        <w:rPr>
          <w:sz w:val="20"/>
          <w:szCs w:val="20"/>
        </w:rPr>
        <w:t xml:space="preserve"> (frozen by sha256 in each study's spec before its first run), plus the labelled exploratory carry-over check </w:t>
      </w:r>
      <w:r>
        <w:rPr>
          <w:rFonts w:ascii="Consolas" w:hAnsi="Consolas" w:cs="Consolas" w:eastAsia="Consolas"/>
          <w:sz w:val="20"/>
          <w:szCs w:val="20"/>
        </w:rPr>
        <w:t xml:space="preserve">explore_exp013_carryover.py</w:t>
      </w:r>
      <w:r>
        <w:rPr>
          <w:sz w:val="20"/>
          <w:szCs w:val="20"/>
        </w:rPr>
        <w:t xml:space="preserve">; verifiers: </w:t>
      </w:r>
      <w:r>
        <w:rPr>
          <w:rFonts w:ascii="Consolas" w:hAnsi="Consolas" w:cs="Consolas" w:eastAsia="Consolas"/>
          <w:sz w:val="20"/>
          <w:szCs w:val="20"/>
        </w:rPr>
        <w:t xml:space="preserve">verify_paper_claims.py</w:t>
      </w:r>
      <w:r>
        <w:rPr>
          <w:sz w:val="20"/>
          <w:szCs w:val="20"/>
        </w:rPr>
        <w:t xml:space="preserve">, </w:t>
      </w:r>
      <w:r>
        <w:rPr>
          <w:rFonts w:ascii="Consolas" w:hAnsi="Consolas" w:cs="Consolas" w:eastAsia="Consolas"/>
          <w:sz w:val="20"/>
          <w:szCs w:val="20"/>
        </w:rPr>
        <w:t xml:space="preserve">verify_reproducibility.py</w:t>
      </w:r>
      <w:r>
        <w:rPr>
          <w:sz w:val="20"/>
          <w:szCs w:val="20"/>
        </w:rPr>
        <w:t xml:space="preserve">, </w:t>
      </w:r>
      <w:r>
        <w:rPr>
          <w:rFonts w:ascii="Consolas" w:hAnsi="Consolas" w:cs="Consolas" w:eastAsia="Consolas"/>
          <w:sz w:val="20"/>
          <w:szCs w:val="20"/>
        </w:rPr>
        <w:t xml:space="preserve">validate_day31.py</w:t>
      </w:r>
      <w:r>
        <w:rPr>
          <w:sz w:val="20"/>
          <w:szCs w:val="20"/>
        </w:rPr>
        <w:t xml:space="preserve">; paper build: </w:t>
      </w:r>
      <w:r>
        <w:rPr>
          <w:rFonts w:ascii="Consolas" w:hAnsi="Consolas" w:cs="Consolas" w:eastAsia="Consolas"/>
          <w:sz w:val="20"/>
          <w:szCs w:val="20"/>
        </w:rPr>
        <w:t xml:space="preserve">docs/paper/icpe2027/build.py</w:t>
      </w:r>
      <w:r>
        <w:rPr>
          <w:sz w:val="20"/>
          <w:szCs w:val="20"/>
        </w:rPr>
        <w:t xml:space="preserve">. Supplementary: </w:t>
      </w:r>
      <w:r>
        <w:rPr>
          <w:rFonts w:ascii="Consolas" w:hAnsi="Consolas" w:cs="Consolas" w:eastAsia="Consolas"/>
          <w:sz w:val="20"/>
          <w:szCs w:val="20"/>
        </w:rPr>
        <w:t xml:space="preserve">results/evaluation/exp009_robustness.json</w:t>
      </w:r>
      <w:r>
        <w:rPr>
          <w:sz w:val="20"/>
          <w:szCs w:val="20"/>
        </w:rPr>
        <w:t xml:space="preserve"> (R1–R8), </w:t>
      </w:r>
      <w:r>
        <w:rPr>
          <w:rFonts w:ascii="Consolas" w:hAnsi="Consolas" w:cs="Consolas" w:eastAsia="Consolas"/>
          <w:sz w:val="20"/>
          <w:szCs w:val="20"/>
        </w:rPr>
        <w:t xml:space="preserve">exp009_ext_analysis.json</w:t>
      </w:r>
      <w:r>
        <w:rPr>
          <w:sz w:val="20"/>
          <w:szCs w:val="20"/>
        </w:rPr>
        <w:t xml:space="preserve"> (55 traced figures), training analyses (Day-28/29). Figure provenance: all 32 figures are original matplotlib drawings at 600 DPI (conceptual ones by </w:t>
      </w:r>
      <w:r>
        <w:rPr>
          <w:rFonts w:ascii="Consolas" w:hAnsi="Consolas" w:cs="Consolas" w:eastAsia="Consolas"/>
          <w:sz w:val="20"/>
          <w:szCs w:val="20"/>
        </w:rPr>
        <w:t xml:space="preserve">make_diagrams.py</w:t>
      </w:r>
      <w:r>
        <w:rPr>
          <w:sz w:val="20"/>
          <w:szCs w:val="20"/>
        </w:rPr>
        <w:t xml:space="preserve">, Figs. 21–24 by </w:t>
      </w:r>
      <w:r>
        <w:rPr>
          <w:rFonts w:ascii="Consolas" w:hAnsi="Consolas" w:cs="Consolas" w:eastAsia="Consolas"/>
          <w:sz w:val="20"/>
          <w:szCs w:val="20"/>
        </w:rPr>
        <w:t xml:space="preserve">make_result_figures.py</w:t>
      </w:r>
      <w:r>
        <w:rPr>
          <w:sz w:val="20"/>
          <w:szCs w:val="20"/>
        </w:rPr>
        <w:t xml:space="preserve"> from the committed result files); none is reproduced or adapted from another source.</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F. DECISION LOG INDEX (METHODOLOGICAL DECISIONS CITED)</w:t>
      </w:r>
    </w:p>
    <w:p w:rsidR="00A7482C" w:rsidRDefault="00A7482C" w:rsidP="00A7482C">
      <w:pPr>
        <w:pBdr>
          <w:top w:val="nil"/>
          <w:left w:val="nil"/>
          <w:bottom w:val="nil"/>
          <w:right w:val="nil"/>
          <w:between w:val="nil"/>
        </w:pBdr>
        <w:jc w:val="both"/>
        <w:rPr>
          <w:sz w:val="20"/>
          <w:szCs w:val="20"/>
        </w:rPr>
      </w:pPr>
      <w:r>
        <w:rPr>
          <w:sz w:val="20"/>
          <w:szCs w:val="20"/>
        </w:rPr>
        <w:t xml:space="preserve">DEC-007 backend freeze; DEC-010 failure semantics; DEC-011 mode gate (multi-step NO); DEC-012/013 EXP-003 reconciliation and validation gate; DEC-015 three replicate arms; DEC-016 baseline specifications; DEC-018 test-seal conversion; DEC-030 EXP-008 methodology; DEC-037 record integrity; DEC-040/042/043 EXP-009 authorization, adjudication, and extension; DEC-044 paired-statistic reporting; DEC-045 deposit plan; DEC-046 paper hardening; DEC-047/048 Track-E (B0′ arm X6; validation confirmations X1–X3); DEC-049/050 (SC7 pilot X10; Taxi pilot X9); DEC-051 demo rehearsal; DEC-052 X-family provenance close-out (operator draft); DEC-053 EXP-013 confirmatory re-evaluation (pre-registered, signed 2026-10-02); DEC-054 EXP-014 overhead confirmation (pre-registered, signed 2026-10-02); DEC-055 DEC-053 Amendment 1 (halt waived for </w:t>
      </w:r>
      <w:r>
        <w:rPr>
          <w:rFonts w:ascii="Consolas" w:hAnsi="Consolas" w:cs="Consolas" w:eastAsia="Consolas"/>
          <w:sz w:val="20"/>
          <w:szCs w:val="20"/>
        </w:rPr>
        <w:t xml:space="preserve">F3_rdd|medium|s4</w:t>
      </w:r>
      <w:r>
        <w:rPr>
          <w:sz w:val="20"/>
          <w:szCs w:val="20"/>
        </w:rPr>
        <w:t xml:space="preserve"> only). Full texts in </w:t>
      </w:r>
      <w:r>
        <w:rPr>
          <w:rFonts w:ascii="Consolas" w:hAnsi="Consolas" w:cs="Consolas" w:eastAsia="Consolas"/>
          <w:sz w:val="20"/>
          <w:szCs w:val="20"/>
        </w:rPr>
        <w:t xml:space="preserve">DECISIONS.md</w:t>
      </w:r>
      <w:r>
        <w:rPr>
          <w:sz w:val="20"/>
          <w:szCs w:val="20"/>
        </w:rPr>
        <w:t xml:space="preserve"> (DEC-030 in its own record under </w:t>
      </w:r>
      <w:r>
        <w:rPr>
          <w:rFonts w:ascii="Consolas" w:hAnsi="Consolas" w:cs="Consolas" w:eastAsia="Consolas"/>
          <w:sz w:val="20"/>
          <w:szCs w:val="20"/>
        </w:rPr>
        <w:t xml:space="preserve">docs/research/</w:t>
      </w:r>
      <w:r>
        <w:rPr>
          <w:sz w:val="20"/>
          <w:szCs w:val="20"/>
        </w:rPr>
        <w:t xml:space="preserve">).</w:t>
      </w:r>
    </w:p>
    <w:p w:rsidR="00A7482C" w:rsidRDefault="00A7482C" w:rsidP="00A7482C">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G. DATA AND ARTIFACT AVAILABILITY</w:t>
      </w:r>
    </w:p>
    <w:p w:rsidR="00A7482C" w:rsidRDefault="00A7482C" w:rsidP="00A7482C">
      <w:pPr>
        <w:pBdr>
          <w:top w:val="nil"/>
          <w:left w:val="nil"/>
          <w:bottom w:val="nil"/>
          <w:right w:val="nil"/>
          <w:between w:val="nil"/>
        </w:pBdr>
        <w:jc w:val="both"/>
        <w:rPr>
          <w:sz w:val="20"/>
          <w:szCs w:val="20"/>
        </w:rPr>
      </w:pPr>
      <w:r>
        <w:rPr>
          <w:sz w:val="20"/>
          <w:szCs w:val="20"/>
        </w:rPr>
        <w:t xml:space="preserve">Committed and tracked in the repository: source (</w:t>
      </w:r>
      <w:r>
        <w:rPr>
          <w:rFonts w:ascii="Consolas" w:hAnsi="Consolas" w:cs="Consolas" w:eastAsia="Consolas"/>
          <w:sz w:val="20"/>
          <w:szCs w:val="20"/>
        </w:rPr>
        <w:t xml:space="preserve">src/</w:t>
      </w:r>
      <w:r>
        <w:rPr>
          <w:sz w:val="20"/>
          <w:szCs w:val="20"/>
        </w:rPr>
        <w:t xml:space="preserve">), scripts, the frozen decision log (</w:t>
      </w:r>
      <w:r>
        <w:rPr>
          <w:rFonts w:ascii="Consolas" w:hAnsi="Consolas" w:cs="Consolas" w:eastAsia="Consolas"/>
          <w:sz w:val="20"/>
          <w:szCs w:val="20"/>
        </w:rPr>
        <w:t xml:space="preserve">DECISIONS.md</w:t>
      </w:r>
      <w:r>
        <w:rPr>
          <w:sz w:val="20"/>
          <w:szCs w:val="20"/>
        </w:rPr>
        <w:t xml:space="preserve">), the test suite and the reproducibility harness (16/16 checks pass from committed artifacts alone), </w:t>
      </w:r>
      <w:r>
        <w:rPr>
          <w:rFonts w:ascii="Consolas" w:hAnsi="Consolas" w:cs="Consolas" w:eastAsia="Consolas"/>
          <w:sz w:val="20"/>
          <w:szCs w:val="20"/>
        </w:rPr>
        <w:t xml:space="preserve">results/evaluation/*.json</w:t>
      </w:r>
      <w:r>
        <w:rPr>
          <w:sz w:val="20"/>
          <w:szCs w:val="20"/>
        </w:rPr>
        <w:t xml:space="preserve"> (including the five X-family / Track-R analysis JSONs; </w:t>
      </w:r>
      <w:r>
        <w:rPr>
          <w:rFonts w:ascii="Consolas" w:hAnsi="Consolas" w:cs="Consolas" w:eastAsia="Consolas"/>
          <w:sz w:val="20"/>
          <w:szCs w:val="20"/>
        </w:rPr>
        <w:t xml:space="preserve">exp014_analysis.json</w:t>
      </w:r>
      <w:r>
        <w:rPr>
          <w:sz w:val="20"/>
          <w:szCs w:val="20"/>
        </w:rPr>
        <w:t xml:space="preserve"> pending its close-out commit), the EXP-002/005/009 raw base records (the 4.8 MB extension records included), figures, and this manuscript. Held in the working tree and </w:t>
      </w:r>
      <w:r>
        <w:rPr>
          <w:b/>
          <w:sz w:val="20"/>
          <w:szCs w:val="20"/>
        </w:rPr>
        <w:t xml:space="preserve">deposit-pending under DEC-045 D1–D11</w:t>
      </w:r>
      <w:r>
        <w:rPr>
          <w:sz w:val="20"/>
          <w:szCs w:val="20"/>
        </w:rPr>
        <w:t xml:space="preserve">: the raw X-family, EXP-013 and EXP-014 observations (</w:t>
      </w:r>
      <w:r>
        <w:rPr>
          <w:rFonts w:ascii="Consolas" w:hAnsi="Consolas" w:cs="Consolas" w:eastAsia="Consolas"/>
          <w:sz w:val="20"/>
          <w:szCs w:val="20"/>
        </w:rPr>
        <w:t xml:space="preserve">results/experiments/x*</w:t>
      </w:r>
      <w:r>
        <w:rPr>
          <w:sz w:val="20"/>
          <w:szCs w:val="20"/>
        </w:rPr>
        <w:t xml:space="preserve">, </w:t>
      </w:r>
      <w:r>
        <w:rPr>
          <w:rFonts w:ascii="Consolas" w:hAnsi="Consolas" w:cs="Consolas" w:eastAsia="Consolas"/>
          <w:sz w:val="20"/>
          <w:szCs w:val="20"/>
        </w:rPr>
        <w:t xml:space="preserve">exp-013/</w:t>
      </w:r>
      <w:r>
        <w:rPr>
          <w:sz w:val="20"/>
          <w:szCs w:val="20"/>
        </w:rPr>
        <w:t xml:space="preserve">, </w:t>
      </w:r>
      <w:r>
        <w:rPr>
          <w:rFonts w:ascii="Consolas" w:hAnsi="Consolas" w:cs="Consolas" w:eastAsia="Consolas"/>
          <w:sz w:val="20"/>
          <w:szCs w:val="20"/>
        </w:rPr>
        <w:t xml:space="preserve">exp-014/</w:t>
      </w:r>
      <w:r>
        <w:rPr>
          <w:sz w:val="20"/>
          <w:szCs w:val="20"/>
        </w:rPr>
        <w:t xml:space="preserve">, excluded by the </w:t>
      </w:r>
      <w:r>
        <w:rPr>
          <w:rFonts w:ascii="Consolas" w:hAnsi="Consolas" w:cs="Consolas" w:eastAsia="Consolas"/>
          <w:sz w:val="20"/>
          <w:szCs w:val="20"/>
        </w:rPr>
        <w:t xml:space="preserve">results/**</w:t>
      </w:r>
      <w:r>
        <w:rPr>
          <w:sz w:val="20"/>
          <w:szCs w:val="20"/>
        </w:rPr>
        <w:t xml:space="preserve"> ignore rule) — held, not yet archived. No URL and no DOI is invented. Full provenance notes: </w:t>
      </w:r>
      <w:r>
        <w:rPr>
          <w:rFonts w:ascii="Consolas" w:hAnsi="Consolas" w:cs="Consolas" w:eastAsia="Consolas"/>
          <w:sz w:val="20"/>
          <w:szCs w:val="20"/>
        </w:rPr>
        <w:t xml:space="preserve">docs/research/CLAIM_EXPERIMENT_MAP.md</w:t>
      </w:r>
      <w:r>
        <w:rPr>
          <w:sz w:val="20"/>
          <w:szCs w:val="20"/>
        </w:rPr>
        <w:t xml:space="preserve"> §Provenance notes (DEC-052 D2). Submission folders: </w:t>
      </w:r>
      <w:r>
        <w:rPr>
          <w:rFonts w:ascii="Consolas" w:hAnsi="Consolas" w:cs="Consolas" w:eastAsia="Consolas"/>
          <w:sz w:val="20"/>
          <w:szCs w:val="20"/>
        </w:rPr>
        <w:t xml:space="preserve">diagrams/</w:t>
      </w:r>
      <w:r>
        <w:rPr>
          <w:sz w:val="20"/>
          <w:szCs w:val="20"/>
        </w:rPr>
        <w:t xml:space="preserve"> (32 figures), </w:t>
      </w:r>
      <w:r>
        <w:rPr>
          <w:rFonts w:ascii="Consolas" w:hAnsi="Consolas" w:cs="Consolas" w:eastAsia="Consolas"/>
          <w:sz w:val="20"/>
          <w:szCs w:val="20"/>
        </w:rPr>
        <w:t xml:space="preserve">datasets/</w:t>
      </w:r>
      <w:r>
        <w:rPr>
          <w:sz w:val="20"/>
          <w:szCs w:val="20"/>
        </w:rPr>
        <w:t xml:space="preserve"> (60 manifests, index and SHA-256 sums regenerating ≈5.1 GB of seeded data), source code (</w:t>
      </w:r>
      <w:r>
        <w:rPr>
          <w:rFonts w:ascii="Consolas" w:hAnsi="Consolas" w:cs="Consolas" w:eastAsia="Consolas"/>
          <w:sz w:val="20"/>
          <w:szCs w:val="20"/>
        </w:rPr>
        <w:t xml:space="preserve">src/</w:t>
      </w:r>
      <w:r>
        <w:rPr>
          <w:sz w:val="20"/>
          <w:szCs w:val="20"/>
        </w:rPr>
        <w:t xml:space="preserve">, </w:t>
      </w:r>
      <w:r>
        <w:rPr>
          <w:rFonts w:ascii="Consolas" w:hAnsi="Consolas" w:cs="Consolas" w:eastAsia="Consolas"/>
          <w:sz w:val="20"/>
          <w:szCs w:val="20"/>
        </w:rPr>
        <w:t xml:space="preserve">scripts/</w:t>
      </w:r>
      <w:r>
        <w:rPr>
          <w:sz w:val="20"/>
          <w:szCs w:val="20"/>
        </w:rPr>
        <w:t xml:space="preserve">, </w:t>
      </w:r>
      <w:r>
        <w:rPr>
          <w:rFonts w:ascii="Consolas" w:hAnsi="Consolas" w:cs="Consolas" w:eastAsia="Consolas"/>
          <w:sz w:val="20"/>
          <w:szCs w:val="20"/>
        </w:rPr>
        <w:t xml:space="preserve">configs/</w:t>
      </w:r>
      <w:r>
        <w:rPr>
          <w:sz w:val="20"/>
          <w:szCs w:val="20"/>
        </w:rPr>
        <w:t xml:space="preserve">, </w:t>
      </w:r>
      <w:r>
        <w:rPr>
          <w:rFonts w:ascii="Consolas" w:hAnsi="Consolas" w:cs="Consolas" w:eastAsia="Consolas"/>
          <w:sz w:val="20"/>
          <w:szCs w:val="20"/>
        </w:rPr>
        <w:t xml:space="preserve">tests/</w:t>
      </w:r>
      <w:r>
        <w:rPr>
          <w:sz w:val="20"/>
          <w:szCs w:val="20"/>
        </w:rPr>
        <w:t xml:space="preserve">; repository link: </w:t>
      </w:r>
      <w:r>
        <w:rPr>
          <w:sz w:val="20"/>
          <w:szCs w:val="20"/>
          <w:highlight w:val="yellow"/>
        </w:rPr>
        <w:t xml:space="preserve">[GitHub URL — to be inserted]</w:t>
      </w:r>
      <w:r>
        <w:rPr>
          <w:sz w:val="20"/>
          <w:szCs w:val="20"/>
        </w:rPr>
        <w:t xml:space="preserve">) and </w:t>
      </w:r>
      <w:r>
        <w:rPr>
          <w:rFonts w:ascii="Consolas" w:hAnsi="Consolas" w:cs="Consolas" w:eastAsia="Consolas"/>
          <w:sz w:val="20"/>
          <w:szCs w:val="20"/>
        </w:rPr>
        <w:t xml:space="preserve">videos/</w:t>
      </w:r>
      <w:r>
        <w:rPr>
          <w:sz w:val="20"/>
          <w:szCs w:val="20"/>
        </w:rPr>
        <w:t xml:space="preserve"> (execution recordings: </w:t>
      </w:r>
      <w:r>
        <w:rPr>
          <w:sz w:val="20"/>
          <w:szCs w:val="20"/>
          <w:highlight w:val="yellow"/>
        </w:rPr>
        <w:t xml:space="preserve">[to be added]</w:t>
      </w:r>
      <w:r>
        <w:rPr>
          <w:sz w:val="20"/>
          <w:szCs w:val="20"/>
        </w:rPr>
        <w:t xml:space="preserve">).</w:t>
      </w:r>
    </w:p>
    <w:p w:rsidR="00A7482C" w:rsidRDefault="00A7482C" w:rsidP="00A7482C">
      <w:pPr>
        <w:pBdr>
          <w:top w:val="nil"/>
          <w:left w:val="nil"/>
          <w:bottom w:val="nil"/>
          <w:right w:val="nil"/>
          <w:between w:val="nil"/>
        </w:pBdr>
        <w:jc w:val="both"/>
        <w:rPr>
          <w:sz w:val="16"/>
          <w:szCs w:val="16"/>
        </w:rPr>
        <w:sectPr w:rsidR="00A7482C" w:rsidSect="00A7482C">
          <w:footerReference w:type="default" r:id="rId29"/>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num="2" w:space="708"/>
          <w:docGrid w:linePitch="360"/>
        </w:sectPr>
      </w:pPr>
    </w:p>
    <w:sectPr w:rsidR="00575101" w:rsidRPr="001C29DB" w:rsidSect="00E67B87">
      <w:footerReference w:type="default" r:id="rId30"/>
      <w:type w:val="continuous"/>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31CF" w:rsidRDefault="003F31CF" w:rsidP="00E8354B">
      <w:r>
        <w:separator/>
      </w:r>
    </w:p>
  </w:endnote>
  <w:endnote w:type="continuationSeparator" w:id="0">
    <w:p w:rsidR="003F31CF" w:rsidRDefault="003F31CF"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Times New Roman"/>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rdo">
    <w:altName w:val="Times New Roman"/>
    <w:charset w:val="00"/>
    <w:family w:val="auto"/>
    <w:pitch w:val="default"/>
  </w:font>
  <w:font w:name="Gungsuh">
    <w:altName w:val="Times New Roman"/>
    <w:charset w:val="00"/>
    <w:family w:val="auto"/>
    <w:pitch w:val="default"/>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2925" w:rsidRDefault="001C2925">
    <w:pPr>
      <w:pBdr>
        <w:top w:val="nil"/>
        <w:left w:val="nil"/>
        <w:bottom w:val="nil"/>
        <w:right w:val="nil"/>
        <w:between w:val="nil"/>
      </w:pBdr>
      <w:tabs>
        <w:tab w:val="center" w:pos="4320"/>
        <w:tab w:val="right" w:pos="8640"/>
        <w:tab w:val="right" w:pos="10044"/>
      </w:tabs>
      <w:rPr>
        <w:rFonts w:ascii="Helvetica Neue" w:eastAsia="Helvetica Neue" w:hAnsi="Helvetica Neue" w:cs="Helvetica Neue"/>
        <w:sz w:val="12"/>
        <w:szCs w:val="12"/>
      </w:rPr>
    </w:pPr>
    <w:r>
      <w:rPr>
        <w:rFonts w:ascii="Helvetica Neue" w:eastAsia="Helvetica Neue" w:hAnsi="Helvetica Neue" w:cs="Helvetica Neue"/>
        <w:sz w:val="12"/>
        <w:szCs w:val="12"/>
      </w:rPr>
      <w:tab/>
    </w:r>
    <w:r>
      <w:rPr>
        <w:rFonts w:ascii="Helvetica Neue" w:eastAsia="Helvetica Neue" w:hAnsi="Helvetica Neue" w:cs="Helvetica Neue"/>
        <w:sz w:val="12"/>
        <w:szCs w:val="12"/>
      </w:rPr>
      <w:fldChar w:fldCharType="begin"/>
    </w:r>
    <w:r>
      <w:rPr>
        <w:rFonts w:ascii="Helvetica Neue" w:eastAsia="Helvetica Neue" w:hAnsi="Helvetica Neue" w:cs="Helvetica Neue"/>
        <w:sz w:val="12"/>
        <w:szCs w:val="12"/>
      </w:rPr>
      <w:instrText xml:space="preserve"> PAGE </w:instrText>
    </w:r>
    <w:r>
      <w:rPr>
        <w:rFonts w:ascii="Helvetica Neue" w:eastAsia="Helvetica Neue" w:hAnsi="Helvetica Neue" w:cs="Helvetica Neue"/>
        <w:sz w:val="12"/>
        <w:szCs w:val="12"/>
      </w:rPr>
      <w:fldChar w:fldCharType="separate"/>
    </w:r>
    <w:r>
      <w:rPr>
        <w:rFonts w:ascii="Helvetica Neue" w:eastAsia="Helvetica Neue" w:hAnsi="Helvetica Neue" w:cs="Helvetica Neue"/>
        <w:sz w:val="12"/>
        <w:szCs w:val="12"/>
      </w:rPr>
      <w:t>1</w:t>
    </w:r>
    <w:r>
      <w:rPr>
        <w:rFonts w:ascii="Helvetica Neue" w:eastAsia="Helvetica Neue" w:hAnsi="Helvetica Neue" w:cs="Helvetica Neue"/>
        <w:sz w:val="12"/>
        <w:szCs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2925" w:rsidRDefault="001C2925">
    <w:pPr>
      <w:pBdr>
        <w:top w:val="nil"/>
        <w:left w:val="nil"/>
        <w:bottom w:val="nil"/>
        <w:right w:val="nil"/>
        <w:between w:val="nil"/>
      </w:pBdr>
      <w:tabs>
        <w:tab w:val="center" w:pos="4320"/>
        <w:tab w:val="right" w:pos="8640"/>
        <w:tab w:val="right" w:pos="10044"/>
      </w:tabs>
      <w:rPr>
        <w:rFonts w:ascii="Helvetica Neue" w:eastAsia="Helvetica Neue" w:hAnsi="Helvetica Neue" w:cs="Helvetica Neue"/>
        <w:sz w:val="12"/>
        <w:szCs w:val="12"/>
      </w:rPr>
    </w:pPr>
    <w:r>
      <w:rPr>
        <w:rFonts w:ascii="Helvetica Neue" w:eastAsia="Helvetica Neue" w:hAnsi="Helvetica Neue" w:cs="Helvetica Neue"/>
        <w:sz w:val="12"/>
        <w:szCs w:val="12"/>
      </w:rPr>
      <w:tab/>
    </w:r>
    <w:r>
      <w:rPr>
        <w:rFonts w:ascii="Helvetica Neue" w:eastAsia="Helvetica Neue" w:hAnsi="Helvetica Neue" w:cs="Helvetica Neue"/>
        <w:sz w:val="12"/>
        <w:szCs w:val="12"/>
      </w:rPr>
      <w:fldChar w:fldCharType="begin"/>
    </w:r>
    <w:r>
      <w:rPr>
        <w:rFonts w:ascii="Helvetica Neue" w:eastAsia="Helvetica Neue" w:hAnsi="Helvetica Neue" w:cs="Helvetica Neue"/>
        <w:sz w:val="12"/>
        <w:szCs w:val="12"/>
      </w:rPr>
      <w:instrText xml:space="preserve"> PAGE </w:instrText>
    </w:r>
    <w:r>
      <w:rPr>
        <w:rFonts w:ascii="Helvetica Neue" w:eastAsia="Helvetica Neue" w:hAnsi="Helvetica Neue" w:cs="Helvetica Neue"/>
        <w:sz w:val="12"/>
        <w:szCs w:val="12"/>
      </w:rPr>
      <w:fldChar w:fldCharType="separate"/>
    </w:r>
    <w:r>
      <w:rPr>
        <w:rFonts w:ascii="Helvetica Neue" w:eastAsia="Helvetica Neue" w:hAnsi="Helvetica Neue" w:cs="Helvetica Neue"/>
        <w:sz w:val="12"/>
        <w:szCs w:val="12"/>
      </w:rPr>
      <w:t>1</w:t>
    </w:r>
    <w:r>
      <w:rPr>
        <w:rFonts w:ascii="Helvetica Neue" w:eastAsia="Helvetica Neue" w:hAnsi="Helvetica Neue" w:cs="Helvetica Neue"/>
        <w:sz w:val="12"/>
        <w:szCs w:val="1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2925" w:rsidRDefault="001C2925">
    <w:pPr>
      <w:pBdr>
        <w:top w:val="nil"/>
        <w:left w:val="nil"/>
        <w:bottom w:val="nil"/>
        <w:right w:val="nil"/>
        <w:between w:val="nil"/>
      </w:pBdr>
      <w:tabs>
        <w:tab w:val="center" w:pos="4320"/>
        <w:tab w:val="right" w:pos="8640"/>
        <w:tab w:val="right" w:pos="10044"/>
      </w:tabs>
      <w:rPr>
        <w:rFonts w:ascii="Helvetica Neue" w:eastAsia="Helvetica Neue" w:hAnsi="Helvetica Neue" w:cs="Helvetica Neue"/>
        <w:sz w:val="12"/>
        <w:szCs w:val="12"/>
      </w:rPr>
    </w:pPr>
    <w:r>
      <w:rPr>
        <w:rFonts w:ascii="Helvetica Neue" w:eastAsia="Helvetica Neue" w:hAnsi="Helvetica Neue" w:cs="Helvetica Neue"/>
        <w:sz w:val="12"/>
        <w:szCs w:val="12"/>
      </w:rPr>
      <w:tab/>
    </w:r>
    <w:r>
      <w:rPr>
        <w:rFonts w:ascii="Helvetica Neue" w:eastAsia="Helvetica Neue" w:hAnsi="Helvetica Neue" w:cs="Helvetica Neue"/>
        <w:sz w:val="12"/>
        <w:szCs w:val="12"/>
      </w:rPr>
      <w:fldChar w:fldCharType="begin"/>
    </w:r>
    <w:r>
      <w:rPr>
        <w:rFonts w:ascii="Helvetica Neue" w:eastAsia="Helvetica Neue" w:hAnsi="Helvetica Neue" w:cs="Helvetica Neue"/>
        <w:sz w:val="12"/>
        <w:szCs w:val="12"/>
      </w:rPr>
      <w:instrText xml:space="preserve"> PAGE </w:instrText>
    </w:r>
    <w:r>
      <w:rPr>
        <w:rFonts w:ascii="Helvetica Neue" w:eastAsia="Helvetica Neue" w:hAnsi="Helvetica Neue" w:cs="Helvetica Neue"/>
        <w:sz w:val="12"/>
        <w:szCs w:val="12"/>
      </w:rPr>
      <w:fldChar w:fldCharType="separate"/>
    </w:r>
    <w:r>
      <w:rPr>
        <w:rFonts w:ascii="Helvetica Neue" w:eastAsia="Helvetica Neue" w:hAnsi="Helvetica Neue" w:cs="Helvetica Neue"/>
        <w:sz w:val="12"/>
        <w:szCs w:val="12"/>
      </w:rPr>
      <w:t>1</w:t>
    </w:r>
    <w:r>
      <w:rPr>
        <w:rFonts w:ascii="Helvetica Neue" w:eastAsia="Helvetica Neue" w:hAnsi="Helvetica Neue" w:cs="Helvetica Neue"/>
        <w:sz w:val="12"/>
        <w:szCs w:val="1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31CF" w:rsidRDefault="003F31CF" w:rsidP="00E8354B">
      <w:r>
        <w:separator/>
      </w:r>
    </w:p>
  </w:footnote>
  <w:footnote w:type="continuationSeparator" w:id="0">
    <w:p w:rsidR="003F31CF" w:rsidRDefault="003F31CF" w:rsidP="00E8354B">
      <w:r>
        <w:continuationSeparator/>
      </w:r>
    </w:p>
  </w:footnote>
  <w:footnote w:id="1">
    <w:p w:rsidR="00A7482C" w:rsidRDefault="00A7482C" w:rsidP="00A7482C">
      <w:pPr>
        <w:pBdr>
          <w:top w:val="nil"/>
          <w:left w:val="nil"/>
          <w:bottom w:val="nil"/>
          <w:right w:val="nil"/>
          <w:between w:val="nil"/>
        </w:pBdr>
        <w:ind w:firstLine="202"/>
        <w:jc w:val="both"/>
        <w:rPr>
          <w:sz w:val="16"/>
          <w:szCs w:val="16"/>
        </w:rPr>
      </w:pPr>
      <w:r>
        <w:rPr>
          <w:rStyle w:val="FootnoteReference"/>
        </w:rPr>
        <w:footnoteRef/>
      </w:r>
      <w:r>
        <w:rPr>
          <w:sz w:val="16"/>
          <w:szCs w:val="16"/>
        </w:rPr>
        <w:t>It is recommended that footnotes be avoided (except for the unnumbered footnote with the receipt date on the first page). Instead, try to integrate the footnote information into the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519372F"/>
    <w:multiLevelType w:val="hybridMultilevel"/>
    <w:tmpl w:val="AEAA261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16173"/>
    <w:multiLevelType w:val="hybridMultilevel"/>
    <w:tmpl w:val="AEAA261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nsid w:val="26316330"/>
    <w:multiLevelType w:val="multilevel"/>
    <w:tmpl w:val="E64A2EFA"/>
    <w:lvl w:ilvl="0">
      <w:start w:val="1"/>
      <w:numFmt w:val="decimal"/>
      <w:lvlText w:val="[%1]"/>
      <w:lvlJc w:val="left"/>
      <w:pPr>
        <w:ind w:left="1170" w:hanging="360"/>
      </w:pPr>
      <w:rPr>
        <w:i w:val="0"/>
        <w:iCs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nsid w:val="2ACE4E62"/>
    <w:multiLevelType w:val="hybridMultilevel"/>
    <w:tmpl w:val="AEAA261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12">
    <w:nsid w:val="52240666"/>
    <w:multiLevelType w:val="multilevel"/>
    <w:tmpl w:val="6CF0C6E2"/>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6">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8">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9">
    <w:nsid w:val="70B22057"/>
    <w:multiLevelType w:val="hybridMultilevel"/>
    <w:tmpl w:val="AEAA261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21">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9"/>
  </w:num>
  <w:num w:numId="2">
    <w:abstractNumId w:val="13"/>
  </w:num>
  <w:num w:numId="3">
    <w:abstractNumId w:val="10"/>
  </w:num>
  <w:num w:numId="4">
    <w:abstractNumId w:val="0"/>
  </w:num>
  <w:num w:numId="5">
    <w:abstractNumId w:val="16"/>
  </w:num>
  <w:num w:numId="6">
    <w:abstractNumId w:val="14"/>
  </w:num>
  <w:num w:numId="7">
    <w:abstractNumId w:val="5"/>
  </w:num>
  <w:num w:numId="8">
    <w:abstractNumId w:val="7"/>
  </w:num>
  <w:num w:numId="9">
    <w:abstractNumId w:val="17"/>
  </w:num>
  <w:num w:numId="10">
    <w:abstractNumId w:val="11"/>
  </w:num>
  <w:num w:numId="11">
    <w:abstractNumId w:val="15"/>
  </w:num>
  <w:num w:numId="12">
    <w:abstractNumId w:val="20"/>
  </w:num>
  <w:num w:numId="13">
    <w:abstractNumId w:val="18"/>
  </w:num>
  <w:num w:numId="14">
    <w:abstractNumId w:val="4"/>
  </w:num>
  <w:num w:numId="15">
    <w:abstractNumId w:val="2"/>
  </w:num>
  <w:num w:numId="16">
    <w:abstractNumId w:val="21"/>
  </w:num>
  <w:num w:numId="17">
    <w:abstractNumId w:val="3"/>
  </w:num>
  <w:num w:numId="18">
    <w:abstractNumId w:val="1"/>
  </w:num>
  <w:num w:numId="19">
    <w:abstractNumId w:val="8"/>
  </w:num>
  <w:num w:numId="20">
    <w:abstractNumId w:val="19"/>
  </w:num>
  <w:num w:numId="21">
    <w:abstractNumId w:val="12"/>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isplayBackgroundShape/>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D70EE"/>
    <w:rsid w:val="000E70A1"/>
    <w:rsid w:val="000F1F6E"/>
    <w:rsid w:val="000F5D04"/>
    <w:rsid w:val="00127CCF"/>
    <w:rsid w:val="00132ECC"/>
    <w:rsid w:val="00133197"/>
    <w:rsid w:val="001348B4"/>
    <w:rsid w:val="00141B55"/>
    <w:rsid w:val="0014222A"/>
    <w:rsid w:val="0014713D"/>
    <w:rsid w:val="00152395"/>
    <w:rsid w:val="00156C3D"/>
    <w:rsid w:val="00165C9A"/>
    <w:rsid w:val="0017507D"/>
    <w:rsid w:val="00175F94"/>
    <w:rsid w:val="001804CD"/>
    <w:rsid w:val="00190CDF"/>
    <w:rsid w:val="00196741"/>
    <w:rsid w:val="001A14B1"/>
    <w:rsid w:val="001A3A37"/>
    <w:rsid w:val="001C0A67"/>
    <w:rsid w:val="001C2925"/>
    <w:rsid w:val="001C29DB"/>
    <w:rsid w:val="001D2B30"/>
    <w:rsid w:val="001E146C"/>
    <w:rsid w:val="001E3C93"/>
    <w:rsid w:val="001F4DCC"/>
    <w:rsid w:val="00201B96"/>
    <w:rsid w:val="002023F3"/>
    <w:rsid w:val="002076F5"/>
    <w:rsid w:val="002112F0"/>
    <w:rsid w:val="0022634A"/>
    <w:rsid w:val="00226622"/>
    <w:rsid w:val="00227F42"/>
    <w:rsid w:val="00230E6F"/>
    <w:rsid w:val="00240E94"/>
    <w:rsid w:val="002449A8"/>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2F6EDD"/>
    <w:rsid w:val="002F7911"/>
    <w:rsid w:val="003057A2"/>
    <w:rsid w:val="00316981"/>
    <w:rsid w:val="00322DD7"/>
    <w:rsid w:val="003237A5"/>
    <w:rsid w:val="00331FD0"/>
    <w:rsid w:val="0033207E"/>
    <w:rsid w:val="00332AF6"/>
    <w:rsid w:val="00332E90"/>
    <w:rsid w:val="00336E02"/>
    <w:rsid w:val="003435FC"/>
    <w:rsid w:val="003448E9"/>
    <w:rsid w:val="00380040"/>
    <w:rsid w:val="00380634"/>
    <w:rsid w:val="00383099"/>
    <w:rsid w:val="0038734E"/>
    <w:rsid w:val="00391548"/>
    <w:rsid w:val="003A4347"/>
    <w:rsid w:val="003A5D1F"/>
    <w:rsid w:val="003D0F31"/>
    <w:rsid w:val="003D49C4"/>
    <w:rsid w:val="003E2931"/>
    <w:rsid w:val="003F06CF"/>
    <w:rsid w:val="003F31CF"/>
    <w:rsid w:val="003F45CD"/>
    <w:rsid w:val="00402DEA"/>
    <w:rsid w:val="00415693"/>
    <w:rsid w:val="00417E5F"/>
    <w:rsid w:val="00431F51"/>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75101"/>
    <w:rsid w:val="005A1958"/>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17774"/>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2778"/>
    <w:rsid w:val="007B390C"/>
    <w:rsid w:val="007C03AC"/>
    <w:rsid w:val="007D41B4"/>
    <w:rsid w:val="007E00F0"/>
    <w:rsid w:val="007E7904"/>
    <w:rsid w:val="007F74A9"/>
    <w:rsid w:val="008044A5"/>
    <w:rsid w:val="0080572F"/>
    <w:rsid w:val="0080588C"/>
    <w:rsid w:val="00816883"/>
    <w:rsid w:val="00823FBD"/>
    <w:rsid w:val="008248FC"/>
    <w:rsid w:val="00842F76"/>
    <w:rsid w:val="00851ABE"/>
    <w:rsid w:val="00862AB5"/>
    <w:rsid w:val="0087698E"/>
    <w:rsid w:val="00887290"/>
    <w:rsid w:val="00897105"/>
    <w:rsid w:val="008B0DEF"/>
    <w:rsid w:val="008B2419"/>
    <w:rsid w:val="008B5BD5"/>
    <w:rsid w:val="008C067C"/>
    <w:rsid w:val="008C6726"/>
    <w:rsid w:val="008D1026"/>
    <w:rsid w:val="008F3B0E"/>
    <w:rsid w:val="008F420F"/>
    <w:rsid w:val="00901232"/>
    <w:rsid w:val="00903CE2"/>
    <w:rsid w:val="00906A6C"/>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36"/>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482C"/>
    <w:rsid w:val="00A75A78"/>
    <w:rsid w:val="00A760C0"/>
    <w:rsid w:val="00A777E4"/>
    <w:rsid w:val="00A80E59"/>
    <w:rsid w:val="00A816D6"/>
    <w:rsid w:val="00A863F8"/>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240A"/>
    <w:rsid w:val="00BC4ADD"/>
    <w:rsid w:val="00BC60FD"/>
    <w:rsid w:val="00BC6757"/>
    <w:rsid w:val="00BD1C75"/>
    <w:rsid w:val="00BD629C"/>
    <w:rsid w:val="00BD79A8"/>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82C83"/>
    <w:rsid w:val="00CA28C5"/>
    <w:rsid w:val="00CA30D6"/>
    <w:rsid w:val="00CC2503"/>
    <w:rsid w:val="00CD1086"/>
    <w:rsid w:val="00CD303C"/>
    <w:rsid w:val="00CE0986"/>
    <w:rsid w:val="00CE1B00"/>
    <w:rsid w:val="00CF3E3C"/>
    <w:rsid w:val="00CF4C93"/>
    <w:rsid w:val="00CF51A8"/>
    <w:rsid w:val="00D0671D"/>
    <w:rsid w:val="00D30D92"/>
    <w:rsid w:val="00D462E7"/>
    <w:rsid w:val="00D60221"/>
    <w:rsid w:val="00D66E88"/>
    <w:rsid w:val="00D67AFE"/>
    <w:rsid w:val="00D80574"/>
    <w:rsid w:val="00D83D7E"/>
    <w:rsid w:val="00D866E2"/>
    <w:rsid w:val="00D87604"/>
    <w:rsid w:val="00D964C1"/>
    <w:rsid w:val="00D979CB"/>
    <w:rsid w:val="00DA2AFD"/>
    <w:rsid w:val="00DA2D1A"/>
    <w:rsid w:val="00DB4C8C"/>
    <w:rsid w:val="00DC0A57"/>
    <w:rsid w:val="00DC106A"/>
    <w:rsid w:val="00DC447D"/>
    <w:rsid w:val="00DC44B8"/>
    <w:rsid w:val="00DD0561"/>
    <w:rsid w:val="00DD7588"/>
    <w:rsid w:val="00DF2FB5"/>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67B87"/>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 w:type="table" w:styleId="GridTable4-Accent2">
    <w:name w:val="Grid Table 4 Accent 2"/>
    <w:basedOn w:val="TableNormal"/>
    <w:uiPriority w:val="49"/>
    <w:rsid w:val="00717774"/>
    <w:rPr>
      <w:rFonts w:asciiTheme="minorHAnsi" w:eastAsiaTheme="minorHAnsi" w:hAnsiTheme="minorHAnsi" w:cstheme="minorBidi"/>
      <w:sz w:val="22"/>
      <w:szCs w:val="22"/>
      <w:lang w:eastAsia="en-US"/>
    </w:rPr>
    <w:tblPr>
      <w:tblStyleRowBandSize w:val="1"/>
      <w:tblStyleColBandSize w:val="1"/>
      <w:tblInd w:w="0" w:type="dxa"/>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FootnoteReference">
    <w:name w:val="footnote reference"/>
    <w:semiHidden/>
    <w:rsid w:val="005751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26" Type="http://schemas.openxmlformats.org/officeDocument/2006/relationships/image" Target="media/image5.jpe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hyperlink" Target="mailto:graphics@ieee.org" TargetMode="Externa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oter" Target="footer1.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hyperlink" Target="http://graphicsqc.ieee.org/"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oleObject" Target="embeddings/oleObject1.bin"/><Relationship Id="rId28" Type="http://schemas.openxmlformats.org/officeDocument/2006/relationships/image" Target="media/image7.png"/><Relationship Id="rId10" Type="http://schemas.openxmlformats.org/officeDocument/2006/relationships/diagramQuickStyle" Target="diagrams/quickStyle1.xml"/><Relationship Id="rId19" Type="http://schemas.openxmlformats.org/officeDocument/2006/relationships/hyperlink" Target="mailto:1mrajasekharababu@vit.ac.in"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4.wmf"/><Relationship Id="rId27" Type="http://schemas.openxmlformats.org/officeDocument/2006/relationships/image" Target="media/image6.png"/><Relationship Id="rId30" Type="http://schemas.openxmlformats.org/officeDocument/2006/relationships/footer" Target="footer3.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7.png"/><Relationship Id="rId43" Type="http://schemas.openxmlformats.org/officeDocument/2006/relationships/image" Target="media/image18.pn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image" Target="media/image38.png"/><Relationship Id="rId64"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[to be entered]</a:t>
          </a:r>
        </a:p>
        <a:p>
          <a:pPr algn="ctr"/>
          <a:r>
            <a:rPr lang="en-IN">
              <a:latin typeface="Times New Roman" panose="02020603050405020304" pitchFamily="18" charset="0"/>
              <a:cs typeface="Times New Roman" panose="02020603050405020304" pitchFamily="18" charset="0"/>
            </a:rPr>
            <a:t>Name: [to be entered]</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3B7FADF7-5CB5-4251-B81A-3CBCD7B5123A}">
      <dgm:prSet phldrT="[Text]"/>
      <dgm:spPr>
        <a:solidFill>
          <a:schemeClr val="accent2">
            <a:lumMod val="75000"/>
          </a:schemeClr>
        </a:solidFill>
      </dgm:spPr>
      <dgm:t>
        <a:bodyPr/>
        <a:lstStyle/>
        <a:p>
          <a:r>
            <a:rPr lang="en-IN">
              <a:latin typeface="Times New Roman" panose="02020603050405020304" pitchFamily="18" charset="0"/>
              <a:cs typeface="Times New Roman" panose="02020603050405020304" pitchFamily="18" charset="0"/>
            </a:rPr>
            <a:t>Reg No: [to be entered]</a:t>
          </a:r>
        </a:p>
        <a:p>
          <a:r>
            <a:rPr lang="en-IN">
              <a:latin typeface="Times New Roman" panose="02020603050405020304" pitchFamily="18" charset="0"/>
              <a:cs typeface="Times New Roman" panose="02020603050405020304" pitchFamily="18" charset="0"/>
            </a:rPr>
            <a:t>Name: [to be entered]</a:t>
          </a:r>
        </a:p>
      </dgm:t>
    </dgm:pt>
    <dgm:pt modelId="{615E30E1-CAA2-4A72-85C4-46E429CE19C5}" type="parTrans" cxnId="{B156C076-E049-4C1F-B076-EDFC78C1E0F6}">
      <dgm:prSet/>
      <dgm:spPr/>
      <dgm:t>
        <a:bodyPr/>
        <a:lstStyle/>
        <a:p>
          <a:endParaRPr lang="en-IN"/>
        </a:p>
      </dgm:t>
    </dgm:pt>
    <dgm:pt modelId="{FDF2F007-AFF2-409E-84FE-B4E69528E564}" type="sibTrans" cxnId="{B156C076-E049-4C1F-B076-EDFC78C1E0F6}">
      <dgm:prSet/>
      <dgm:spPr/>
      <dgm:t>
        <a:bodyPr/>
        <a:lstStyle/>
        <a:p>
          <a:endParaRPr lang="en-IN"/>
        </a:p>
      </dgm:t>
    </dgm:pt>
    <dgm:pt modelId="{3EBC6B7B-5082-4B59-A3E6-8EE85B18611E}">
      <dgm:prSet phldrT="[Text]"/>
      <dgm:spPr>
        <a:solidFill>
          <a:schemeClr val="accent2">
            <a:lumMod val="75000"/>
          </a:schemeClr>
        </a:solidFill>
      </dgm:spPr>
      <dgm:t>
        <a:bodyPr/>
        <a:lstStyle/>
        <a:p>
          <a:r>
            <a:rPr lang="en-IN">
              <a:latin typeface="Times New Roman" panose="02020603050405020304" pitchFamily="18" charset="0"/>
              <a:cs typeface="Times New Roman" panose="02020603050405020304" pitchFamily="18" charset="0"/>
            </a:rPr>
            <a:t>Reg No: [to be entered]</a:t>
          </a:r>
        </a:p>
        <a:p>
          <a:r>
            <a:rPr lang="en-IN">
              <a:latin typeface="Times New Roman" panose="02020603050405020304" pitchFamily="18" charset="0"/>
              <a:cs typeface="Times New Roman" panose="02020603050405020304" pitchFamily="18" charset="0"/>
            </a:rPr>
            <a:t>Name: [to be entered]</a:t>
          </a:r>
        </a:p>
      </dgm:t>
    </dgm:pt>
    <dgm:pt modelId="{8390872C-45D5-48F7-913A-5F905D65D54A}" type="parTrans" cxnId="{02E7340E-DA74-4CCE-9E7B-1F086C699DF1}">
      <dgm:prSet/>
      <dgm:spPr/>
      <dgm:t>
        <a:bodyPr/>
        <a:lstStyle/>
        <a:p>
          <a:endParaRPr lang="en-IN"/>
        </a:p>
      </dgm:t>
    </dgm:pt>
    <dgm:pt modelId="{11A5A456-863F-4088-8871-EB15C4D10F4D}" type="sibTrans" cxnId="{02E7340E-DA74-4CCE-9E7B-1F086C699DF1}">
      <dgm:prSet/>
      <dgm:spPr/>
      <dgm:t>
        <a:bodyPr/>
        <a:lstStyle/>
        <a:p>
          <a:endParaRPr lang="en-IN"/>
        </a:p>
      </dgm:t>
    </dgm:pt>
    <dgm:pt modelId="{060DBD25-7C1F-489B-A7DD-2F1860325E1B}">
      <dgm:prSet phldrT="[Text]"/>
      <dgm:spPr>
        <a:solidFill>
          <a:schemeClr val="accent2">
            <a:lumMod val="75000"/>
          </a:schemeClr>
        </a:solidFill>
      </dgm:spPr>
      <dgm:t>
        <a:bodyPr/>
        <a:lstStyle/>
        <a:p>
          <a:r>
            <a:rPr lang="en-IN">
              <a:latin typeface="Times New Roman" panose="02020603050405020304" pitchFamily="18" charset="0"/>
              <a:cs typeface="Times New Roman" panose="02020603050405020304" pitchFamily="18" charset="0"/>
            </a:rPr>
            <a:t>Reg No: [to be entered]</a:t>
          </a:r>
        </a:p>
        <a:p>
          <a:r>
            <a:rPr lang="en-IN">
              <a:latin typeface="Times New Roman" panose="02020603050405020304" pitchFamily="18" charset="0"/>
              <a:cs typeface="Times New Roman" panose="02020603050405020304" pitchFamily="18" charset="0"/>
            </a:rPr>
            <a:t>Name: [to be entered]</a:t>
          </a:r>
        </a:p>
      </dgm:t>
    </dgm:pt>
    <dgm:pt modelId="{8245B4E8-741E-4A99-B376-421FE728D697}" type="parTrans" cxnId="{929CDB55-7141-44ED-813F-2E8C2B303160}">
      <dgm:prSet/>
      <dgm:spPr/>
      <dgm:t>
        <a:bodyPr/>
        <a:lstStyle/>
        <a:p>
          <a:endParaRPr lang="en-IN"/>
        </a:p>
      </dgm:t>
    </dgm:pt>
    <dgm:pt modelId="{98F18C05-B1CA-43E1-B10B-963C02F28933}" type="sibTrans" cxnId="{929CDB55-7141-44ED-813F-2E8C2B303160}">
      <dgm:prSet/>
      <dgm:spPr/>
      <dgm:t>
        <a:bodyPr/>
        <a:lstStyle/>
        <a:p>
          <a:endParaRPr lang="en-IN"/>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4"/>
      <dgm:spPr>
        <a:solidFill>
          <a:schemeClr val="accent2">
            <a:lumMod val="75000"/>
          </a:schemeClr>
        </a:solidFill>
      </dgm:spPr>
    </dgm:pt>
    <dgm:pt modelId="{988BD94A-943F-4052-AF4C-3678983469B2}" type="pres">
      <dgm:prSet presAssocID="{5855FA8D-8066-4520-AB32-390F7CF7D9DD}" presName="txShp" presStyleLbl="node1" presStyleIdx="0" presStyleCnt="4">
        <dgm:presLayoutVars>
          <dgm:bulletEnabled val="1"/>
        </dgm:presLayoutVars>
      </dgm:prSet>
      <dgm:spPr/>
      <dgm:t>
        <a:bodyPr/>
        <a:lstStyle/>
        <a:p>
          <a:endParaRPr lang="en-IN"/>
        </a:p>
      </dgm:t>
    </dgm:pt>
    <dgm:pt modelId="{13D23EAB-7A97-4C29-836F-1CF690F15774}" type="pres">
      <dgm:prSet presAssocID="{F9B7746C-0AE5-45D7-B815-9449659A580B}" presName="spacing" presStyleCnt="0"/>
      <dgm:spPr/>
    </dgm:pt>
    <dgm:pt modelId="{E82FAC40-3FDF-4F9E-A93D-A1696CFEA914}" type="pres">
      <dgm:prSet presAssocID="{3B7FADF7-5CB5-4251-B81A-3CBCD7B5123A}" presName="composite" presStyleCnt="0"/>
      <dgm:spPr/>
    </dgm:pt>
    <dgm:pt modelId="{B5175C8B-877C-4F88-A2E3-F88FF2FD35F6}" type="pres">
      <dgm:prSet presAssocID="{3B7FADF7-5CB5-4251-B81A-3CBCD7B5123A}" presName="imgShp" presStyleLbl="fgImgPlace1" presStyleIdx="1" presStyleCnt="4"/>
      <dgm:spPr>
        <a:solidFill>
          <a:schemeClr val="accent2">
            <a:lumMod val="75000"/>
          </a:schemeClr>
        </a:solidFill>
      </dgm:spPr>
    </dgm:pt>
    <dgm:pt modelId="{F5156CE0-AE06-4F28-BD37-3BEE7D01012A}" type="pres">
      <dgm:prSet presAssocID="{3B7FADF7-5CB5-4251-B81A-3CBCD7B5123A}" presName="txShp" presStyleLbl="node1" presStyleIdx="1" presStyleCnt="4">
        <dgm:presLayoutVars>
          <dgm:bulletEnabled val="1"/>
        </dgm:presLayoutVars>
      </dgm:prSet>
      <dgm:spPr/>
      <dgm:t>
        <a:bodyPr/>
        <a:lstStyle/>
        <a:p>
          <a:endParaRPr lang="en-IN"/>
        </a:p>
      </dgm:t>
    </dgm:pt>
    <dgm:pt modelId="{7FB1D327-38A0-4849-9B9B-99BAD2A62F2D}" type="pres">
      <dgm:prSet presAssocID="{FDF2F007-AFF2-409E-84FE-B4E69528E564}" presName="spacing" presStyleCnt="0"/>
      <dgm:spPr/>
    </dgm:pt>
    <dgm:pt modelId="{10BD823D-6EA5-44CE-B3DC-51132B6D5D9C}" type="pres">
      <dgm:prSet presAssocID="{3EBC6B7B-5082-4B59-A3E6-8EE85B18611E}" presName="composite" presStyleCnt="0"/>
      <dgm:spPr/>
    </dgm:pt>
    <dgm:pt modelId="{BCBBE743-56AA-4876-B316-B0CD7ADD2C2C}" type="pres">
      <dgm:prSet presAssocID="{3EBC6B7B-5082-4B59-A3E6-8EE85B18611E}" presName="imgShp" presStyleLbl="fgImgPlace1" presStyleIdx="2" presStyleCnt="4"/>
      <dgm:spPr>
        <a:solidFill>
          <a:schemeClr val="accent2">
            <a:lumMod val="75000"/>
          </a:schemeClr>
        </a:solidFill>
      </dgm:spPr>
    </dgm:pt>
    <dgm:pt modelId="{4E21145F-B597-432B-BCD8-9C7A3BDC1246}" type="pres">
      <dgm:prSet presAssocID="{3EBC6B7B-5082-4B59-A3E6-8EE85B18611E}" presName="txShp" presStyleLbl="node1" presStyleIdx="2" presStyleCnt="4">
        <dgm:presLayoutVars>
          <dgm:bulletEnabled val="1"/>
        </dgm:presLayoutVars>
      </dgm:prSet>
      <dgm:spPr/>
      <dgm:t>
        <a:bodyPr/>
        <a:lstStyle/>
        <a:p>
          <a:endParaRPr lang="en-IN"/>
        </a:p>
      </dgm:t>
    </dgm:pt>
    <dgm:pt modelId="{9C7F8A80-9208-4F07-9AE3-3CEEE2D275E5}" type="pres">
      <dgm:prSet presAssocID="{11A5A456-863F-4088-8871-EB15C4D10F4D}" presName="spacing" presStyleCnt="0"/>
      <dgm:spPr/>
    </dgm:pt>
    <dgm:pt modelId="{42BF10A4-B893-4644-9C3E-CD67C229082C}" type="pres">
      <dgm:prSet presAssocID="{060DBD25-7C1F-489B-A7DD-2F1860325E1B}" presName="composite" presStyleCnt="0"/>
      <dgm:spPr/>
    </dgm:pt>
    <dgm:pt modelId="{13080F17-5A0F-4E92-8202-37CB5F55D182}" type="pres">
      <dgm:prSet presAssocID="{060DBD25-7C1F-489B-A7DD-2F1860325E1B}" presName="imgShp" presStyleLbl="fgImgPlace1" presStyleIdx="3" presStyleCnt="4"/>
      <dgm:spPr>
        <a:solidFill>
          <a:schemeClr val="accent2">
            <a:lumMod val="75000"/>
          </a:schemeClr>
        </a:solidFill>
      </dgm:spPr>
    </dgm:pt>
    <dgm:pt modelId="{03A06021-DC17-4A74-B209-A86829DA975E}" type="pres">
      <dgm:prSet presAssocID="{060DBD25-7C1F-489B-A7DD-2F1860325E1B}" presName="txShp" presStyleLbl="node1" presStyleIdx="3" presStyleCnt="4">
        <dgm:presLayoutVars>
          <dgm:bulletEnabled val="1"/>
        </dgm:presLayoutVars>
      </dgm:prSet>
      <dgm:spPr/>
      <dgm:t>
        <a:bodyPr/>
        <a:lstStyle/>
        <a:p>
          <a:endParaRPr lang="en-IN"/>
        </a:p>
      </dgm:t>
    </dgm:pt>
  </dgm:ptLst>
  <dgm:cxnLst>
    <dgm:cxn modelId="{02E7340E-DA74-4CCE-9E7B-1F086C699DF1}" srcId="{B3123A79-1051-4A93-A86D-48B8E9623348}" destId="{3EBC6B7B-5082-4B59-A3E6-8EE85B18611E}" srcOrd="2" destOrd="0" parTransId="{8390872C-45D5-48F7-913A-5F905D65D54A}" sibTransId="{11A5A456-863F-4088-8871-EB15C4D10F4D}"/>
    <dgm:cxn modelId="{929CDB55-7141-44ED-813F-2E8C2B303160}" srcId="{B3123A79-1051-4A93-A86D-48B8E9623348}" destId="{060DBD25-7C1F-489B-A7DD-2F1860325E1B}" srcOrd="3" destOrd="0" parTransId="{8245B4E8-741E-4A99-B376-421FE728D697}" sibTransId="{98F18C05-B1CA-43E1-B10B-963C02F28933}"/>
    <dgm:cxn modelId="{F6D78763-0C62-4C31-A9DA-BE8F132AC00C}" type="presOf" srcId="{B3123A79-1051-4A93-A86D-48B8E9623348}" destId="{94FAFB56-2D98-475F-932A-CF05CA0B6CFE}" srcOrd="0" destOrd="0" presId="urn:microsoft.com/office/officeart/2005/8/layout/vList3"/>
    <dgm:cxn modelId="{FD1D302A-AF61-4927-ACAF-47ADE525FE8E}" type="presOf" srcId="{3EBC6B7B-5082-4B59-A3E6-8EE85B18611E}" destId="{4E21145F-B597-432B-BCD8-9C7A3BDC1246}" srcOrd="0" destOrd="0" presId="urn:microsoft.com/office/officeart/2005/8/layout/vList3"/>
    <dgm:cxn modelId="{5D0EA997-6FA3-4D5E-AAF3-6A034B95A481}" type="presOf" srcId="{3B7FADF7-5CB5-4251-B81A-3CBCD7B5123A}" destId="{F5156CE0-AE06-4F28-BD37-3BEE7D01012A}"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E0C209A6-DABE-4AD8-A815-2C39F23AF5D1}" type="presOf" srcId="{060DBD25-7C1F-489B-A7DD-2F1860325E1B}" destId="{03A06021-DC17-4A74-B209-A86829DA975E}" srcOrd="0" destOrd="0" presId="urn:microsoft.com/office/officeart/2005/8/layout/vList3"/>
    <dgm:cxn modelId="{B156C076-E049-4C1F-B076-EDFC78C1E0F6}" srcId="{B3123A79-1051-4A93-A86D-48B8E9623348}" destId="{3B7FADF7-5CB5-4251-B81A-3CBCD7B5123A}" srcOrd="1" destOrd="0" parTransId="{615E30E1-CAA2-4A72-85C4-46E429CE19C5}" sibTransId="{FDF2F007-AFF2-409E-84FE-B4E69528E564}"/>
    <dgm:cxn modelId="{43E9414A-534F-4773-A7A5-8189DE3CB81E}" type="presOf" srcId="{5855FA8D-8066-4520-AB32-390F7CF7D9DD}" destId="{988BD94A-943F-4052-AF4C-3678983469B2}" srcOrd="0" destOrd="0" presId="urn:microsoft.com/office/officeart/2005/8/layout/vList3"/>
    <dgm:cxn modelId="{BB793E1D-4633-4437-A791-EB1F1DB134CE}" type="presParOf" srcId="{94FAFB56-2D98-475F-932A-CF05CA0B6CFE}" destId="{C8FB29CA-90F2-4C2E-A38E-2265A11F13D7}" srcOrd="0" destOrd="0" presId="urn:microsoft.com/office/officeart/2005/8/layout/vList3"/>
    <dgm:cxn modelId="{5016687F-A3CE-4003-9531-C0C778E9200A}" type="presParOf" srcId="{C8FB29CA-90F2-4C2E-A38E-2265A11F13D7}" destId="{158D431C-61C2-43F7-9C47-1867700A9AC6}" srcOrd="0" destOrd="0" presId="urn:microsoft.com/office/officeart/2005/8/layout/vList3"/>
    <dgm:cxn modelId="{73C62FD8-7C27-4CED-B660-F9223A489A8F}" type="presParOf" srcId="{C8FB29CA-90F2-4C2E-A38E-2265A11F13D7}" destId="{988BD94A-943F-4052-AF4C-3678983469B2}" srcOrd="1" destOrd="0" presId="urn:microsoft.com/office/officeart/2005/8/layout/vList3"/>
    <dgm:cxn modelId="{C18D6E58-160C-4D1E-B298-33E1E56522BF}" type="presParOf" srcId="{94FAFB56-2D98-475F-932A-CF05CA0B6CFE}" destId="{13D23EAB-7A97-4C29-836F-1CF690F15774}" srcOrd="1" destOrd="0" presId="urn:microsoft.com/office/officeart/2005/8/layout/vList3"/>
    <dgm:cxn modelId="{BB154CAB-5D84-4D3B-8F85-24B6F1D16F8A}" type="presParOf" srcId="{94FAFB56-2D98-475F-932A-CF05CA0B6CFE}" destId="{E82FAC40-3FDF-4F9E-A93D-A1696CFEA914}" srcOrd="2" destOrd="0" presId="urn:microsoft.com/office/officeart/2005/8/layout/vList3"/>
    <dgm:cxn modelId="{6E5DFA88-1689-4486-B407-17A18A29F31B}" type="presParOf" srcId="{E82FAC40-3FDF-4F9E-A93D-A1696CFEA914}" destId="{B5175C8B-877C-4F88-A2E3-F88FF2FD35F6}" srcOrd="0" destOrd="0" presId="urn:microsoft.com/office/officeart/2005/8/layout/vList3"/>
    <dgm:cxn modelId="{35BEC955-808C-4F54-B1FC-AED84A6F39C9}" type="presParOf" srcId="{E82FAC40-3FDF-4F9E-A93D-A1696CFEA914}" destId="{F5156CE0-AE06-4F28-BD37-3BEE7D01012A}" srcOrd="1" destOrd="0" presId="urn:microsoft.com/office/officeart/2005/8/layout/vList3"/>
    <dgm:cxn modelId="{C51C3728-30CE-43DE-8D9E-3AAC135752C3}" type="presParOf" srcId="{94FAFB56-2D98-475F-932A-CF05CA0B6CFE}" destId="{7FB1D327-38A0-4849-9B9B-99BAD2A62F2D}" srcOrd="3" destOrd="0" presId="urn:microsoft.com/office/officeart/2005/8/layout/vList3"/>
    <dgm:cxn modelId="{83B1D459-276B-4337-9DF0-209B03E6EDE9}" type="presParOf" srcId="{94FAFB56-2D98-475F-932A-CF05CA0B6CFE}" destId="{10BD823D-6EA5-44CE-B3DC-51132B6D5D9C}" srcOrd="4" destOrd="0" presId="urn:microsoft.com/office/officeart/2005/8/layout/vList3"/>
    <dgm:cxn modelId="{5F7AC342-EB29-4032-BD55-5896548F5042}" type="presParOf" srcId="{10BD823D-6EA5-44CE-B3DC-51132B6D5D9C}" destId="{BCBBE743-56AA-4876-B316-B0CD7ADD2C2C}" srcOrd="0" destOrd="0" presId="urn:microsoft.com/office/officeart/2005/8/layout/vList3"/>
    <dgm:cxn modelId="{5FD27E3E-5125-454D-B92C-75D34D1BCAC2}" type="presParOf" srcId="{10BD823D-6EA5-44CE-B3DC-51132B6D5D9C}" destId="{4E21145F-B597-432B-BCD8-9C7A3BDC1246}" srcOrd="1" destOrd="0" presId="urn:microsoft.com/office/officeart/2005/8/layout/vList3"/>
    <dgm:cxn modelId="{2F912084-26FD-48F9-B51A-C63B5BEE6754}" type="presParOf" srcId="{94FAFB56-2D98-475F-932A-CF05CA0B6CFE}" destId="{9C7F8A80-9208-4F07-9AE3-3CEEE2D275E5}" srcOrd="5" destOrd="0" presId="urn:microsoft.com/office/officeart/2005/8/layout/vList3"/>
    <dgm:cxn modelId="{A545B4B7-B2C8-4043-9013-2EEE69E528D1}" type="presParOf" srcId="{94FAFB56-2D98-475F-932A-CF05CA0B6CFE}" destId="{42BF10A4-B893-4644-9C3E-CD67C229082C}" srcOrd="6" destOrd="0" presId="urn:microsoft.com/office/officeart/2005/8/layout/vList3"/>
    <dgm:cxn modelId="{F0D28837-8802-4E95-B6BC-1664E404296B}" type="presParOf" srcId="{42BF10A4-B893-4644-9C3E-CD67C229082C}" destId="{13080F17-5A0F-4E92-8202-37CB5F55D182}" srcOrd="0" destOrd="0" presId="urn:microsoft.com/office/officeart/2005/8/layout/vList3"/>
    <dgm:cxn modelId="{548765C6-48A1-4D6D-BF08-9A9B35EB8114}" type="presParOf" srcId="{42BF10A4-B893-4644-9C3E-CD67C229082C}" destId="{03A06021-DC17-4A74-B209-A86829DA975E}"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9166D017-3EF5-4789-A4D8-424FCF38E7F7}"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846DB4ED-3845-4F1A-8C37-70798309E5D4}" type="presOf" srcId="{5855FA8D-8066-4520-AB32-390F7CF7D9DD}" destId="{988BD94A-943F-4052-AF4C-3678983469B2}" srcOrd="0" destOrd="0" presId="urn:microsoft.com/office/officeart/2005/8/layout/vList3"/>
    <dgm:cxn modelId="{83E52D01-AF82-4F0B-B676-45CCB867C42F}" type="presParOf" srcId="{94FAFB56-2D98-475F-932A-CF05CA0B6CFE}" destId="{C8FB29CA-90F2-4C2E-A38E-2265A11F13D7}" srcOrd="0" destOrd="0" presId="urn:microsoft.com/office/officeart/2005/8/layout/vList3"/>
    <dgm:cxn modelId="{592FD446-0254-497A-B1F8-28BFF0D6B5A5}" type="presParOf" srcId="{C8FB29CA-90F2-4C2E-A38E-2265A11F13D7}" destId="{158D431C-61C2-43F7-9C47-1867700A9AC6}" srcOrd="0" destOrd="0" presId="urn:microsoft.com/office/officeart/2005/8/layout/vList3"/>
    <dgm:cxn modelId="{BA475E14-B56B-456C-BD82-DD4D88E731C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286460" y="456"/>
          <a:ext cx="4584217" cy="52715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232462" tIns="49530" rIns="92456" bIns="49530" numCol="1" spcCol="1270" anchor="ctr" anchorCtr="0">
          <a:noAutofit/>
        </a:bodyPr>
        <a:lstStyle/>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Reg No: [to be entered]</a:t>
          </a:r>
        </a:p>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Name: [to be entered]</a:t>
          </a:r>
        </a:p>
      </dsp:txBody>
      <dsp:txXfrm rot="10800000">
        <a:off x="1418249" y="456"/>
        <a:ext cx="4452428" cy="527157"/>
      </dsp:txXfrm>
    </dsp:sp>
    <dsp:sp modelId="{158D431C-61C2-43F7-9C47-1867700A9AC6}">
      <dsp:nvSpPr>
        <dsp:cNvPr id="0" name=""/>
        <dsp:cNvSpPr/>
      </dsp:nvSpPr>
      <dsp:spPr>
        <a:xfrm>
          <a:off x="1022882" y="456"/>
          <a:ext cx="527157" cy="527157"/>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 modelId="{F5156CE0-AE06-4F28-BD37-3BEE7D01012A}">
      <dsp:nvSpPr>
        <dsp:cNvPr id="0" name=""/>
        <dsp:cNvSpPr/>
      </dsp:nvSpPr>
      <dsp:spPr>
        <a:xfrm rot="10800000">
          <a:off x="1286460" y="672869"/>
          <a:ext cx="4584217" cy="52715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232462" tIns="49530" rIns="92456" bIns="49530" numCol="1" spcCol="1270" anchor="ctr" anchorCtr="0">
          <a:noAutofit/>
        </a:bodyPr>
        <a:lstStyle/>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Reg No: [to be entered]</a:t>
          </a:r>
        </a:p>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Name: [to be entered]</a:t>
          </a:r>
        </a:p>
      </dsp:txBody>
      <dsp:txXfrm rot="10800000">
        <a:off x="1418249" y="672869"/>
        <a:ext cx="4452428" cy="527157"/>
      </dsp:txXfrm>
    </dsp:sp>
    <dsp:sp modelId="{B5175C8B-877C-4F88-A2E3-F88FF2FD35F6}">
      <dsp:nvSpPr>
        <dsp:cNvPr id="0" name=""/>
        <dsp:cNvSpPr/>
      </dsp:nvSpPr>
      <dsp:spPr>
        <a:xfrm>
          <a:off x="1022882" y="672869"/>
          <a:ext cx="527157" cy="527157"/>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 modelId="{4E21145F-B597-432B-BCD8-9C7A3BDC1246}">
      <dsp:nvSpPr>
        <dsp:cNvPr id="0" name=""/>
        <dsp:cNvSpPr/>
      </dsp:nvSpPr>
      <dsp:spPr>
        <a:xfrm rot="10800000">
          <a:off x="1286460" y="1345281"/>
          <a:ext cx="4584217" cy="52715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232462" tIns="49530" rIns="92456" bIns="49530" numCol="1" spcCol="1270" anchor="ctr" anchorCtr="0">
          <a:noAutofit/>
        </a:bodyPr>
        <a:lstStyle/>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Reg No: [to be entered]</a:t>
          </a:r>
        </a:p>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Name: [to be entered]</a:t>
          </a:r>
        </a:p>
      </dsp:txBody>
      <dsp:txXfrm rot="10800000">
        <a:off x="1418249" y="1345281"/>
        <a:ext cx="4452428" cy="527157"/>
      </dsp:txXfrm>
    </dsp:sp>
    <dsp:sp modelId="{BCBBE743-56AA-4876-B316-B0CD7ADD2C2C}">
      <dsp:nvSpPr>
        <dsp:cNvPr id="0" name=""/>
        <dsp:cNvSpPr/>
      </dsp:nvSpPr>
      <dsp:spPr>
        <a:xfrm>
          <a:off x="1022882" y="1345281"/>
          <a:ext cx="527157" cy="527157"/>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 modelId="{03A06021-DC17-4A74-B209-A86829DA975E}">
      <dsp:nvSpPr>
        <dsp:cNvPr id="0" name=""/>
        <dsp:cNvSpPr/>
      </dsp:nvSpPr>
      <dsp:spPr>
        <a:xfrm rot="10800000">
          <a:off x="1286460" y="2017694"/>
          <a:ext cx="4584217" cy="52715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232462" tIns="49530" rIns="92456" bIns="49530" numCol="1" spcCol="1270" anchor="ctr" anchorCtr="0">
          <a:noAutofit/>
        </a:bodyPr>
        <a:lstStyle/>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Reg No: [to be entered]</a:t>
          </a:r>
        </a:p>
        <a:p>
          <a:pPr lvl="0" algn="ctr" defTabSz="577850">
            <a:lnSpc>
              <a:spcPct val="90000"/>
            </a:lnSpc>
            <a:spcBef>
              <a:spcPct val="0"/>
            </a:spcBef>
            <a:spcAft>
              <a:spcPct val="35000"/>
            </a:spcAft>
          </a:pPr>
          <a:r>
            <a:rPr lang="en-IN" sz="1300" kern="1200">
              <a:latin typeface="Times New Roman" panose="02020603050405020304" pitchFamily="18" charset="0"/>
              <a:cs typeface="Times New Roman" panose="02020603050405020304" pitchFamily="18" charset="0"/>
            </a:rPr>
            <a:t>Name: [to be entered]</a:t>
          </a:r>
        </a:p>
      </dsp:txBody>
      <dsp:txXfrm rot="10800000">
        <a:off x="1418249" y="2017694"/>
        <a:ext cx="4452428" cy="527157"/>
      </dsp:txXfrm>
    </dsp:sp>
    <dsp:sp modelId="{13080F17-5A0F-4E92-8202-37CB5F55D182}">
      <dsp:nvSpPr>
        <dsp:cNvPr id="0" name=""/>
        <dsp:cNvSpPr/>
      </dsp:nvSpPr>
      <dsp:spPr>
        <a:xfrm>
          <a:off x="1022882" y="2017694"/>
          <a:ext cx="527157" cy="527157"/>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6311C-0713-4BA7-BF86-FC70DAE6D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39</Pages>
  <Words>20792</Words>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Self-Adaptive Big Data Programming Using Reinforcement Learning and Spark</dc:title>
  <dc:subject/>
  <dc:creator/>
  <cp:keywords>Adaptive Analytics; Apache Spark; Autonomous Computing; Big Data Programming; Configuration Auto-Tuning; DataOps; Intelligent Resource Allocation; Q-Learning; Reinforcement Learning; Self-Tuning Systems</cp:keywords>
  <dc:description/>
  <cp:lastModifiedBy/>
  <cp:revision>1</cp:revision>
  <dcterms:created xsi:type="dcterms:W3CDTF">2026-10-03T08:08:24Z</dcterms:created>
  <dcterms:modified xsi:type="dcterms:W3CDTF">2026-10-03T08:08:24Z</dcterms:modified>
</cp:coreProperties>
</file>