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Self-Adaptive Big Data Programming Using Reinforcement Learning and Spark — Case Study Report</w:t>
      </w:r>
    </w:p>
    <w:p>
      <w:pPr>
        <w:pStyle w:val="Heading1"/>
      </w:pPr>
      <w:r>
        <w:t>Executive Summary and Abstract</w:t>
      </w:r>
    </w:p>
    <w:p>
      <w:r>
        <w:t>Big-data programming on Apache Spark remains dominated by static decisions: a workload is submitted under a default or hand-tuned configuration, and that configuration stays fixed while data volumes, skew profiles, and operator mixes change underneath it. With on the order of two hundred exposed parameters, manual tuning is expert labour that goes stale as workloads drift, while built-in adaptivity (Adaptive Query Execution) covers only a subset of runtime decisions. The result is a persistent gap between the performance a cluster could deliver and the performance it does deliver — paid for in longer job times, wasted executor capacity, and repeated tuning effort.</w:t>
      </w:r>
    </w:p>
    <w:p>
      <w:r>
        <w:t>This report presents **AdaSpark**, a self-adaptive big-data programming framework that closes the loop around Spark execution with reinforcement learning. An RL agent observes a compact workload-context and runtime-feedback state, selects a discrete execution configuration (shuffle partitions × execution parallelism) before each run, and learns from the measured outcome under a strictly bounded training budget (≤500 executions). The design follows the Monitor–Analyze–Plan–Execute–Knowledge (MAPE-K) pattern: a monitoring layer instruments every run, the RL optimization layer plans configuration decisions, and a governance layer constrains what the agent is ever allowed to submit — including a hard rule that failed configurations are never rewarded.</w:t>
      </w:r>
    </w:p>
    <w:p>
      <w:r>
        <w:t>The framework was evaluated on a frozen single-node backend (PySpark 3.5.9, Java 17, Windows 11) across five parameterized workload families (aggregation, join, RDD sort/filter, skew join, mixed pipeline) at three data scales, plus a monitoring-overhead study of 4,842 Spark runs. Key findings, reported exactly as measured: (i) configuration choice moves median execution time by ≥10% on all four tested families, confirming the decision problem is real; (ii) training consumed 483 of the 500 budgeted executions with zero failed submitted configurations; (iii) the learned policies are competitive with equal-budget random search but did not beat a well-chosen static tuning, and cross-seed policy agreement failed (0.20 vs 0.70 threshold) — so three replicate policies were evaluated as separate arms rather than promoting a single winner; (iv) monitoring overhead (1 Hz system sampler, Spark event log) sits below the 5% budget on six of seven tested cells by 95% interval adjudication; and (v) a pre-registered prediction that confidence-interval width shrinks as 1/√n failed on all seven cells because repetitions are serially correlated (lag-1 autocorrelation +0.58…+0.89), a negative result with direct practical cost — roughly 3,000 of the 4,842 runs were unnecessary.</w:t>
      </w:r>
    </w:p>
    <w:p>
      <w:r>
        <w:t>Organizationally, AdaSpark converts tuning from recurring expert labour into a governed, auditable control loop: every decision is traceable to a policy checkpoint, every measurement carries provenance, and every limitation — including the failed agreement gate and the unevaluated AQE-on condition — is recorded in an explicit decision log rather than silently dropped. The report closes with industry mappings, a cost–benefit framing, and a future agenda (multi-agent RL, federated optimization, LLM-assisted tuning) grounded in what the evidence actually supports.</w:t>
      </w:r>
    </w:p>
    <w:p>
      <w:pPr>
        <w:pStyle w:val="Heading2"/>
      </w:pPr>
      <w:r>
        <w:t>Table 1: Executive Summary of Contributions and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Contribution</w:t>
            </w:r>
          </w:p>
        </w:tc>
        <w:tc>
          <w:tcPr>
            <w:tcW w:type="dxa" w:w="2880"/>
          </w:tcPr>
          <w:p>
            <w:r>
              <w:t>Outcome (measured)</w:t>
            </w:r>
          </w:p>
        </w:tc>
      </w:tr>
      <w:tr>
        <w:tc>
          <w:tcPr>
            <w:tcW w:type="dxa" w:w="2880"/>
          </w:tcPr>
          <w:p>
            <w:r>
              <w:t>C1</w:t>
            </w:r>
          </w:p>
        </w:tc>
        <w:tc>
          <w:tcPr>
            <w:tcW w:type="dxa" w:w="2880"/>
          </w:tcPr>
          <w:p>
            <w:r>
              <w:t>RL-driven self-adaptive Spark configuration loop (MAPE-K)</w:t>
            </w:r>
          </w:p>
        </w:tc>
        <w:tc>
          <w:tcPr>
            <w:tcW w:type="dxa" w:w="2880"/>
          </w:tcPr>
          <w:p>
            <w:r>
              <w:t>Implemented; 12-action space; tabular Q-learning + Q0 offline init</w:t>
            </w:r>
          </w:p>
        </w:tc>
      </w:tr>
      <w:tr>
        <w:tc>
          <w:tcPr>
            <w:tcW w:type="dxa" w:w="2880"/>
          </w:tcPr>
          <w:p>
            <w:r>
              <w:t>C2</w:t>
            </w:r>
          </w:p>
        </w:tc>
        <w:tc>
          <w:tcPr>
            <w:tcW w:type="dxa" w:w="2880"/>
          </w:tcPr>
          <w:p>
            <w:r>
              <w:t>Bounded-budget learning (≤500 executions)</w:t>
            </w:r>
          </w:p>
        </w:tc>
        <w:tc>
          <w:tcPr>
            <w:tcW w:type="dxa" w:w="2880"/>
          </w:tcPr>
          <w:p>
            <w:r>
              <w:t>483 spent, 17 remaining; 0 failed submitted configs</w:t>
            </w:r>
          </w:p>
        </w:tc>
      </w:tr>
      <w:tr>
        <w:tc>
          <w:tcPr>
            <w:tcW w:type="dxa" w:w="2880"/>
          </w:tcPr>
          <w:p>
            <w:r>
              <w:t>C3</w:t>
            </w:r>
          </w:p>
        </w:tc>
        <w:tc>
          <w:tcPr>
            <w:tcW w:type="dxa" w:w="2880"/>
          </w:tcPr>
          <w:p>
            <w:r>
              <w:t>Sensitivity feasibility gate (EXP-002)</w:t>
            </w:r>
          </w:p>
        </w:tc>
        <w:tc>
          <w:tcPr>
            <w:tcW w:type="dxa" w:w="2880"/>
          </w:tcPr>
          <w:p>
            <w:r>
              <w:t>PASS — ≥10% spread on 4/4 families</w:t>
            </w:r>
          </w:p>
        </w:tc>
      </w:tr>
      <w:tr>
        <w:tc>
          <w:tcPr>
            <w:tcW w:type="dxa" w:w="2880"/>
          </w:tcPr>
          <w:p>
            <w:r>
              <w:t>C4</w:t>
            </w:r>
          </w:p>
        </w:tc>
        <w:tc>
          <w:tcPr>
            <w:tcW w:type="dxa" w:w="2880"/>
          </w:tcPr>
          <w:p>
            <w:r>
              <w:t>Main comparison vs 7 baselines incl. random search (EXP-005)</w:t>
            </w:r>
          </w:p>
        </w:tc>
        <w:tc>
          <w:tcPr>
            <w:tcW w:type="dxa" w:w="2880"/>
          </w:tcPr>
          <w:p>
            <w:r>
              <w:t>245/245 runs; RL ≈ random search; static tuning best — H2/H3 UNDECIDED</w:t>
            </w:r>
          </w:p>
        </w:tc>
      </w:tr>
      <w:tr>
        <w:tc>
          <w:tcPr>
            <w:tcW w:type="dxa" w:w="2880"/>
          </w:tcPr>
          <w:p>
            <w:r>
              <w:t>C5</w:t>
            </w:r>
          </w:p>
        </w:tc>
        <w:tc>
          <w:tcPr>
            <w:tcW w:type="dxa" w:w="2880"/>
          </w:tcPr>
          <w:p>
            <w:r>
              <w:t>Generalization study (EXP-006)</w:t>
            </w:r>
          </w:p>
        </w:tc>
        <w:tc>
          <w:tcPr>
            <w:tcW w:type="dxa" w:w="2880"/>
          </w:tcPr>
          <w:p>
            <w:r>
              <w:t>Partial (high failure on unseen cells); SC5 not evaluable</w:t>
            </w:r>
          </w:p>
        </w:tc>
      </w:tr>
      <w:tr>
        <w:tc>
          <w:tcPr>
            <w:tcW w:type="dxa" w:w="2880"/>
          </w:tcPr>
          <w:p>
            <w:r>
              <w:t>C6</w:t>
            </w:r>
          </w:p>
        </w:tc>
        <w:tc>
          <w:tcPr>
            <w:tcW w:type="dxa" w:w="2880"/>
          </w:tcPr>
          <w:p>
            <w:r>
              <w:t>Monitoring-overhead measurement (EXP-009)</w:t>
            </w:r>
          </w:p>
        </w:tc>
        <w:tc>
          <w:tcPr>
            <w:tcW w:type="dxa" w:w="2880"/>
          </w:tcPr>
          <w:p>
            <w:r>
              <w:t>6/7 cells PASS vs 5% budget (interval-adjudicated)</w:t>
            </w:r>
          </w:p>
        </w:tc>
      </w:tr>
      <w:tr>
        <w:tc>
          <w:tcPr>
            <w:tcW w:type="dxa" w:w="2880"/>
          </w:tcPr>
          <w:p>
            <w:r>
              <w:t>C7</w:t>
            </w:r>
          </w:p>
        </w:tc>
        <w:tc>
          <w:tcPr>
            <w:tcW w:type="dxa" w:w="2880"/>
          </w:tcPr>
          <w:p>
            <w:r>
              <w:t>Pre-registered √n falsification (4,842 runs)</w:t>
            </w:r>
          </w:p>
        </w:tc>
        <w:tc>
          <w:tcPr>
            <w:tcW w:type="dxa" w:w="2880"/>
          </w:tcPr>
          <w:p>
            <w:r>
              <w:t>Failed 7/7 — serial dependence measured, cost quantified</w:t>
            </w:r>
          </w:p>
        </w:tc>
      </w:tr>
      <w:tr>
        <w:tc>
          <w:tcPr>
            <w:tcW w:type="dxa" w:w="2880"/>
          </w:tcPr>
          <w:p>
            <w:r>
              <w:t>C8</w:t>
            </w:r>
          </w:p>
        </w:tc>
        <w:tc>
          <w:tcPr>
            <w:tcW w:type="dxa" w:w="2880"/>
          </w:tcPr>
          <w:p>
            <w:r>
              <w:t>Governance: decision log, provenance, sealed test discipline</w:t>
            </w:r>
          </w:p>
        </w:tc>
        <w:tc>
          <w:tcPr>
            <w:tcW w:type="dxa" w:w="2880"/>
          </w:tcPr>
          <w:p>
            <w:r>
              <w:t>46 decisions; immutable manifests; reproducible artifact</w:t>
            </w:r>
          </w:p>
        </w:tc>
      </w:tr>
    </w:tbl>
    <w:p/>
    <w:p>
      <w:pPr>
        <w:pStyle w:val="Heading1"/>
      </w:pPr>
      <w:r>
        <w:t>Keywords</w:t>
      </w:r>
    </w:p>
    <w:p>
      <w:r>
        <w:t>Reinforcement Learning, Apache Spark, Big Data Programming, Adaptive Analytics, Intelligent Resource Allocation, Self-Tuning Systems, DataOps, Autonomous Computing</w:t>
      </w:r>
    </w:p>
    <w:p>
      <w:pPr>
        <w:pStyle w:val="Heading1"/>
      </w:pPr>
      <w:r>
        <w:t>1. Introduction</w:t>
      </w:r>
    </w:p>
    <w:p>
      <w:r>
        <w:t>Big-data analytics has evolved from hand-written MapReduce jobs over batch windows to declarative, interactive, and streaming computation on unified engines. Apache Spark became the de-facto standard for this evolution by combining in-memory execution, a rich SQL and DataFrame API, and a growing set of runtime adaptations, most notably Adaptive Query Execution (AQE), which adjusts shuffle partitions and join strategies at runtime [1][2]. Each step in this evolution (Figure 1) removed one class of manual effort — yet one class remains stubbornly manual: choosing the execution configuration under which a job runs.</w:t>
      </w:r>
    </w:p>
    <w:p>
      <w:r>
        <w:t>A Spark application exposes on the order of two hundred configuration parameters, from `spark.sql.shuffle.partitions` to executor memory, serialization, and spill thresholds. Defaults are compromise values; optimal values depend on workload composition (joins vs aggregations vs sorts), data scale, and skew — all of which drift over a workload's lifetime. In practice, organizations respond with static tuning: an expert studies a workload, fixes a configuration, and moves on until performance visibly degrades. Rule-based heuristics (e.g., scaling partitions with input size) improve on defaults but encode assumptions that break silently, as this project's own heuristic did — collapsing byte-identically onto the static tuning at the studied data volumes. The structural problem is that configuration selection is an open loop: nothing observes the outcome and feeds it back into the next decision.</w:t>
      </w:r>
    </w:p>
    <w:p>
      <w:r>
        <w:t>Reinforcement learning offers a principled way to close that loop. An RL agent learns a policy mapping observed state to configuration actions, optimized against measured reward, improving with experience rather than degrading with drift. Unlike offline Bayesian-optimization tuners that emit one static configuration, an online RL loop keeps adapting; unlike deep-RL proposals that demand thousands of training executions and cluster-scale resources, a tabular agent with offline initialization can operate inside a few hundred executions — a budget a single team can afford. This report's central proposition is therefore narrow and testable rather than visionary: that Spark execution-configuration selection can be made self-adaptive with sample-efficient RL inside a practical budget, and that the benefit — if any — can be measured against appropriate baselines with statistical validity.</w:t>
      </w:r>
    </w:p>
    <w:p>
      <w:r>
        <w:t>AdaSpark realizes this proposition as a layered self-adaptive analytics ecosystem (Figure 2). Workloads execute on a standard Spark deployment; a monitoring layer instruments every run (system metrics plus Spark event logs); the RL optimization layer maps workload context and runtime feedback to configuration decisions; resource-scheduling and self-tuning layers enact those decisions within governed bounds; and explainability and governance layers keep every decision traceable. The MAPE-K loop (Monitor–Analyze–Plan–Execute–Knowledge) is not a decorative reference here but the implemented control structure: each phase corresponds to named components with frozen contracts.</w:t>
      </w:r>
    </w:p>
    <w:p>
      <w:r>
        <w:t>The remainder of this report is organized as follows. Section 2 formalizes the problem and research gaps; Section 3 surveys the literature; Section 4 derives system requirements; Sections 5–12 present the architecture layer by layer, with the RL-driven design (Section 5) as the core figure; Sections 13–14 describe the experimental setup and metrics; Sections 15–17 report results, comparative analysis, and trustworthiness assessment — including negative findings; Section 18 maps the framework to industry use cases; Section 19 assesses business impact; Section 20 discusses challenges and limitations honestly; Section 21 charts future research; and Section 22 concludes. All measured claims trace to committed project artifacts; prospective material is labelled as such.</w:t>
      </w:r>
    </w:p>
    <w:p>
      <w:r>
        <w:t>Two properties of this report deserve notice up front because they shape everything that follows. First, negative results are first-class content: the failed policy-agreement gate, the undecided main hypotheses, the falsified repetition model, and the unexecuted AQE condition each receive the same evidentiary treatment as the positive findings — with numbers, mechanisms, and consequences. Second, governance is presented as engineering rather than administration: budget guards, test seals, and decision logs are code and artifact properties with test suites, reported alongside the learning results because they are what make the learning results believable. Readers primarily interested in the framework can focus on Sections 5–12; readers primarily interested in what was actually measured can read Sections 15–17 standalone.</w:t>
      </w:r>
    </w:p>
    <w:p>
      <w:r>
        <w:drawing>
          <wp:inline xmlns:a="http://schemas.openxmlformats.org/drawingml/2006/main" xmlns:pic="http://schemas.openxmlformats.org/drawingml/2006/picture">
            <wp:extent cx="5486400" cy="1838002"/>
            <wp:docPr id="1" name="Picture 1"/>
            <wp:cNvGraphicFramePr>
              <a:graphicFrameLocks noChangeAspect="1"/>
            </wp:cNvGraphicFramePr>
            <a:graphic>
              <a:graphicData uri="http://schemas.openxmlformats.org/drawingml/2006/picture">
                <pic:pic>
                  <pic:nvPicPr>
                    <pic:cNvPr id="0" name="Fig 01 Evolution of Big Data Programming Frameworks.png"/>
                    <pic:cNvPicPr/>
                  </pic:nvPicPr>
                  <pic:blipFill>
                    <a:blip r:embed="rId9"/>
                    <a:stretch>
                      <a:fillRect/>
                    </a:stretch>
                  </pic:blipFill>
                  <pic:spPr>
                    <a:xfrm>
                      <a:off x="0" y="0"/>
                      <a:ext cx="5486400" cy="1838002"/>
                    </a:xfrm>
                    <a:prstGeom prst="rect"/>
                  </pic:spPr>
                </pic:pic>
              </a:graphicData>
            </a:graphic>
          </wp:inline>
        </w:drawing>
      </w:r>
    </w:p>
    <w:p/>
    <w:p>
      <w:r>
        <w:drawing>
          <wp:inline xmlns:a="http://schemas.openxmlformats.org/drawingml/2006/main" xmlns:pic="http://schemas.openxmlformats.org/drawingml/2006/picture">
            <wp:extent cx="5486400" cy="3060651"/>
            <wp:docPr id="2" name="Picture 2"/>
            <wp:cNvGraphicFramePr>
              <a:graphicFrameLocks noChangeAspect="1"/>
            </wp:cNvGraphicFramePr>
            <a:graphic>
              <a:graphicData uri="http://schemas.openxmlformats.org/drawingml/2006/picture">
                <pic:pic>
                  <pic:nvPicPr>
                    <pic:cNvPr id="0" name="Fig 02 Self-Adaptive Analytics Ecosystem.png"/>
                    <pic:cNvPicPr/>
                  </pic:nvPicPr>
                  <pic:blipFill>
                    <a:blip r:embed="rId10"/>
                    <a:stretch>
                      <a:fillRect/>
                    </a:stretch>
                  </pic:blipFill>
                  <pic:spPr>
                    <a:xfrm>
                      <a:off x="0" y="0"/>
                      <a:ext cx="5486400" cy="3060651"/>
                    </a:xfrm>
                    <a:prstGeom prst="rect"/>
                  </pic:spPr>
                </pic:pic>
              </a:graphicData>
            </a:graphic>
          </wp:inline>
        </w:drawing>
      </w:r>
    </w:p>
    <w:p/>
    <w:p>
      <w:pPr>
        <w:pStyle w:val="Heading1"/>
      </w:pPr>
      <w:r>
        <w:t>2. Problem Statement</w:t>
      </w:r>
    </w:p>
    <w:p>
      <w:r>
        <w:t>Spark workloads are executed under a fixed configuration — a default or a statically tuned one — even though the best configuration depends on conditions that change: operator mix (joins vs aggregations vs sorts), data scale, and skew [1]. Manual tuning does not generalize across workloads and does not respond to drift, and it consumes expert labour each time performance visibly degrades. This is the problem AdaSpark addresses: static configuration selection leaves performance on the table and adaptation to the engineer.</w:t>
      </w:r>
    </w:p>
    <w:p>
      <w:r>
        <w:t>Five concrete challenges define the problem landscape (Figure 3). **Workload variability**: the same pipeline exhibits different bottlenecks as data grows or skew shifts, so no single configuration stays optimal. **Resource utilization**: executors sit idle during skewed stages while others spill, wasting capacity that a better configuration would reclaim. **Scheduling inefficiencies**: partition counts and parallelism levels chosen once interact poorly with stage boundaries discovered only at runtime. **Dynamic cluster environments**: shared hosts, thermal effects, and background load move runtimes by tens of percent between sessions — our own measurements show ~22% session-to-session level shifts and contention episodes reaching 75% dispersion within one series. **Performance bottlenecks**: shuffle-heavy stages amplify every one of the above, making configuration choice load-bearing rather than cosmetic.</w:t>
      </w:r>
    </w:p>
    <w:p>
      <w:r>
        <w:t>The feasibility of treating this as a learning problem was established empirically: varying only shuffle partitions {16, 32, 64, 128} × parallelism {local-2, local-4, local-8} moves median execution time by ≥10% on all four tested workload families (EXP-002 gate, PASS). A decision problem with no measurable effect would not be worth learning; this one clears the bar on every family.</w:t>
      </w:r>
    </w:p>
    <w:p>
      <w:pPr>
        <w:pStyle w:val="Heading2"/>
      </w:pPr>
      <w:r>
        <w:t>Table 2: Problem Definition and Research Gaps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Problem element</w:t>
            </w:r>
          </w:p>
        </w:tc>
        <w:tc>
          <w:tcPr>
            <w:tcW w:type="dxa" w:w="2880"/>
          </w:tcPr>
          <w:p>
            <w:r>
              <w:t>Status in this project</w:t>
            </w:r>
          </w:p>
        </w:tc>
      </w:tr>
      <w:tr>
        <w:tc>
          <w:tcPr>
            <w:tcW w:type="dxa" w:w="2880"/>
          </w:tcPr>
          <w:p>
            <w:r>
              <w:t>P1</w:t>
            </w:r>
          </w:p>
        </w:tc>
        <w:tc>
          <w:tcPr>
            <w:tcW w:type="dxa" w:w="2880"/>
          </w:tcPr>
          <w:p>
            <w:r>
              <w:t>Static/default configs ignore workload + drift</w:t>
            </w:r>
          </w:p>
        </w:tc>
        <w:tc>
          <w:tcPr>
            <w:tcW w:type="dxa" w:w="2880"/>
          </w:tcPr>
          <w:p>
            <w:r>
              <w:t>Confirmed; motivates RL loop (RQ0 gate PASS 4/4)</w:t>
            </w:r>
          </w:p>
        </w:tc>
      </w:tr>
      <w:tr>
        <w:tc>
          <w:tcPr>
            <w:tcW w:type="dxa" w:w="2880"/>
          </w:tcPr>
          <w:p>
            <w:r>
              <w:t>P2</w:t>
            </w:r>
          </w:p>
        </w:tc>
        <w:tc>
          <w:tcPr>
            <w:tcW w:type="dxa" w:w="2880"/>
          </w:tcPr>
          <w:p>
            <w:r>
              <w:t>Rule heuristics break silently</w:t>
            </w:r>
          </w:p>
        </w:tc>
        <w:tc>
          <w:tcPr>
            <w:tcW w:type="dxa" w:w="2880"/>
          </w:tcPr>
          <w:p>
            <w:r>
              <w:t>Observed: B3 ≡ B1 byte-identical at studied volumes (analytic only)</w:t>
            </w:r>
          </w:p>
        </w:tc>
      </w:tr>
      <w:tr>
        <w:tc>
          <w:tcPr>
            <w:tcW w:type="dxa" w:w="2880"/>
          </w:tcPr>
          <w:p>
            <w:r>
              <w:t>P3</w:t>
            </w:r>
          </w:p>
        </w:tc>
        <w:tc>
          <w:tcPr>
            <w:tcW w:type="dxa" w:w="2880"/>
          </w:tcPr>
          <w:p>
            <w:r>
              <w:t>Learned policies must beat strong baselines</w:t>
            </w:r>
          </w:p>
        </w:tc>
        <w:tc>
          <w:tcPr>
            <w:tcW w:type="dxa" w:w="2880"/>
          </w:tcPr>
          <w:p>
            <w:r>
              <w:t>Open: H2/H3 UNDECIDED (RL ≈ random search; static best)</w:t>
            </w:r>
          </w:p>
        </w:tc>
      </w:tr>
      <w:tr>
        <w:tc>
          <w:tcPr>
            <w:tcW w:type="dxa" w:w="2880"/>
          </w:tcPr>
          <w:p>
            <w:r>
              <w:t>P4</w:t>
            </w:r>
          </w:p>
        </w:tc>
        <w:tc>
          <w:tcPr>
            <w:tcW w:type="dxa" w:w="2880"/>
          </w:tcPr>
          <w:p>
            <w:r>
              <w:t>Policies must generalize (scale, skew, new data)</w:t>
            </w:r>
          </w:p>
        </w:tc>
        <w:tc>
          <w:tcPr>
            <w:tcW w:type="dxa" w:w="2880"/>
          </w:tcPr>
          <w:p>
            <w:r>
              <w:t>Partial: unseen-cell failures high; SC5 not evaluable</w:t>
            </w:r>
          </w:p>
        </w:tc>
      </w:tr>
      <w:tr>
        <w:tc>
          <w:tcPr>
            <w:tcW w:type="dxa" w:w="2880"/>
          </w:tcPr>
          <w:p>
            <w:r>
              <w:t>P5</w:t>
            </w:r>
          </w:p>
        </w:tc>
        <w:tc>
          <w:tcPr>
            <w:tcW w:type="dxa" w:w="2880"/>
          </w:tcPr>
          <w:p>
            <w:r>
              <w:t>Learning must fit a practical budget</w:t>
            </w:r>
          </w:p>
        </w:tc>
        <w:tc>
          <w:tcPr>
            <w:tcW w:type="dxa" w:w="2880"/>
          </w:tcPr>
          <w:p>
            <w:r>
              <w:t>Met: 483/500 executions; 0 failed submitted configs</w:t>
            </w:r>
          </w:p>
        </w:tc>
      </w:tr>
      <w:tr>
        <w:tc>
          <w:tcPr>
            <w:tcW w:type="dxa" w:w="2880"/>
          </w:tcPr>
          <w:p>
            <w:r>
              <w:t>P6</w:t>
            </w:r>
          </w:p>
        </w:tc>
        <w:tc>
          <w:tcPr>
            <w:tcW w:type="dxa" w:w="2880"/>
          </w:tcPr>
          <w:p>
            <w:r>
              <w:t>Monitoring must be cheap enough to leave on</w:t>
            </w:r>
          </w:p>
        </w:tc>
        <w:tc>
          <w:tcPr>
            <w:tcW w:type="dxa" w:w="2880"/>
          </w:tcPr>
          <w:p>
            <w:r>
              <w:t>Met on 6/7 cells vs 5% budget (interval-adjudicated)</w:t>
            </w:r>
          </w:p>
        </w:tc>
      </w:tr>
      <w:tr>
        <w:tc>
          <w:tcPr>
            <w:tcW w:type="dxa" w:w="2880"/>
          </w:tcPr>
          <w:p>
            <w:r>
              <w:t>P7</w:t>
            </w:r>
          </w:p>
        </w:tc>
        <w:tc>
          <w:tcPr>
            <w:tcW w:type="dxa" w:w="2880"/>
          </w:tcPr>
          <w:p>
            <w:r>
              <w:t>Repetition statistics must handle dependence</w:t>
            </w:r>
          </w:p>
        </w:tc>
        <w:tc>
          <w:tcPr>
            <w:tcW w:type="dxa" w:w="2880"/>
          </w:tcPr>
          <w:p>
            <w:r>
              <w:t>Failed honestly: √n model falsified 7/7; block-CI widens 2 verdicts</w:t>
            </w:r>
          </w:p>
        </w:tc>
      </w:tr>
      <w:tr>
        <w:tc>
          <w:tcPr>
            <w:tcW w:type="dxa" w:w="2880"/>
          </w:tcPr>
          <w:p>
            <w:r>
              <w:t>P8</w:t>
            </w:r>
          </w:p>
        </w:tc>
        <w:tc>
          <w:tcPr>
            <w:tcW w:type="dxa" w:w="2880"/>
          </w:tcPr>
          <w:p>
            <w:r>
              <w:t>Interaction with built-in AQE</w:t>
            </w:r>
          </w:p>
        </w:tc>
        <w:tc>
          <w:tcPr>
            <w:tcW w:type="dxa" w:w="2880"/>
          </w:tcPr>
          <w:p>
            <w:r>
              <w:t>Unevaluated: EXP-005b scoped, not executed</w:t>
            </w:r>
          </w:p>
        </w:tc>
      </w:tr>
    </w:tbl>
    <w:p/>
    <w:p>
      <w:r>
        <w:drawing>
          <wp:inline xmlns:a="http://schemas.openxmlformats.org/drawingml/2006/main" xmlns:pic="http://schemas.openxmlformats.org/drawingml/2006/picture">
            <wp:extent cx="5486400" cy="1943819"/>
            <wp:docPr id="3" name="Picture 3"/>
            <wp:cNvGraphicFramePr>
              <a:graphicFrameLocks noChangeAspect="1"/>
            </wp:cNvGraphicFramePr>
            <a:graphic>
              <a:graphicData uri="http://schemas.openxmlformats.org/drawingml/2006/picture">
                <pic:pic>
                  <pic:nvPicPr>
                    <pic:cNvPr id="0" name="Fig 03 Big Data Programming Challenges Landscape.png"/>
                    <pic:cNvPicPr/>
                  </pic:nvPicPr>
                  <pic:blipFill>
                    <a:blip r:embed="rId11"/>
                    <a:stretch>
                      <a:fillRect/>
                    </a:stretch>
                  </pic:blipFill>
                  <pic:spPr>
                    <a:xfrm>
                      <a:off x="0" y="0"/>
                      <a:ext cx="5486400" cy="1943819"/>
                    </a:xfrm>
                    <a:prstGeom prst="rect"/>
                  </pic:spPr>
                </pic:pic>
              </a:graphicData>
            </a:graphic>
          </wp:inline>
        </w:drawing>
      </w:r>
    </w:p>
    <w:p/>
    <w:p>
      <w:pPr>
        <w:pStyle w:val="Heading1"/>
      </w:pPr>
      <w:r>
        <w:t>3. Background and Literature Review</w:t>
      </w:r>
    </w:p>
    <w:p>
      <w:pPr>
        <w:pStyle w:val="Heading2"/>
      </w:pPr>
      <w:r>
        <w:t>3.1 Apache Spark and its optimization surface</w:t>
      </w:r>
    </w:p>
    <w:p>
      <w:r>
        <w:t>Modern analytics descends from MapReduce, which made batch processing fault-tolerant but forced every job through disk [35][36]. Resilient Distributed Datasets removed that bottleneck with in-memory lineage-based recovery, establishing Spark as the unified engine for batch, SQL, streaming, and machine learning workloads [1]. Spark SQL then added declarative optimization through the Catalyst optimizer [2], and lakehouse storage (Delta Lake) brought transactions to cloud object stores [33]. Each layer reduced hand-tuning — except execution configuration, which remains an exposed, high-dimensional surface of roughly two hundred parameters.</w:t>
      </w:r>
    </w:p>
    <w:p>
      <w:r>
        <w:t>Static tuners attack this surface offline. Starfish pioneered self-tuning for MapReduce-era stacks by profiling jobs and searching configuration spaces automatically [6]. OtterTune transferred the idea to databases with Gaussian-process models over prior tuning sessions [7], and CDBTune/QTune brought deep-RL-flavoured tuning to database knobs [8][31]. For scheduling rather than configuration, Decima learns cluster scheduling policies with graph neural networks and RL [9]. Spark itself ships Adaptive Query Execution, which adjusts partitions and join strategies at runtime from observed statistics [34]. The residual gap AdaSpark targets is narrow: per-job execution-configuration selection (shuffle partitions × parallelism) by a sample-efficient online learner, complementing rather than replacing AQE.</w:t>
      </w:r>
    </w:p>
    <w:p>
      <w:pPr>
        <w:pStyle w:val="Heading2"/>
      </w:pPr>
      <w:r>
        <w:t>3.2 Reinforcement learning for systems decisions</w:t>
      </w:r>
    </w:p>
    <w:p>
      <w:r>
        <w:t>Reinforcement learning formalizes sequential decision-making as states, actions, and rewards optimized by a policy [3]. Tabular Q-learning converges under standard conditions for small discrete spaces [4], which matches a 12-action configuration grid exactly. Deep variants (DQN [38], policy gradients such as PPO [39], actor-critic methods such as DDPG [37]) handle large continuous spaces but demand thousands of training episodes and substantial compute — precisely the cost profile a practical tuning loop cannot afford. AdaSpark therefore uses tabular Q-learning with ε-greedy exploration as primary and a contextual bandit (γ = 0) as co-primary, deliberately trading representational power for sample efficiency inside a 500-execution budget. The autonomic-computing vision of self-managing systems [5] and its MAPE-K control pattern [32] provide the architectural frame: monitor, analyze, plan, and execute around a shared knowledge base.</w:t>
      </w:r>
    </w:p>
    <w:p>
      <w:pPr>
        <w:pStyle w:val="Heading2"/>
      </w:pPr>
      <w:r>
        <w:t>3.3 Rigorous performance measurement</w:t>
      </w:r>
    </w:p>
    <w:p>
      <w:r>
        <w:t>A tuning claim is only as credible as its measurement. Georges et al. established statistically rigorous Java performance evaluation with confidence intervals over repetitions [11]; Kalibera and Jones gave the definitive methodology for choosing repetition counts under independence assumptions [12]. The independence assumption is exactly what breaks in practice: Mytkowicz et al. showed how easily measurement bias produces wrong data without any obvious error [14] and how profiler inaccuracy compounds it [15][26]. Cloud and shared-host variability further widen the problem (predictability studies [20], microbenchmarking in the cloud [19], repeatability methods [17], duet benchmarking [18], reproducibility principles [24]), with big-data-specific evidence from networked-system studies [21][22] and analytics-framework analyses [23]. Warmup non-stationarity [13][25] and noisy-environment benchmarking practice [16] complete the picture: repetitions of the same job are serially dependent, regime-structured episodes — which is precisely what AdaSpark's own 4,842-run study measures (lag-1 autocorrelation +0.58…+0.89 across 21 series; contention episodes to 75% dispersion).</w:t>
      </w:r>
    </w:p>
    <w:p>
      <w:pPr>
        <w:pStyle w:val="Heading2"/>
      </w:pPr>
      <w:r>
        <w:t>3.4 Monitoring-overhead evidence</w:t>
      </w:r>
    </w:p>
    <w:p>
      <w:r>
        <w:t>Continuous monitoring is the sensor of any MAPE-K loop, so its cost must be quantified rather than assumed. Kieker provides the canonical application-monitoring framework reference [27]; recent ICPE work attacks minimal-overhead monitoring directly [28] and compares instrumentation-framework overheads head-to-head [29]; Google-wide continuous profiling demonstrates production feasibility at data-center scale [30]. Spark's own monitoring surface (metrics system, event logs, listener bus) is documented by the project [10]. Against this background, no peer-reviewed controlled study was found measuring sampling-based system monitoring plus event logging in Spark against a stated budget with interval adjudication — the specific measurement this project contributes. The search covered the venues above over 2020–2025; the claim is scoped to that search and stated so it can be checked.</w:t>
      </w:r>
    </w:p>
    <w:p>
      <w:r>
        <w:t>Two further threads complete the framing. DataOps and autonomous-analytics practice [32] supplies the operational vocabulary — versioned data, governed pipelines, continuous validation — that AdaSpark's manifest and decision-log discipline implements rather than merely citing. And the benchmarking-threats literature reads as a checklist this project was graded against: run-to-run variability and warmup effects [11][13][19][25], profiler and measurement bias [14][15][26], cloud variability and reproducibility practice [17][18][20][21][22][24], and analytics-specific performance analysis [23]. Each threat maps to a concrete control in Sections 6–12 (seeded determinism, per-record validity, sealed evaluation, frozen analysis code), so related work functions here as the audit standard the project holds itself to — the same standard that produced the negative findings reported in Section 15.</w:t>
      </w:r>
    </w:p>
    <w:p>
      <w:pPr>
        <w:pStyle w:val="Heading2"/>
      </w:pPr>
      <w:r>
        <w:t>Table 3: Comparative Review of Existing Optimization Approaches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Approach</w:t>
            </w:r>
          </w:p>
        </w:tc>
        <w:tc>
          <w:tcPr>
            <w:tcW w:type="dxa" w:w="1440"/>
          </w:tcPr>
          <w:p>
            <w:r>
              <w:t>Representative</w:t>
            </w:r>
          </w:p>
        </w:tc>
        <w:tc>
          <w:tcPr>
            <w:tcW w:type="dxa" w:w="1440"/>
          </w:tcPr>
          <w:p>
            <w:r>
              <w:t>Adapts online?</w:t>
            </w:r>
          </w:p>
        </w:tc>
        <w:tc>
          <w:tcPr>
            <w:tcW w:type="dxa" w:w="1440"/>
          </w:tcPr>
          <w:p>
            <w:r>
              <w:t>Sample cost</w:t>
            </w:r>
          </w:p>
        </w:tc>
        <w:tc>
          <w:tcPr>
            <w:tcW w:type="dxa" w:w="1440"/>
          </w:tcPr>
          <w:p>
            <w:r>
              <w:t>Spark-config scope</w:t>
            </w:r>
          </w:p>
        </w:tc>
        <w:tc>
          <w:tcPr>
            <w:tcW w:type="dxa" w:w="1440"/>
          </w:tcPr>
          <w:p>
            <w:r>
              <w:t>Limitation vs AdaSpark goal</w:t>
            </w:r>
          </w:p>
        </w:tc>
      </w:tr>
      <w:tr>
        <w:tc>
          <w:tcPr>
            <w:tcW w:type="dxa" w:w="1440"/>
          </w:tcPr>
          <w:p>
            <w:r>
              <w:t>Static profiling tuner</w:t>
            </w:r>
          </w:p>
        </w:tc>
        <w:tc>
          <w:tcPr>
            <w:tcW w:type="dxa" w:w="1440"/>
          </w:tcPr>
          <w:p>
            <w:r>
              <w:t>Starfish [6]</w:t>
            </w:r>
          </w:p>
        </w:tc>
        <w:tc>
          <w:tcPr>
            <w:tcW w:type="dxa" w:w="1440"/>
          </w:tcPr>
          <w:p>
            <w:r>
              <w:t>No</w:t>
            </w:r>
          </w:p>
        </w:tc>
        <w:tc>
          <w:tcPr>
            <w:tcW w:type="dxa" w:w="1440"/>
          </w:tcPr>
          <w:p>
            <w:r>
              <w:t>Medium</w:t>
            </w:r>
          </w:p>
        </w:tc>
        <w:tc>
          <w:tcPr>
            <w:tcW w:type="dxa" w:w="1440"/>
          </w:tcPr>
          <w:p>
            <w:r>
              <w:t>MapReduce-era</w:t>
            </w:r>
          </w:p>
        </w:tc>
        <w:tc>
          <w:tcPr>
            <w:tcW w:type="dxa" w:w="1440"/>
          </w:tcPr>
          <w:p>
            <w:r>
              <w:t>One static config; no drift response</w:t>
            </w:r>
          </w:p>
        </w:tc>
      </w:tr>
      <w:tr>
        <w:tc>
          <w:tcPr>
            <w:tcW w:type="dxa" w:w="1440"/>
          </w:tcPr>
          <w:p>
            <w:r>
              <w:t>GP-based DB tuner</w:t>
            </w:r>
          </w:p>
        </w:tc>
        <w:tc>
          <w:tcPr>
            <w:tcW w:type="dxa" w:w="1440"/>
          </w:tcPr>
          <w:p>
            <w:r>
              <w:t>OtterTune [7]</w:t>
            </w:r>
          </w:p>
        </w:tc>
        <w:tc>
          <w:tcPr>
            <w:tcW w:type="dxa" w:w="1440"/>
          </w:tcPr>
          <w:p>
            <w:r>
              <w:t>No</w:t>
            </w:r>
          </w:p>
        </w:tc>
        <w:tc>
          <w:tcPr>
            <w:tcW w:type="dxa" w:w="1440"/>
          </w:tcPr>
          <w:p>
            <w:r>
              <w:t>Medium</w:t>
            </w:r>
          </w:p>
        </w:tc>
        <w:tc>
          <w:tcPr>
            <w:tcW w:type="dxa" w:w="1440"/>
          </w:tcPr>
          <w:p>
            <w:r>
              <w:t>N/A (DB knobs)</w:t>
            </w:r>
          </w:p>
        </w:tc>
        <w:tc>
          <w:tcPr>
            <w:tcW w:type="dxa" w:w="1440"/>
          </w:tcPr>
          <w:p>
            <w:r>
              <w:t>Offline; not Spark; not online</w:t>
            </w:r>
          </w:p>
        </w:tc>
      </w:tr>
      <w:tr>
        <w:tc>
          <w:tcPr>
            <w:tcW w:type="dxa" w:w="1440"/>
          </w:tcPr>
          <w:p>
            <w:r>
              <w:t>Deep-RL DB tuner</w:t>
            </w:r>
          </w:p>
        </w:tc>
        <w:tc>
          <w:tcPr>
            <w:tcW w:type="dxa" w:w="1440"/>
          </w:tcPr>
          <w:p>
            <w:r>
              <w:t>CDBTune/QTune [8][31]</w:t>
            </w:r>
          </w:p>
        </w:tc>
        <w:tc>
          <w:tcPr>
            <w:tcW w:type="dxa" w:w="1440"/>
          </w:tcPr>
          <w:p>
            <w:r>
              <w:t>Partial</w:t>
            </w:r>
          </w:p>
        </w:tc>
        <w:tc>
          <w:tcPr>
            <w:tcW w:type="dxa" w:w="1440"/>
          </w:tcPr>
          <w:p>
            <w:r>
              <w:t>High (1000s runs)</w:t>
            </w:r>
          </w:p>
        </w:tc>
        <w:tc>
          <w:tcPr>
            <w:tcW w:type="dxa" w:w="1440"/>
          </w:tcPr>
          <w:p>
            <w:r>
              <w:t>N/A</w:t>
            </w:r>
          </w:p>
        </w:tc>
        <w:tc>
          <w:tcPr>
            <w:tcW w:type="dxa" w:w="1440"/>
          </w:tcPr>
          <w:p>
            <w:r>
              <w:t>Budget-infeasible for per-team use</w:t>
            </w:r>
          </w:p>
        </w:tc>
      </w:tr>
      <w:tr>
        <w:tc>
          <w:tcPr>
            <w:tcW w:type="dxa" w:w="1440"/>
          </w:tcPr>
          <w:p>
            <w:r>
              <w:t>Learned scheduler</w:t>
            </w:r>
          </w:p>
        </w:tc>
        <w:tc>
          <w:tcPr>
            <w:tcW w:type="dxa" w:w="1440"/>
          </w:tcPr>
          <w:p>
            <w:r>
              <w:t>Decima [9]</w:t>
            </w:r>
          </w:p>
        </w:tc>
        <w:tc>
          <w:tcPr>
            <w:tcW w:type="dxa" w:w="1440"/>
          </w:tcPr>
          <w:p>
            <w:r>
              <w:t>Yes</w:t>
            </w:r>
          </w:p>
        </w:tc>
        <w:tc>
          <w:tcPr>
            <w:tcW w:type="dxa" w:w="1440"/>
          </w:tcPr>
          <w:p>
            <w:r>
              <w:t>High (cluster)</w:t>
            </w:r>
          </w:p>
        </w:tc>
        <w:tc>
          <w:tcPr>
            <w:tcW w:type="dxa" w:w="1440"/>
          </w:tcPr>
          <w:p>
            <w:r>
              <w:t>Scheduling, not config</w:t>
            </w:r>
          </w:p>
        </w:tc>
        <w:tc>
          <w:tcPr>
            <w:tcW w:type="dxa" w:w="1440"/>
          </w:tcPr>
          <w:p>
            <w:r>
              <w:t>Different decision; heavy training</w:t>
            </w:r>
          </w:p>
        </w:tc>
      </w:tr>
      <w:tr>
        <w:tc>
          <w:tcPr>
            <w:tcW w:type="dxa" w:w="1440"/>
          </w:tcPr>
          <w:p>
            <w:r>
              <w:t>Built-in runtime adaptivity</w:t>
            </w:r>
          </w:p>
        </w:tc>
        <w:tc>
          <w:tcPr>
            <w:tcW w:type="dxa" w:w="1440"/>
          </w:tcPr>
          <w:p>
            <w:r>
              <w:t>Spark AQE [34]</w:t>
            </w:r>
          </w:p>
        </w:tc>
        <w:tc>
          <w:tcPr>
            <w:tcW w:type="dxa" w:w="1440"/>
          </w:tcPr>
          <w:p>
            <w:r>
              <w:t>Yes</w:t>
            </w:r>
          </w:p>
        </w:tc>
        <w:tc>
          <w:tcPr>
            <w:tcW w:type="dxa" w:w="1440"/>
          </w:tcPr>
          <w:p>
            <w:r>
              <w:t>Zero</w:t>
            </w:r>
          </w:p>
        </w:tc>
        <w:tc>
          <w:tcPr>
            <w:tcW w:type="dxa" w:w="1440"/>
          </w:tcPr>
          <w:p>
            <w:r>
              <w:t>Partitions/joins only</w:t>
            </w:r>
          </w:p>
        </w:tc>
        <w:tc>
          <w:tcPr>
            <w:tcW w:type="dxa" w:w="1440"/>
          </w:tcPr>
          <w:p>
            <w:r>
              <w:t>Complementary; interaction unevaluated</w:t>
            </w:r>
          </w:p>
        </w:tc>
      </w:tr>
      <w:tr>
        <w:tc>
          <w:tcPr>
            <w:tcW w:type="dxa" w:w="1440"/>
          </w:tcPr>
          <w:p>
            <w:r>
              <w:t>Monitoring frameworks</w:t>
            </w:r>
          </w:p>
        </w:tc>
        <w:tc>
          <w:tcPr>
            <w:tcW w:type="dxa" w:w="1440"/>
          </w:tcPr>
          <w:p>
            <w:r>
              <w:t>Kieker [27]; Reichelt [28][29]</w:t>
            </w:r>
          </w:p>
        </w:tc>
        <w:tc>
          <w:tcPr>
            <w:tcW w:type="dxa" w:w="1440"/>
          </w:tcPr>
          <w:p>
            <w:r>
              <w:t>N/A</w:t>
            </w:r>
          </w:p>
        </w:tc>
        <w:tc>
          <w:tcPr>
            <w:tcW w:type="dxa" w:w="1440"/>
          </w:tcPr>
          <w:p>
            <w:r>
              <w:t>Low</w:t>
            </w:r>
          </w:p>
        </w:tc>
        <w:tc>
          <w:tcPr>
            <w:tcW w:type="dxa" w:w="1440"/>
          </w:tcPr>
          <w:p>
            <w:r>
              <w:t>N/A</w:t>
            </w:r>
          </w:p>
        </w:tc>
        <w:tc>
          <w:tcPr>
            <w:tcW w:type="dxa" w:w="1440"/>
          </w:tcPr>
          <w:p>
            <w:r>
              <w:t>No Spark budget-adjudicated study</w:t>
            </w:r>
          </w:p>
        </w:tc>
      </w:tr>
      <w:tr>
        <w:tc>
          <w:tcPr>
            <w:tcW w:type="dxa" w:w="1440"/>
          </w:tcPr>
          <w:p>
            <w:r>
              <w:t>**AdaSpark (this work)**</w:t>
            </w:r>
          </w:p>
        </w:tc>
        <w:tc>
          <w:tcPr>
            <w:tcW w:type="dxa" w:w="1440"/>
          </w:tcPr>
          <w:p>
            <w:r>
              <w:t>Tabular Q + Q0 init</w:t>
            </w:r>
          </w:p>
        </w:tc>
        <w:tc>
          <w:tcPr>
            <w:tcW w:type="dxa" w:w="1440"/>
          </w:tcPr>
          <w:p>
            <w:r>
              <w:t>**Yes**</w:t>
            </w:r>
          </w:p>
        </w:tc>
        <w:tc>
          <w:tcPr>
            <w:tcW w:type="dxa" w:w="1440"/>
          </w:tcPr>
          <w:p>
            <w:r>
              <w:t>**≤500 runs**</w:t>
            </w:r>
          </w:p>
        </w:tc>
        <w:tc>
          <w:tcPr>
            <w:tcW w:type="dxa" w:w="1440"/>
          </w:tcPr>
          <w:p>
            <w:r>
              <w:t>**Shuffle × parallelism**</w:t>
            </w:r>
          </w:p>
        </w:tc>
        <w:tc>
          <w:tcPr>
            <w:tcW w:type="dxa" w:w="1440"/>
          </w:tcPr>
          <w:p>
            <w:r>
              <w:t>Honest bounds: H2/H3 open; AQE-on open</w:t>
            </w:r>
          </w:p>
        </w:tc>
      </w:tr>
    </w:tbl>
    <w:p/>
    <w:p>
      <w:r>
        <w:drawing>
          <wp:inline xmlns:a="http://schemas.openxmlformats.org/drawingml/2006/main" xmlns:pic="http://schemas.openxmlformats.org/drawingml/2006/picture">
            <wp:extent cx="5486400" cy="2529265"/>
            <wp:docPr id="4" name="Picture 4"/>
            <wp:cNvGraphicFramePr>
              <a:graphicFrameLocks noChangeAspect="1"/>
            </wp:cNvGraphicFramePr>
            <a:graphic>
              <a:graphicData uri="http://schemas.openxmlformats.org/drawingml/2006/picture">
                <pic:pic>
                  <pic:nvPicPr>
                    <pic:cNvPr id="0" name="Fig 04 Literature Taxonomy Framework.png"/>
                    <pic:cNvPicPr/>
                  </pic:nvPicPr>
                  <pic:blipFill>
                    <a:blip r:embed="rId12"/>
                    <a:stretch>
                      <a:fillRect/>
                    </a:stretch>
                  </pic:blipFill>
                  <pic:spPr>
                    <a:xfrm>
                      <a:off x="0" y="0"/>
                      <a:ext cx="5486400" cy="2529265"/>
                    </a:xfrm>
                    <a:prstGeom prst="rect"/>
                  </pic:spPr>
                </pic:pic>
              </a:graphicData>
            </a:graphic>
          </wp:inline>
        </w:drawing>
      </w:r>
    </w:p>
    <w:p/>
    <w:p>
      <w:pPr>
        <w:pStyle w:val="Heading1"/>
      </w:pPr>
      <w:r>
        <w:t>4. Requirements Analysis for Self-Adaptive Big Data Systems</w:t>
      </w:r>
    </w:p>
    <w:p>
      <w:r>
        <w:t>Requirements were derived from the research objectives (O1–O7) and frozen in the architecture contracts before implementation, so that every component traces to a requirement and every requirement to an evaluation question (Figure 5). Functional requirements define what the loop must do: ingest parameterized workloads across five families and three scales; monitor every execution with a fixed metrics schema; map workload context plus runtime feedback to a configuration decision; learn within a hard execution budget; and compare against baselines with statistical validity. Non-functional requirements constrain how: reproducibility (seeded, config-driven, immutable manifests), safety (no failed submitted configurations; failures score exactly −1 and train the agent to avoid them), determinism of analysis (seeded resampling, byte-reproducible artifacts), and auditability (a decision log in which scope changes, budget reconciliations, and negative outcomes are recorded rather than edited away).</w:t>
      </w:r>
    </w:p>
    <w:p>
      <w:r>
        <w:t>Two requirements deserve emphasis because they shaped the engineering. First, the budget requirement (≤500 training executions, SC6) is enforced structurally by the environment's execution guard and counted across manifests — not estimated. Second, the test-discipline requirement (frozen train/validation/test split, TEST sealed until evaluation) is enforced by authorization guards in code, so an engineer cannot accidentally train on the test set. Both convert good intentions into properties the test suite can verify.</w:t>
      </w:r>
    </w:p>
    <w:p>
      <w:pPr>
        <w:pStyle w:val="Heading2"/>
      </w:pPr>
      <w:r>
        <w:t>Table 4: Functional and Non-Functional Requirements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Type</w:t>
            </w:r>
          </w:p>
        </w:tc>
        <w:tc>
          <w:tcPr>
            <w:tcW w:type="dxa" w:w="2160"/>
          </w:tcPr>
          <w:p>
            <w:r>
              <w:t>Verified by</w:t>
            </w:r>
          </w:p>
        </w:tc>
      </w:tr>
      <w:tr>
        <w:tc>
          <w:tcPr>
            <w:tcW w:type="dxa" w:w="2160"/>
          </w:tcPr>
          <w:p>
            <w:r>
              <w:t>FR1</w:t>
            </w:r>
          </w:p>
        </w:tc>
        <w:tc>
          <w:tcPr>
            <w:tcW w:type="dxa" w:w="2160"/>
          </w:tcPr>
          <w:p>
            <w:r>
              <w:t>Parameterized workloads (5 families × 3 scales, seeded)</w:t>
            </w:r>
          </w:p>
        </w:tc>
        <w:tc>
          <w:tcPr>
            <w:tcW w:type="dxa" w:w="2160"/>
          </w:tcPr>
          <w:p>
            <w:r>
              <w:t>Functional</w:t>
            </w:r>
          </w:p>
        </w:tc>
        <w:tc>
          <w:tcPr>
            <w:tcW w:type="dxa" w:w="2160"/>
          </w:tcPr>
          <w:p>
            <w:r>
              <w:t>EXP-002, EXP-006, dataset manifests</w:t>
            </w:r>
          </w:p>
        </w:tc>
      </w:tr>
      <w:tr>
        <w:tc>
          <w:tcPr>
            <w:tcW w:type="dxa" w:w="2160"/>
          </w:tcPr>
          <w:p>
            <w:r>
              <w:t>FR2</w:t>
            </w:r>
          </w:p>
        </w:tc>
        <w:tc>
          <w:tcPr>
            <w:tcW w:type="dxa" w:w="2160"/>
          </w:tcPr>
          <w:p>
            <w:r>
              <w:t>Per-run monitoring (system metrics + event logs)</w:t>
            </w:r>
          </w:p>
        </w:tc>
        <w:tc>
          <w:tcPr>
            <w:tcW w:type="dxa" w:w="2160"/>
          </w:tcPr>
          <w:p>
            <w:r>
              <w:t>Functional</w:t>
            </w:r>
          </w:p>
        </w:tc>
        <w:tc>
          <w:tcPr>
            <w:tcW w:type="dxa" w:w="2160"/>
          </w:tcPr>
          <w:p>
            <w:r>
              <w:t>EXP-009 (4,842 runs, 0 deviations)</w:t>
            </w:r>
          </w:p>
        </w:tc>
      </w:tr>
      <w:tr>
        <w:tc>
          <w:tcPr>
            <w:tcW w:type="dxa" w:w="2160"/>
          </w:tcPr>
          <w:p>
            <w:r>
              <w:t>FR3</w:t>
            </w:r>
          </w:p>
        </w:tc>
        <w:tc>
          <w:tcPr>
            <w:tcW w:type="dxa" w:w="2160"/>
          </w:tcPr>
          <w:p>
            <w:r>
              <w:t>State → configuration policy with offline init</w:t>
            </w:r>
          </w:p>
        </w:tc>
        <w:tc>
          <w:tcPr>
            <w:tcW w:type="dxa" w:w="2160"/>
          </w:tcPr>
          <w:p>
            <w:r>
              <w:t>Functional</w:t>
            </w:r>
          </w:p>
        </w:tc>
        <w:tc>
          <w:tcPr>
            <w:tcW w:type="dxa" w:w="2160"/>
          </w:tcPr>
          <w:p>
            <w:r>
              <w:t>EXP-004 training; policy store</w:t>
            </w:r>
          </w:p>
        </w:tc>
      </w:tr>
      <w:tr>
        <w:tc>
          <w:tcPr>
            <w:tcW w:type="dxa" w:w="2160"/>
          </w:tcPr>
          <w:p>
            <w:r>
              <w:t>FR4</w:t>
            </w:r>
          </w:p>
        </w:tc>
        <w:tc>
          <w:tcPr>
            <w:tcW w:type="dxa" w:w="2160"/>
          </w:tcPr>
          <w:p>
            <w:r>
              <w:t>Baseline comparison (default, static, heuristic, random)</w:t>
            </w:r>
          </w:p>
        </w:tc>
        <w:tc>
          <w:tcPr>
            <w:tcW w:type="dxa" w:w="2160"/>
          </w:tcPr>
          <w:p>
            <w:r>
              <w:t>Functional</w:t>
            </w:r>
          </w:p>
        </w:tc>
        <w:tc>
          <w:tcPr>
            <w:tcW w:type="dxa" w:w="2160"/>
          </w:tcPr>
          <w:p>
            <w:r>
              <w:t>EXP-005 (245/245 runs)</w:t>
            </w:r>
          </w:p>
        </w:tc>
      </w:tr>
      <w:tr>
        <w:tc>
          <w:tcPr>
            <w:tcW w:type="dxa" w:w="2160"/>
          </w:tcPr>
          <w:p>
            <w:r>
              <w:t>FR5</w:t>
            </w:r>
          </w:p>
        </w:tc>
        <w:tc>
          <w:tcPr>
            <w:tcW w:type="dxa" w:w="2160"/>
          </w:tcPr>
          <w:p>
            <w:r>
              <w:t>Generalization + ablation + overhead studies</w:t>
            </w:r>
          </w:p>
        </w:tc>
        <w:tc>
          <w:tcPr>
            <w:tcW w:type="dxa" w:w="2160"/>
          </w:tcPr>
          <w:p>
            <w:r>
              <w:t>Functional</w:t>
            </w:r>
          </w:p>
        </w:tc>
        <w:tc>
          <w:tcPr>
            <w:tcW w:type="dxa" w:w="2160"/>
          </w:tcPr>
          <w:p>
            <w:r>
              <w:t>EXP-006/007/008/009</w:t>
            </w:r>
          </w:p>
        </w:tc>
      </w:tr>
      <w:tr>
        <w:tc>
          <w:tcPr>
            <w:tcW w:type="dxa" w:w="2160"/>
          </w:tcPr>
          <w:p>
            <w:r>
              <w:t>NFR1</w:t>
            </w:r>
          </w:p>
        </w:tc>
        <w:tc>
          <w:tcPr>
            <w:tcW w:type="dxa" w:w="2160"/>
          </w:tcPr>
          <w:p>
            <w:r>
              <w:t>Bounded training budget (≤500, counted)</w:t>
            </w:r>
          </w:p>
        </w:tc>
        <w:tc>
          <w:tcPr>
            <w:tcW w:type="dxa" w:w="2160"/>
          </w:tcPr>
          <w:p>
            <w:r>
              <w:t>Non-functional</w:t>
            </w:r>
          </w:p>
        </w:tc>
        <w:tc>
          <w:tcPr>
            <w:tcW w:type="dxa" w:w="2160"/>
          </w:tcPr>
          <w:p>
            <w:r>
              <w:t>SC6 ledger 483/500</w:t>
            </w:r>
          </w:p>
        </w:tc>
      </w:tr>
      <w:tr>
        <w:tc>
          <w:tcPr>
            <w:tcW w:type="dxa" w:w="2160"/>
          </w:tcPr>
          <w:p>
            <w:r>
              <w:t>NFR2</w:t>
            </w:r>
          </w:p>
        </w:tc>
        <w:tc>
          <w:tcPr>
            <w:tcW w:type="dxa" w:w="2160"/>
          </w:tcPr>
          <w:p>
            <w:r>
              <w:t>Sealed test discipline (authorization guards)</w:t>
            </w:r>
          </w:p>
        </w:tc>
        <w:tc>
          <w:tcPr>
            <w:tcW w:type="dxa" w:w="2160"/>
          </w:tcPr>
          <w:p>
            <w:r>
              <w:t>Non-functional</w:t>
            </w:r>
          </w:p>
        </w:tc>
        <w:tc>
          <w:tcPr>
            <w:tcW w:type="dxa" w:w="2160"/>
          </w:tcPr>
          <w:p>
            <w:r>
              <w:t>Day-31 gate 36/36</w:t>
            </w:r>
          </w:p>
        </w:tc>
      </w:tr>
      <w:tr>
        <w:tc>
          <w:tcPr>
            <w:tcW w:type="dxa" w:w="2160"/>
          </w:tcPr>
          <w:p>
            <w:r>
              <w:t>NFR3</w:t>
            </w:r>
          </w:p>
        </w:tc>
        <w:tc>
          <w:tcPr>
            <w:tcW w:type="dxa" w:w="2160"/>
          </w:tcPr>
          <w:p>
            <w:r>
              <w:t>Byte-reproducible analysis (seeded, frozen code)</w:t>
            </w:r>
          </w:p>
        </w:tc>
        <w:tc>
          <w:tcPr>
            <w:tcW w:type="dxa" w:w="2160"/>
          </w:tcPr>
          <w:p>
            <w:r>
              <w:t>Non-functional</w:t>
            </w:r>
          </w:p>
        </w:tc>
        <w:tc>
          <w:tcPr>
            <w:tcW w:type="dxa" w:w="2160"/>
          </w:tcPr>
          <w:p>
            <w:r>
              <w:t>16/16 corroboration</w:t>
            </w:r>
          </w:p>
        </w:tc>
      </w:tr>
      <w:tr>
        <w:tc>
          <w:tcPr>
            <w:tcW w:type="dxa" w:w="2160"/>
          </w:tcPr>
          <w:p>
            <w:r>
              <w:t>NFR4</w:t>
            </w:r>
          </w:p>
        </w:tc>
        <w:tc>
          <w:tcPr>
            <w:tcW w:type="dxa" w:w="2160"/>
          </w:tcPr>
          <w:p>
            <w:r>
              <w:t>No failed submitted configurations</w:t>
            </w:r>
          </w:p>
        </w:tc>
        <w:tc>
          <w:tcPr>
            <w:tcW w:type="dxa" w:w="2160"/>
          </w:tcPr>
          <w:p>
            <w:r>
              <w:t>Non-functional</w:t>
            </w:r>
          </w:p>
        </w:tc>
        <w:tc>
          <w:tcPr>
            <w:tcW w:type="dxa" w:w="2160"/>
          </w:tcPr>
          <w:p>
            <w:r>
              <w:t>0 failures in training; F-FAIL invariant</w:t>
            </w:r>
          </w:p>
        </w:tc>
      </w:tr>
      <w:tr>
        <w:tc>
          <w:tcPr>
            <w:tcW w:type="dxa" w:w="2160"/>
          </w:tcPr>
          <w:p>
            <w:r>
              <w:t>NFR5</w:t>
            </w:r>
          </w:p>
        </w:tc>
        <w:tc>
          <w:tcPr>
            <w:tcW w:type="dxa" w:w="2160"/>
          </w:tcPr>
          <w:p>
            <w:r>
              <w:t>Full audit trail (decisions, provenance, manifests)</w:t>
            </w:r>
          </w:p>
        </w:tc>
        <w:tc>
          <w:tcPr>
            <w:tcW w:type="dxa" w:w="2160"/>
          </w:tcPr>
          <w:p>
            <w:r>
              <w:t>Non-functional</w:t>
            </w:r>
          </w:p>
        </w:tc>
        <w:tc>
          <w:tcPr>
            <w:tcW w:type="dxa" w:w="2160"/>
          </w:tcPr>
          <w:p>
            <w:r>
              <w:t>46 DEC entries; immutable artifacts</w:t>
            </w:r>
          </w:p>
        </w:tc>
      </w:tr>
    </w:tbl>
    <w:p/>
    <w:p>
      <w:r>
        <w:drawing>
          <wp:inline xmlns:a="http://schemas.openxmlformats.org/drawingml/2006/main" xmlns:pic="http://schemas.openxmlformats.org/drawingml/2006/picture">
            <wp:extent cx="5486400" cy="2369389"/>
            <wp:docPr id="5" name="Picture 5"/>
            <wp:cNvGraphicFramePr>
              <a:graphicFrameLocks noChangeAspect="1"/>
            </wp:cNvGraphicFramePr>
            <a:graphic>
              <a:graphicData uri="http://schemas.openxmlformats.org/drawingml/2006/picture">
                <pic:pic>
                  <pic:nvPicPr>
                    <pic:cNvPr id="0" name="Fig 05 Requirements Engineering Model.png"/>
                    <pic:cNvPicPr/>
                  </pic:nvPicPr>
                  <pic:blipFill>
                    <a:blip r:embed="rId13"/>
                    <a:stretch>
                      <a:fillRect/>
                    </a:stretch>
                  </pic:blipFill>
                  <pic:spPr>
                    <a:xfrm>
                      <a:off x="0" y="0"/>
                      <a:ext cx="5486400" cy="2369389"/>
                    </a:xfrm>
                    <a:prstGeom prst="rect"/>
                  </pic:spPr>
                </pic:pic>
              </a:graphicData>
            </a:graphic>
          </wp:inline>
        </w:drawing>
      </w:r>
    </w:p>
    <w:p/>
    <w:p>
      <w:pPr>
        <w:pStyle w:val="Heading1"/>
      </w:pPr>
      <w:r>
        <w:t>5. Reinforcement Learning-Driven Spark Architecture</w:t>
      </w:r>
    </w:p>
    <w:p>
      <w:r>
        <w:t>AdaSpark implements Candidate C — hybrid offline-init plus bounded online adaptation — selected over pure-offline and pure-online alternatives against eight criteria and then frozen as twelve components with fourteen interfaces (Figure 6, the core figure of this report). The architecture is a MAPE-K loop made concrete: the monitoring layer (COMP-SPARK) observes; the RL formulation (state encoder, environment, agent, reward) analyzes and plans; the runner executes the chosen configuration; and the knowledge base (Q-tables, T_ref calibrations, manifests, policy store) persists everything learned [5][32].</w:t>
      </w:r>
    </w:p>
    <w:p>
      <w:r>
        <w:t>The data plane is deliberately boring: standard Spark jobs on a fixed single-node backend (PySpark 3.5.9, Java 17), so that all intelligence lives in the decision plane. The decision plane centers on a 30-state representation (workload class × size bin × feedback bin), a 12-action grid (shuffle partitions {16, 32, 64, 128} × parallelism {local-2, local-4, local-8}), and the frozen R3 reward (time improvement + task balance − spill waste − failure penalty; Section 7, Equation 1). Offline initialization (Q0) calibrates the agent from the EXP-002 sensitivity grid before any online learning, so the first policy is already informed; the online loop (Figure 7) then refines it with ε-greedy tabular Q-learning (α = 0.2, γ = 0.0 bandit mode) inside the 500-execution guard.</w:t>
      </w:r>
    </w:p>
    <w:p>
      <w:r>
        <w:t>Three structural properties matter more than any single result. First, failure is a first-class observation: a failed episode returns reward −1 and still updates the learner, so the agent learns to avoid pathological configurations rather than ignoring them. Second, the train/validation/test boundary is a code-enforced authorization boundary, not a convention — the Day-31 gate verifies it with 36 checks. Third, scope reduction is pre-designed (Plan B via config selectors: drop multi-step, shrink ablations, narrow the action space) rather than improvised, which is why the Day-30 decision to disable multi-step learning consumed a planned scope rung instead of causing a crisis.</w:t>
      </w:r>
    </w:p>
    <w:p>
      <w:r>
        <w:t>The twelve frozen components span the full pipeline: session management, configuration handling, and job running (COMP-SPARK); deterministic data generation, workload families with registry/resolver, and the monitoring stack with metrics merge and validation; the RL core of state encoder, action mapper, reward calculator, environment with T_ref store, and tabular agent with Q0 and policy store; and the training loop, execution cache, evaluation harness with frozen test identity, and baseline strategies. Fourteen interfaces connect them, and twelve JSON-serializable data contracts govern every handoff with determinism rules — seeded manifests in, metrics out, no hidden channels. Architectural invariants hold the design together: single-node execution, seeded manifests, config-driven behavior, the 12-action bound, T_ref-gated rewards, the ≤500 execution guard, deterministic caching, identical-baseline protocols, AQE control, a frozen test set, ±5% reproduction targets, and Plan-B recoverability — with explicit exclusions (no cluster or Kubernetes, no deep RL, no GPU path) keeping the scope honest. Experiment compatibility was verified per component: every experiment from EXP-001 through EXP-012 (plus 005b) executes against these contracts unchanged, and the four architecture diagrams (system, training loop, execution pipeline, data/control flow) are generated from the same source so documentation cannot drift from implementation.</w:t>
      </w:r>
    </w:p>
    <w:p>
      <w:r>
        <w:drawing>
          <wp:inline xmlns:a="http://schemas.openxmlformats.org/drawingml/2006/main" xmlns:pic="http://schemas.openxmlformats.org/drawingml/2006/picture">
            <wp:extent cx="5486400" cy="2900776"/>
            <wp:docPr id="6" name="Picture 6"/>
            <wp:cNvGraphicFramePr>
              <a:graphicFrameLocks noChangeAspect="1"/>
            </wp:cNvGraphicFramePr>
            <a:graphic>
              <a:graphicData uri="http://schemas.openxmlformats.org/drawingml/2006/picture">
                <pic:pic>
                  <pic:nvPicPr>
                    <pic:cNvPr id="0" name="Fig 06 RL-Driven Spark Architecture.png"/>
                    <pic:cNvPicPr/>
                  </pic:nvPicPr>
                  <pic:blipFill>
                    <a:blip r:embed="rId14"/>
                    <a:stretch>
                      <a:fillRect/>
                    </a:stretch>
                  </pic:blipFill>
                  <pic:spPr>
                    <a:xfrm>
                      <a:off x="0" y="0"/>
                      <a:ext cx="5486400" cy="2900776"/>
                    </a:xfrm>
                    <a:prstGeom prst="rect"/>
                  </pic:spPr>
                </pic:pic>
              </a:graphicData>
            </a:graphic>
          </wp:inline>
        </w:drawing>
      </w:r>
    </w:p>
    <w:p/>
    <w:p>
      <w:r>
        <w:drawing>
          <wp:inline xmlns:a="http://schemas.openxmlformats.org/drawingml/2006/main" xmlns:pic="http://schemas.openxmlformats.org/drawingml/2006/picture">
            <wp:extent cx="5486400" cy="2263571"/>
            <wp:docPr id="7" name="Picture 7"/>
            <wp:cNvGraphicFramePr>
              <a:graphicFrameLocks noChangeAspect="1"/>
            </wp:cNvGraphicFramePr>
            <a:graphic>
              <a:graphicData uri="http://schemas.openxmlformats.org/drawingml/2006/picture">
                <pic:pic>
                  <pic:nvPicPr>
                    <pic:cNvPr id="0" name="Fig 07 Layered System Architecture.png"/>
                    <pic:cNvPicPr/>
                  </pic:nvPicPr>
                  <pic:blipFill>
                    <a:blip r:embed="rId15"/>
                    <a:stretch>
                      <a:fillRect/>
                    </a:stretch>
                  </pic:blipFill>
                  <pic:spPr>
                    <a:xfrm>
                      <a:off x="0" y="0"/>
                      <a:ext cx="5486400" cy="2263571"/>
                    </a:xfrm>
                    <a:prstGeom prst="rect"/>
                  </pic:spPr>
                </pic:pic>
              </a:graphicData>
            </a:graphic>
          </wp:inline>
        </w:drawing>
      </w:r>
    </w:p>
    <w:p/>
    <w:p>
      <w:pPr>
        <w:pStyle w:val="Heading1"/>
      </w:pPr>
      <w:r>
        <w:t>6. Big Data Programming and Execution Layer</w:t>
      </w:r>
    </w:p>
    <w:p>
      <w:r>
        <w:t>The execution layer runs ordinary Spark programs and is intentionally the least novel part of the system: five workload families (F1 aggregation, F2 join, F3 RDD sort/filter, F4 skew join, F5 mixed pipeline) execute as parameterized jobs over seeded synthetic datasets at three scales (S/M/L), with DAG generation, stage scheduling, shuffle, spill, and memory management handled by unmodified Spark (Figure 8) [1][2]. Deterministic data generation with checksummed manifests guarantees that a "workload instance" means the same bytes on every run, and the frozen dataset seed (0) anchors all calibrations.</w:t>
      </w:r>
    </w:p>
    <w:p>
      <w:r>
        <w:t>Each job passes through session creation (fixed Spark configuration surface), timed execution under the runner's clock with two discarded warmups, and metric extraction (execution time, task-duration CV, spill bytes, event-log status). A run is timing-valid only if the harness clock sourced it; anything else is recorded but never adjudicated. This strictness is why the extension study can claim zero deviations across 4,842 runs: validity is a property checked per record, not assumed per batch.</w:t>
      </w:r>
    </w:p>
    <w:p>
      <w:pPr>
        <w:pStyle w:val="Heading2"/>
      </w:pPr>
      <w:r>
        <w:t>Table 5: Spark Components and Responsibilities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 in AdaSpark</w:t>
            </w:r>
          </w:p>
        </w:tc>
      </w:tr>
      <w:tr>
        <w:tc>
          <w:tcPr>
            <w:tcW w:type="dxa" w:w="4320"/>
          </w:tcPr>
          <w:p>
            <w:r>
              <w:t>Driver / SparkSession</w:t>
            </w:r>
          </w:p>
        </w:tc>
        <w:tc>
          <w:tcPr>
            <w:tcW w:type="dxa" w:w="4320"/>
          </w:tcPr>
          <w:p>
            <w:r>
              <w:t>Fixed-config session lifecycle; parallelism changes via session restart</w:t>
            </w:r>
          </w:p>
        </w:tc>
      </w:tr>
      <w:tr>
        <w:tc>
          <w:tcPr>
            <w:tcW w:type="dxa" w:w="4320"/>
          </w:tcPr>
          <w:p>
            <w:r>
              <w:t>DAG scheduler / stages</w:t>
            </w:r>
          </w:p>
        </w:tc>
        <w:tc>
          <w:tcPr>
            <w:tcW w:type="dxa" w:w="4320"/>
          </w:tcPr>
          <w:p>
            <w:r>
              <w:t>Unmodified stage graph; observed, never steered mid-job</w:t>
            </w:r>
          </w:p>
        </w:tc>
      </w:tr>
      <w:tr>
        <w:tc>
          <w:tcPr>
            <w:tcW w:type="dxa" w:w="4320"/>
          </w:tcPr>
          <w:p>
            <w:r>
              <w:t>Shuffle service</w:t>
            </w:r>
          </w:p>
        </w:tc>
        <w:tc>
          <w:tcPr>
            <w:tcW w:type="dxa" w:w="4320"/>
          </w:tcPr>
          <w:p>
            <w:r>
              <w:t>Partition-count target of actions (16/32/64/128)</w:t>
            </w:r>
          </w:p>
        </w:tc>
      </w:tr>
      <w:tr>
        <w:tc>
          <w:tcPr>
            <w:tcW w:type="dxa" w:w="4320"/>
          </w:tcPr>
          <w:p>
            <w:r>
              <w:t>Executors (local[N], N ∈ {2,4,8})</w:t>
            </w:r>
          </w:p>
        </w:tc>
        <w:tc>
          <w:tcPr>
            <w:tcW w:type="dxa" w:w="4320"/>
          </w:tcPr>
          <w:p>
            <w:r>
              <w:t>Parallelism target of actions; task CV + spill telemetry source</w:t>
            </w:r>
          </w:p>
        </w:tc>
      </w:tr>
      <w:tr>
        <w:tc>
          <w:tcPr>
            <w:tcW w:type="dxa" w:w="4320"/>
          </w:tcPr>
          <w:p>
            <w:r>
              <w:t>Event log / listener bus</w:t>
            </w:r>
          </w:p>
        </w:tc>
        <w:tc>
          <w:tcPr>
            <w:tcW w:type="dxa" w:w="4320"/>
          </w:tcPr>
          <w:p>
            <w:r>
              <w:t>Overhead-measured monitoring arm; COMPLETE status required</w:t>
            </w:r>
          </w:p>
        </w:tc>
      </w:tr>
      <w:tr>
        <w:tc>
          <w:tcPr>
            <w:tcW w:type="dxa" w:w="4320"/>
          </w:tcPr>
          <w:p>
            <w:r>
              <w:t>DataGen + manifests</w:t>
            </w:r>
          </w:p>
        </w:tc>
        <w:tc>
          <w:tcPr>
            <w:tcW w:type="dxa" w:w="4320"/>
          </w:tcPr>
          <w:p>
            <w:r>
              <w:t>Seeded datasets; checksums; size-bin ground truth (never live-measured)</w:t>
            </w:r>
          </w:p>
        </w:tc>
      </w:tr>
      <w:tr>
        <w:tc>
          <w:tcPr>
            <w:tcW w:type="dxa" w:w="4320"/>
          </w:tcPr>
          <w:p>
            <w:r>
              <w:t>Runner clock</w:t>
            </w:r>
          </w:p>
        </w:tc>
        <w:tc>
          <w:tcPr>
            <w:tcW w:type="dxa" w:w="4320"/>
          </w:tcPr>
          <w:p>
            <w:r>
              <w:t>Sole timing authority; 2 warmups discarded per session</w:t>
            </w:r>
          </w:p>
        </w:tc>
      </w:tr>
    </w:tbl>
    <w:p/>
    <w:p>
      <w:r>
        <w:t>Scale behavior confirms the workloads exercise distinct regimes: pooled median runtimes span 1.6s (small join) to 30.6s (medium aggregation), so the action grid is tested against both sub-second overhead-sensitive jobs and long shuffle-dominated ones. The twice-consumed cached intermediate in F5_mixed is the one structural feature that interacts with session restarts — changing parallelism destroys the JVM cache the pipeline depends on — which is why per-phase action changes were ruled out as a frozen-vs-frozen conflict rather than attempted. Determinism is enforced below the jobs as well: the smoke matrix (session creation, DataFrame operations, Parquet round-trip with exact checksums, event-log shape, clean shutdown across 13 checks) re-verifies the backend contract, so a regression in the platform surfaces as a failed gate rather than a mysterious result shift.</w:t>
      </w:r>
    </w:p>
    <w:p>
      <w:r>
        <w:drawing>
          <wp:inline xmlns:a="http://schemas.openxmlformats.org/drawingml/2006/main" xmlns:pic="http://schemas.openxmlformats.org/drawingml/2006/picture">
            <wp:extent cx="5486400" cy="2369389"/>
            <wp:docPr id="8" name="Picture 8"/>
            <wp:cNvGraphicFramePr>
              <a:graphicFrameLocks noChangeAspect="1"/>
            </wp:cNvGraphicFramePr>
            <a:graphic>
              <a:graphicData uri="http://schemas.openxmlformats.org/drawingml/2006/picture">
                <pic:pic>
                  <pic:nvPicPr>
                    <pic:cNvPr id="0" name="Fig 08 Apache Spark Execution Framework.png"/>
                    <pic:cNvPicPr/>
                  </pic:nvPicPr>
                  <pic:blipFill>
                    <a:blip r:embed="rId16"/>
                    <a:stretch>
                      <a:fillRect/>
                    </a:stretch>
                  </pic:blipFill>
                  <pic:spPr>
                    <a:xfrm>
                      <a:off x="0" y="0"/>
                      <a:ext cx="5486400" cy="2369389"/>
                    </a:xfrm>
                    <a:prstGeom prst="rect"/>
                  </pic:spPr>
                </pic:pic>
              </a:graphicData>
            </a:graphic>
          </wp:inline>
        </w:drawing>
      </w:r>
    </w:p>
    <w:p/>
    <w:p>
      <w:pPr>
        <w:pStyle w:val="Heading1"/>
      </w:pPr>
      <w:r>
        <w:t>7. Reinforcement Learning Optimization Layer</w:t>
      </w:r>
    </w:p>
    <w:p>
      <w:r>
        <w:t>The RL layer is the planning organ of the MAPE-K loop (Figures 9–10). Its formulation is deliberately small and frozen: a 30-state space (state-v1.5: workload class {agg, join, rdd_sort, skew_join, mixed} × size bin {S, M, L} × feedback bin {le0, gt0}), where the size bin comes from dataset manifests recorded before any run — never from live measurement — and missing history maps to the pessimistic `le0` bin by documented convention [3][4]. The 15-state context-only variant (v1) and the 2-state feedback-only variant (v2) exist for the A1/A2 ablations. Continuous telemetry (shuffle, spill, CV, CPU) is collected after execution for reward computation and is never part of the tabular state.</w:t>
      </w:r>
    </w:p>
    <w:p>
      <w:r>
        <w:t>Actions form a 12-cell grid: shuffle partitions {16, 32, 64, 128} × execution parallelism {local-2, local-4, local-8}, with a 4-action structural subset ({0,3,6,9}) for the A4 granularity ablation. Reward is the frozen R3 formula — Equation (1) — combining normalized time improvement against a calibrated T_ref, task-balance, and spill waste, with failure scoring exactly −1:</w:t>
      </w:r>
    </w:p>
    <w:p>
      <w:r>
        <w:t>R(s,a) = 1.0·clip((T_ref − T)/T_ref, −1, +1) + 0.2·(1 − min(1, CV/0.5)) − 0.2·min(1, spill/0.10) − 1.0·1[fail]   (1)</w:t>
      </w:r>
    </w:p>
    <w:p>
      <w:r>
        <w:t>Learning is ε-greedy tabular Q-learning (α = 0.2, γ = 0.0 bandit mode, ε 1.0 → 0.05 at 0.95/episode) with the standard update [3][4]:</w:t>
      </w:r>
    </w:p>
    <w:p>
      <w:r>
        <w:t>Q(s,a) ← Q(s,a) + α·[r − Q(s,a)]   (2)</w:t>
      </w:r>
    </w:p>
    <w:p>
      <w:r>
        <w:t>ε_e = max(0.05, 1.0·0.95^e)   (3) Offline initialization (Q0) seeds every table entry from the median EXP-002 outcomes before the first online episode, so learning starts informed rather than blank; training then proceeds in epochs (full passes over the cell cycle) with checkpoints every 25 episodes and early stopping after 2 stable epochs. Failed episodes update the table at r = −1 rather than being skipped — the mechanism by which the agent learns to avoid pathological configurations.</w:t>
      </w:r>
    </w:p>
    <w:p>
      <w:r>
        <w:t>Offline initialization deserves detail because it carries much of the sample efficiency. Q0 is built exclusively from authorized EXP-002 TRAIN records: per (state, action) cell, the median realized reward becomes the initial Q-value, with evidence-free pairs set optimistically to 0.5 to encourage visitation. Aggregation is median-based (the project's primary statistic), provenance records which grid observations back each entry, and the init is keyed to state-v1.5 keys — which is also why a hypothetical multi-step schema would not inherit it. Bandit mode (γ = 0.0) is the frozen default, not a simplification of convenience: with single-decision episodes the bootstrapping target never activates (0 of 232 recorded training executions ever reached it), and enabling γ = 0.9 would require a non-terminal environment path, per-phase metrics and calibrations, and a new state schema — a build, not a flag, correctly gated NO with five written reopen conditions. The training loop runs epochs defined as full passes over the planned cell cycle, checkpointing every 25 episodes with early stopping after two stable epochs — documented explicitly as a budget-saving heuristic, never as convergence evidence, a distinction three project audits enforce so the stopping rule cannot be misread as a learning claim.</w:t>
      </w:r>
    </w:p>
    <w:p>
      <w:r>
        <w:drawing>
          <wp:inline xmlns:a="http://schemas.openxmlformats.org/drawingml/2006/main" xmlns:pic="http://schemas.openxmlformats.org/drawingml/2006/picture">
            <wp:extent cx="5486400" cy="2263571"/>
            <wp:docPr id="9" name="Picture 9"/>
            <wp:cNvGraphicFramePr>
              <a:graphicFrameLocks noChangeAspect="1"/>
            </wp:cNvGraphicFramePr>
            <a:graphic>
              <a:graphicData uri="http://schemas.openxmlformats.org/drawingml/2006/picture">
                <pic:pic>
                  <pic:nvPicPr>
                    <pic:cNvPr id="0" name="Fig 09 Reinforcement Learning Workflow.png"/>
                    <pic:cNvPicPr/>
                  </pic:nvPicPr>
                  <pic:blipFill>
                    <a:blip r:embed="rId17"/>
                    <a:stretch>
                      <a:fillRect/>
                    </a:stretch>
                  </pic:blipFill>
                  <pic:spPr>
                    <a:xfrm>
                      <a:off x="0" y="0"/>
                      <a:ext cx="5486400" cy="2263571"/>
                    </a:xfrm>
                    <a:prstGeom prst="rect"/>
                  </pic:spPr>
                </pic:pic>
              </a:graphicData>
            </a:graphic>
          </wp:inline>
        </w:drawing>
      </w:r>
    </w:p>
    <w:p/>
    <w:p>
      <w:r>
        <w:drawing>
          <wp:inline xmlns:a="http://schemas.openxmlformats.org/drawingml/2006/main" xmlns:pic="http://schemas.openxmlformats.org/drawingml/2006/picture">
            <wp:extent cx="5486400" cy="2369389"/>
            <wp:docPr id="10" name="Picture 10"/>
            <wp:cNvGraphicFramePr>
              <a:graphicFrameLocks noChangeAspect="1"/>
            </wp:cNvGraphicFramePr>
            <a:graphic>
              <a:graphicData uri="http://schemas.openxmlformats.org/drawingml/2006/picture">
                <pic:pic>
                  <pic:nvPicPr>
                    <pic:cNvPr id="0" name="Fig 10 RL Agent Interaction Model.png"/>
                    <pic:cNvPicPr/>
                  </pic:nvPicPr>
                  <pic:blipFill>
                    <a:blip r:embed="rId18"/>
                    <a:stretch>
                      <a:fillRect/>
                    </a:stretch>
                  </pic:blipFill>
                  <pic:spPr>
                    <a:xfrm>
                      <a:off x="0" y="0"/>
                      <a:ext cx="5486400" cy="2369389"/>
                    </a:xfrm>
                    <a:prstGeom prst="rect"/>
                  </pic:spPr>
                </pic:pic>
              </a:graphicData>
            </a:graphic>
          </wp:inline>
        </w:drawing>
      </w:r>
    </w:p>
    <w:p/>
    <w:p>
      <w:pPr>
        <w:pStyle w:val="Heading1"/>
      </w:pPr>
      <w:r>
        <w:t>8. Adaptive Resource Allocation and Scheduling Framework</w:t>
      </w:r>
    </w:p>
    <w:p>
      <w:r>
        <w:t>Decisions become performance in the scheduling layer (Figures 11–12): the chosen action resolves to a concrete Spark configuration (shuffle partitions + `local[N]` parallelism, restarting the session when parallelism changes), tasks are allocated to executors, and the monitoring layer records the outcome that becomes the next state's feedback. Around the learned policy sit the static strategies that double as evaluation baselines and as deployable fallback policies: B0 (Spark defaults, AQE-off), B0′ (AQE-on reference), B1 (one globally tuned config), B2 (per-family tuned configs), B3 (rule-based: partitions from input size, parallelism from core count), and B4 (equal-budget random search) [9].</w:t>
      </w:r>
    </w:p>
    <w:p>
      <w:r>
        <w:t>Two honest findings shape this layer's presentation. First, the rule heuristic B3 collapsed analytically onto B1 at the studied data volumes (clamp yields 16 partitions at every scale), so the "heuristics" bar in any comparison is effectively the static tuning — recorded as a finding, not engineered around. Second, the AQE-on reference B0′ is fully specified but unexecuted, so claims about complementarity with built-in adaptivity remain prospective. Job prioritization and cluster tuning beyond the 12-action grid (broadcast thresholds, caching, memory fractions) are designed extension points, exercised only in the derived A4 ablation.</w:t>
      </w:r>
    </w:p>
    <w:p>
      <w:pPr>
        <w:pStyle w:val="Heading2"/>
      </w:pPr>
      <w:r>
        <w:t>Table 6: Resource Management Policies</w:t>
      </w:r>
    </w:p>
    <w:tbl>
      <w:tblPr>
        <w:tblStyle w:val="TableGrid"/>
        <w:tblW w:type="auto" w:w="0"/>
        <w:tblLook w:firstColumn="1" w:firstRow="1" w:lastColumn="0" w:lastRow="0" w:noHBand="0" w:noVBand="1" w:val="04A0"/>
      </w:tblPr>
      <w:tblGrid>
        <w:gridCol w:w="2880"/>
        <w:gridCol w:w="2880"/>
        <w:gridCol w:w="2880"/>
      </w:tblGrid>
      <w:tr>
        <w:tc>
          <w:tcPr>
            <w:tcW w:type="dxa" w:w="2880"/>
          </w:tcPr>
          <w:p>
            <w:r>
              <w:t>Policy</w:t>
            </w:r>
          </w:p>
        </w:tc>
        <w:tc>
          <w:tcPr>
            <w:tcW w:type="dxa" w:w="2880"/>
          </w:tcPr>
          <w:p>
            <w:r>
              <w:t>Rule</w:t>
            </w:r>
          </w:p>
        </w:tc>
        <w:tc>
          <w:tcPr>
            <w:tcW w:type="dxa" w:w="2880"/>
          </w:tcPr>
          <w:p>
            <w:r>
              <w:t>Status</w:t>
            </w:r>
          </w:p>
        </w:tc>
      </w:tr>
      <w:tr>
        <w:tc>
          <w:tcPr>
            <w:tcW w:type="dxa" w:w="2880"/>
          </w:tcPr>
          <w:p>
            <w:r>
              <w:t>B0 default</w:t>
            </w:r>
          </w:p>
        </w:tc>
        <w:tc>
          <w:tcPr>
            <w:tcW w:type="dxa" w:w="2880"/>
          </w:tcPr>
          <w:p>
            <w:r>
              <w:t>Factory settings, AQE-off</w:t>
            </w:r>
          </w:p>
        </w:tc>
        <w:tc>
          <w:tcPr>
            <w:tcW w:type="dxa" w:w="2880"/>
          </w:tcPr>
          <w:p>
            <w:r>
              <w:t>Executed (baseline)</w:t>
            </w:r>
          </w:p>
        </w:tc>
      </w:tr>
      <w:tr>
        <w:tc>
          <w:tcPr>
            <w:tcW w:type="dxa" w:w="2880"/>
          </w:tcPr>
          <w:p>
            <w:r>
              <w:t>B0′ AQE-on</w:t>
            </w:r>
          </w:p>
        </w:tc>
        <w:tc>
          <w:tcPr>
            <w:tcW w:type="dxa" w:w="2880"/>
          </w:tcPr>
          <w:p>
            <w:r>
              <w:t>B0 + `aqe_enabled=true`, nothing else</w:t>
            </w:r>
          </w:p>
        </w:tc>
        <w:tc>
          <w:tcPr>
            <w:tcW w:type="dxa" w:w="2880"/>
          </w:tcPr>
          <w:p>
            <w:r>
              <w:t>Specified, not executed</w:t>
            </w:r>
          </w:p>
        </w:tc>
      </w:tr>
      <w:tr>
        <w:tc>
          <w:tcPr>
            <w:tcW w:type="dxa" w:w="2880"/>
          </w:tcPr>
          <w:p>
            <w:r>
              <w:t>B1 static-global</w:t>
            </w:r>
          </w:p>
        </w:tc>
        <w:tc>
          <w:tcPr>
            <w:tcW w:type="dxa" w:w="2880"/>
          </w:tcPr>
          <w:p>
            <w:r>
              <w:t>`G-p8-sp16` (validation-frozen)</w:t>
            </w:r>
          </w:p>
        </w:tc>
        <w:tc>
          <w:tcPr>
            <w:tcW w:type="dxa" w:w="2880"/>
          </w:tcPr>
          <w:p>
            <w:r>
              <w:t>Executed; best 6-cell sum</w:t>
            </w:r>
          </w:p>
        </w:tc>
      </w:tr>
      <w:tr>
        <w:tc>
          <w:tcPr>
            <w:tcW w:type="dxa" w:w="2880"/>
          </w:tcPr>
          <w:p>
            <w:r>
              <w:t>B2 static-per-family</w:t>
            </w:r>
          </w:p>
        </w:tc>
        <w:tc>
          <w:tcPr>
            <w:tcW w:type="dxa" w:w="2880"/>
          </w:tcPr>
          <w:p>
            <w:r>
              <w:t>Best validation config per family</w:t>
            </w:r>
          </w:p>
        </w:tc>
        <w:tc>
          <w:tcPr>
            <w:tcW w:type="dxa" w:w="2880"/>
          </w:tcPr>
          <w:p>
            <w:r>
              <w:t>Executed (3 eligible cells)</w:t>
            </w:r>
          </w:p>
        </w:tc>
      </w:tr>
      <w:tr>
        <w:tc>
          <w:tcPr>
            <w:tcW w:type="dxa" w:w="2880"/>
          </w:tcPr>
          <w:p>
            <w:r>
              <w:t>B3 size rule</w:t>
            </w:r>
          </w:p>
        </w:tc>
        <w:tc>
          <w:tcPr>
            <w:tcW w:type="dxa" w:w="2880"/>
          </w:tcPr>
          <w:p>
            <w:r>
              <w:t>`clamp(input_GB × 7.45, 16, 128)` + cores→parallelism</w:t>
            </w:r>
          </w:p>
        </w:tc>
        <w:tc>
          <w:tcPr>
            <w:tcW w:type="dxa" w:w="2880"/>
          </w:tcPr>
          <w:p>
            <w:r>
              <w:t>Analytic only; ≡ B1 here</w:t>
            </w:r>
          </w:p>
        </w:tc>
      </w:tr>
      <w:tr>
        <w:tc>
          <w:tcPr>
            <w:tcW w:type="dxa" w:w="2880"/>
          </w:tcPr>
          <w:p>
            <w:r>
              <w:t>B4 random search</w:t>
            </w:r>
          </w:p>
        </w:tc>
        <w:tc>
          <w:tcPr>
            <w:tcW w:type="dxa" w:w="2880"/>
          </w:tcPr>
          <w:p>
            <w:r>
              <w:t>84 TRAIN-calibrated draws, co-executed</w:t>
            </w:r>
          </w:p>
        </w:tc>
        <w:tc>
          <w:tcPr>
            <w:tcW w:type="dxa" w:w="2880"/>
          </w:tcPr>
          <w:p>
            <w:r>
              <w:t>Executed; ≈ RL-s0</w:t>
            </w:r>
          </w:p>
        </w:tc>
      </w:tr>
      <w:tr>
        <w:tc>
          <w:tcPr>
            <w:tcW w:type="dxa" w:w="2880"/>
          </w:tcPr>
          <w:p>
            <w:r>
              <w:t>RL-s0/s1/s2</w:t>
            </w:r>
          </w:p>
        </w:tc>
        <w:tc>
          <w:tcPr>
            <w:tcW w:type="dxa" w:w="2880"/>
          </w:tcPr>
          <w:p>
            <w:r>
              <w:t>Frozen greedy Q policies (3 seeds)</w:t>
            </w:r>
          </w:p>
        </w:tc>
        <w:tc>
          <w:tcPr>
            <w:tcW w:type="dxa" w:w="2880"/>
          </w:tcPr>
          <w:p>
            <w:r>
              <w:t>Executed as separate arms</w:t>
            </w:r>
          </w:p>
        </w:tc>
      </w:tr>
    </w:tbl>
    <w:p/>
    <w:p>
      <w:r>
        <w:t>Resolution mechanics are deliberately explicit. The winning action's shuffle level and parallelism level are written into a static configuration object validated against the frozen schema; parallelism changes trigger a session restart (Spark requires it), while partition-only changes apply in-session. The twice-consumed F5 cache is preserved across same-parallelism decisions and rebuilt after restarts, with rebuild cost landing inside the measured execution time rather than hidden beside it. Prioritization across queued decisions follows registration order with per-run provenance (queue index recorded), which is also how the F1_agg|large|s3 queue-order confound was detected and disclosed instead of averaged away. Cluster tuning beyond the grid — executor memory, serializer, spill thresholds — stays fixed precisely so the 12-action comparison measures configuration selection rather than platform drift.</w:t>
      </w:r>
    </w:p>
    <w:p>
      <w:r>
        <w:drawing>
          <wp:inline xmlns:a="http://schemas.openxmlformats.org/drawingml/2006/main" xmlns:pic="http://schemas.openxmlformats.org/drawingml/2006/picture">
            <wp:extent cx="5486400" cy="2263571"/>
            <wp:docPr id="11" name="Picture 11"/>
            <wp:cNvGraphicFramePr>
              <a:graphicFrameLocks noChangeAspect="1"/>
            </wp:cNvGraphicFramePr>
            <a:graphic>
              <a:graphicData uri="http://schemas.openxmlformats.org/drawingml/2006/picture">
                <pic:pic>
                  <pic:nvPicPr>
                    <pic:cNvPr id="0" name="Fig 11 Dynamic Resource Allocation Model.png"/>
                    <pic:cNvPicPr/>
                  </pic:nvPicPr>
                  <pic:blipFill>
                    <a:blip r:embed="rId19"/>
                    <a:stretch>
                      <a:fillRect/>
                    </a:stretch>
                  </pic:blipFill>
                  <pic:spPr>
                    <a:xfrm>
                      <a:off x="0" y="0"/>
                      <a:ext cx="5486400" cy="2263571"/>
                    </a:xfrm>
                    <a:prstGeom prst="rect"/>
                  </pic:spPr>
                </pic:pic>
              </a:graphicData>
            </a:graphic>
          </wp:inline>
        </w:drawing>
      </w:r>
    </w:p>
    <w:p/>
    <w:p>
      <w:r>
        <w:drawing>
          <wp:inline xmlns:a="http://schemas.openxmlformats.org/drawingml/2006/main" xmlns:pic="http://schemas.openxmlformats.org/drawingml/2006/picture">
            <wp:extent cx="5486400" cy="2369389"/>
            <wp:docPr id="12" name="Picture 12"/>
            <wp:cNvGraphicFramePr>
              <a:graphicFrameLocks noChangeAspect="1"/>
            </wp:cNvGraphicFramePr>
            <a:graphic>
              <a:graphicData uri="http://schemas.openxmlformats.org/drawingml/2006/picture">
                <pic:pic>
                  <pic:nvPicPr>
                    <pic:cNvPr id="0" name="Fig 12 Adaptive Scheduling Framework.png"/>
                    <pic:cNvPicPr/>
                  </pic:nvPicPr>
                  <pic:blipFill>
                    <a:blip r:embed="rId20"/>
                    <a:stretch>
                      <a:fillRect/>
                    </a:stretch>
                  </pic:blipFill>
                  <pic:spPr>
                    <a:xfrm>
                      <a:off x="0" y="0"/>
                      <a:ext cx="5486400" cy="2369389"/>
                    </a:xfrm>
                    <a:prstGeom prst="rect"/>
                  </pic:spPr>
                </pic:pic>
              </a:graphicData>
            </a:graphic>
          </wp:inline>
        </w:drawing>
      </w:r>
    </w:p>
    <w:p/>
    <w:p>
      <w:pPr>
        <w:pStyle w:val="Heading1"/>
      </w:pPr>
      <w:r>
        <w:t>9. Self-Tuning Performance Optimization Layer</w:t>
      </w:r>
    </w:p>
    <w:p>
      <w:r>
        <w:t>Self-tuning is the execution half of adaptation: partition optimization (the shuffle-partition axis of the action grid), executor configuration (the parallelism axis, via session restart), cache management for the F5 mixed pipeline's twice-consumed intermediate, and workload balancing across executors (Figure 13). The parameter lifecycle (Figure 14) runs calibrate → initialize (Q0) → adapt online → freeze → evaluate, with each transition gated: sensitivity before learning (EXP-002 gate), budget guard during learning (≤500), sealed test set during evaluation.</w:t>
      </w:r>
    </w:p>
    <w:p>
      <w:r>
        <w:t>The ablation program tests which design choices earn their keep. A1/A2 (state variants) showed zero cross-seed greedy agreement in both representations — evidence that state design alone does not stabilize tabular policies at this sample density. The derived A3/A4 study recomputed 48 evidence pairs from the frozen EXP-002 store at zero execution cost: time-only reward agrees with R3's greedy choice on 4/4 states (differing on 8/48 pairs, all in `rdd_sort`), while the 4-action subset cannot reach the frozen B1 or two of three B2 configurations — a structural argument, measured rather than asserted, for keeping the full 12-action grid. Multi-step learning (A5, γ = 0.9) was gated NO before any build: the environment has no non-terminal path, the state has no phase field, and per-phase calibration exists nowhere — recorded with reopen conditions rather than silently dropped.</w:t>
      </w:r>
    </w:p>
    <w:p>
      <w:r>
        <w:t>Cache management illustrates the layer's evidence-first style: rather than asserting caching benefits, the F5 pipeline's shared intermediate is timed inside the job, so any gain or loss appears in the primary metric automatically. Partition optimization carries the strongest measured result in the report (the EXP-002 gate), while executor configuration carries the subtlest — parallelism interacts with session restarts and cache lifetime, which is why the action grid varies both axes jointly instead of pretending they are independent. Workload balancing is observed through task-duration CV (an R3 term with reference 0.5) rather than controlled directly, keeping the layer's scope to parameters the grid actually sets. Together the ablations bound the design: state representation and reward shaping move little at this sample density, action granularity is load-bearing (the subset cannot reach the best static configs), and depth (multi-step) is a different system, not a larger one.</w:t>
      </w:r>
    </w:p>
    <w:p>
      <w:r>
        <w:drawing>
          <wp:inline xmlns:a="http://schemas.openxmlformats.org/drawingml/2006/main" xmlns:pic="http://schemas.openxmlformats.org/drawingml/2006/picture">
            <wp:extent cx="5486400" cy="2369389"/>
            <wp:docPr id="13" name="Picture 13"/>
            <wp:cNvGraphicFramePr>
              <a:graphicFrameLocks noChangeAspect="1"/>
            </wp:cNvGraphicFramePr>
            <a:graphic>
              <a:graphicData uri="http://schemas.openxmlformats.org/drawingml/2006/picture">
                <pic:pic>
                  <pic:nvPicPr>
                    <pic:cNvPr id="0" name="Fig 13 Self-Tuning Architecture.png"/>
                    <pic:cNvPicPr/>
                  </pic:nvPicPr>
                  <pic:blipFill>
                    <a:blip r:embed="rId21"/>
                    <a:stretch>
                      <a:fillRect/>
                    </a:stretch>
                  </pic:blipFill>
                  <pic:spPr>
                    <a:xfrm>
                      <a:off x="0" y="0"/>
                      <a:ext cx="5486400" cy="2369389"/>
                    </a:xfrm>
                    <a:prstGeom prst="rect"/>
                  </pic:spPr>
                </pic:pic>
              </a:graphicData>
            </a:graphic>
          </wp:inline>
        </w:drawing>
      </w:r>
    </w:p>
    <w:p/>
    <w:p>
      <w:r>
        <w:drawing>
          <wp:inline xmlns:a="http://schemas.openxmlformats.org/drawingml/2006/main" xmlns:pic="http://schemas.openxmlformats.org/drawingml/2006/picture">
            <wp:extent cx="5486400" cy="1943819"/>
            <wp:docPr id="14" name="Picture 14"/>
            <wp:cNvGraphicFramePr>
              <a:graphicFrameLocks noChangeAspect="1"/>
            </wp:cNvGraphicFramePr>
            <a:graphic>
              <a:graphicData uri="http://schemas.openxmlformats.org/drawingml/2006/picture">
                <pic:pic>
                  <pic:nvPicPr>
                    <pic:cNvPr id="0" name="Fig 14 Parameter Optimization Lifecycle.png"/>
                    <pic:cNvPicPr/>
                  </pic:nvPicPr>
                  <pic:blipFill>
                    <a:blip r:embed="rId22"/>
                    <a:stretch>
                      <a:fillRect/>
                    </a:stretch>
                  </pic:blipFill>
                  <pic:spPr>
                    <a:xfrm>
                      <a:off x="0" y="0"/>
                      <a:ext cx="5486400" cy="1943819"/>
                    </a:xfrm>
                    <a:prstGeom prst="rect"/>
                  </pic:spPr>
                </pic:pic>
              </a:graphicData>
            </a:graphic>
          </wp:inline>
        </w:drawing>
      </w:r>
    </w:p>
    <w:p/>
    <w:p>
      <w:pPr>
        <w:pStyle w:val="Heading1"/>
      </w:pPr>
      <w:r>
        <w:t>10. Explainability and Decision Intelligence Layer</w:t>
      </w:r>
    </w:p>
    <w:p>
      <w:r>
        <w:t>A policy the operator cannot inspect is a liability, so AdaSpark treats explainability as a layer rather than a paragraph (Figures 15–16). Every decision is traceable: the acting policy is a named checkpoint in the policy store (e.g., `b801f4a7df200b04`, 84 episodes, ε = 0.05), its Q-table is a plain JSON mapping states to action values, and the manifest behind it records code version, seeds, and cell coverage. No decision is ever a black-box output — the greedy action for any state can be read off the table and checked against the evidence density behind it (episodes per state per seed).</w:t>
      </w:r>
    </w:p>
    <w:p>
      <w:r>
        <w:t>Confidence is quantified, not asserted. Equation (2) defines the decision-confidence score as cross-seed greedy-policy agreement — the fraction of evidence-bearing states on which independently trained replicates choose the same action:</w:t>
      </w:r>
    </w:p>
    <w:p>
      <w:r>
        <w:t>conf(s) = |{seeds agreeing on argmax_a Q_seed(s,a)}| / |seeds|,   C = mean over evidence-bearing states   (4)</w:t>
      </w:r>
    </w:p>
    <w:p>
      <w:r>
        <w:t>Measured at C = 0.20 against a 0.70 threshold (M8, FAIL), this score did exactly what a confidence measure should do: it blocked the promotion of a single "winner" and forced the honest reporting of three replicate arms (DEC-015). Explainability here is therefore not visualization alone but decision intelligence — the system refusing to claim more than its evidence supports, with the refusal itself recorded.</w:t>
      </w:r>
    </w:p>
    <w:p>
      <w:r>
        <w:drawing>
          <wp:inline xmlns:a="http://schemas.openxmlformats.org/drawingml/2006/main" xmlns:pic="http://schemas.openxmlformats.org/drawingml/2006/picture">
            <wp:extent cx="5486400" cy="2369389"/>
            <wp:docPr id="15" name="Picture 15"/>
            <wp:cNvGraphicFramePr>
              <a:graphicFrameLocks noChangeAspect="1"/>
            </wp:cNvGraphicFramePr>
            <a:graphic>
              <a:graphicData uri="http://schemas.openxmlformats.org/drawingml/2006/picture">
                <pic:pic>
                  <pic:nvPicPr>
                    <pic:cNvPr id="0" name="Fig 15 Explainable RL Framework.png"/>
                    <pic:cNvPicPr/>
                  </pic:nvPicPr>
                  <pic:blipFill>
                    <a:blip r:embed="rId23"/>
                    <a:stretch>
                      <a:fillRect/>
                    </a:stretch>
                  </pic:blipFill>
                  <pic:spPr>
                    <a:xfrm>
                      <a:off x="0" y="0"/>
                      <a:ext cx="5486400" cy="2369389"/>
                    </a:xfrm>
                    <a:prstGeom prst="rect"/>
                  </pic:spPr>
                </pic:pic>
              </a:graphicData>
            </a:graphic>
          </wp:inline>
        </w:drawing>
      </w:r>
    </w:p>
    <w:p/>
    <w:p>
      <w:r>
        <w:drawing>
          <wp:inline xmlns:a="http://schemas.openxmlformats.org/drawingml/2006/main" xmlns:pic="http://schemas.openxmlformats.org/drawingml/2006/picture">
            <wp:extent cx="5486400" cy="2050786"/>
            <wp:docPr id="16" name="Picture 16"/>
            <wp:cNvGraphicFramePr>
              <a:graphicFrameLocks noChangeAspect="1"/>
            </wp:cNvGraphicFramePr>
            <a:graphic>
              <a:graphicData uri="http://schemas.openxmlformats.org/drawingml/2006/picture">
                <pic:pic>
                  <pic:nvPicPr>
                    <pic:cNvPr id="0" name="Fig 16 Decision Intelligence Workflow.png"/>
                    <pic:cNvPicPr/>
                  </pic:nvPicPr>
                  <pic:blipFill>
                    <a:blip r:embed="rId24"/>
                    <a:stretch>
                      <a:fillRect/>
                    </a:stretch>
                  </pic:blipFill>
                  <pic:spPr>
                    <a:xfrm>
                      <a:off x="0" y="0"/>
                      <a:ext cx="5486400" cy="2050786"/>
                    </a:xfrm>
                    <a:prstGeom prst="rect"/>
                  </pic:spPr>
                </pic:pic>
              </a:graphicData>
            </a:graphic>
          </wp:inline>
        </w:drawing>
      </w:r>
    </w:p>
    <w:p/>
    <w:p>
      <w:pPr>
        <w:pStyle w:val="Heading1"/>
      </w:pPr>
      <w:r>
        <w:t>11. Monitoring, Feedback, and Learning Layer</w:t>
      </w:r>
    </w:p>
    <w:p>
      <w:r>
        <w:t>Monitoring is the MAPE-K sensor and theInstitution's measurement instrument in one (Figure 17). Two arms instrument every run: a system-metrics sampler (host + process CPU/memory, retained at ≈3.0 samples per job-second with no starvation across 1,614 monitored runs) and Spark's own event log (COMPLETE status required for validity) [10][27]. A fixed metrics schema (execution time, task-duration CV, spill bytes, log status) is merged and validated per record; timing-validity is a per-record property checked against the runner clock, which is how the 4,842-run extension study holds zero deviations.</w:t>
      </w:r>
    </w:p>
    <w:p>
      <w:r>
        <w:t>Feedback closes the loop in two timescales. Online, each episode's reward updates the Q-table under the budget guard; offline, the monitoring record supports the adjudication studies of Section 15 — including the finding that repetitions are regime-structured episodes (lag-1 autocorrelation +0.58…+0.89; contention windows to 75% dispersion; CUSUM level shifts common across interleaved arms), which reframes "noise" as measurable host dynamics. Policy refinement is thus evidence-limited by design: when the record shows instability (M8 0.20), the layer reports replicates rather than refining toward a mirage.</w:t>
      </w:r>
    </w:p>
    <w:p>
      <w:pPr>
        <w:pStyle w:val="Heading2"/>
      </w:pPr>
      <w:r>
        <w:t>Table 7: Monitoring Metrics and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Source</w:t>
            </w:r>
          </w:p>
        </w:tc>
        <w:tc>
          <w:tcPr>
            <w:tcW w:type="dxa" w:w="2880"/>
          </w:tcPr>
          <w:p>
            <w:r>
              <w:t>Used for</w:t>
            </w:r>
          </w:p>
        </w:tc>
      </w:tr>
      <w:tr>
        <w:tc>
          <w:tcPr>
            <w:tcW w:type="dxa" w:w="2880"/>
          </w:tcPr>
          <w:p>
            <w:r>
              <w:t>`execution_time_s` (runner clock)</w:t>
            </w:r>
          </w:p>
        </w:tc>
        <w:tc>
          <w:tcPr>
            <w:tcW w:type="dxa" w:w="2880"/>
          </w:tcPr>
          <w:p>
            <w:r>
              <w:t>Harness</w:t>
            </w:r>
          </w:p>
        </w:tc>
        <w:tc>
          <w:tcPr>
            <w:tcW w:type="dxa" w:w="2880"/>
          </w:tcPr>
          <w:p>
            <w:r>
              <w:t>Primary outcome; reward time term</w:t>
            </w:r>
          </w:p>
        </w:tc>
      </w:tr>
      <w:tr>
        <w:tc>
          <w:tcPr>
            <w:tcW w:type="dxa" w:w="2880"/>
          </w:tcPr>
          <w:p>
            <w:r>
              <w:t>`task_duration_cv`</w:t>
            </w:r>
          </w:p>
        </w:tc>
        <w:tc>
          <w:tcPr>
            <w:tcW w:type="dxa" w:w="2880"/>
          </w:tcPr>
          <w:p>
            <w:r>
              <w:t>Spark tasks</w:t>
            </w:r>
          </w:p>
        </w:tc>
        <w:tc>
          <w:tcPr>
            <w:tcW w:type="dxa" w:w="2880"/>
          </w:tcPr>
          <w:p>
            <w:r>
              <w:t>R3 imbalance term (ref 0.5)</w:t>
            </w:r>
          </w:p>
        </w:tc>
      </w:tr>
      <w:tr>
        <w:tc>
          <w:tcPr>
            <w:tcW w:type="dxa" w:w="2880"/>
          </w:tcPr>
          <w:p>
            <w:r>
              <w:t>`spill_disk_bytes` / input</w:t>
            </w:r>
          </w:p>
        </w:tc>
        <w:tc>
          <w:tcPr>
            <w:tcW w:type="dxa" w:w="2880"/>
          </w:tcPr>
          <w:p>
            <w:r>
              <w:t>Spark + manifest</w:t>
            </w:r>
          </w:p>
        </w:tc>
        <w:tc>
          <w:tcPr>
            <w:tcW w:type="dxa" w:w="2880"/>
          </w:tcPr>
          <w:p>
            <w:r>
              <w:t>R3 waste term (ref 0.10)</w:t>
            </w:r>
          </w:p>
        </w:tc>
      </w:tr>
      <w:tr>
        <w:tc>
          <w:tcPr>
            <w:tcW w:type="dxa" w:w="2880"/>
          </w:tcPr>
          <w:p>
            <w:r>
              <w:t>System CPU/memory samples (~3/s)</w:t>
            </w:r>
          </w:p>
        </w:tc>
        <w:tc>
          <w:tcPr>
            <w:tcW w:type="dxa" w:w="2880"/>
          </w:tcPr>
          <w:p>
            <w:r>
              <w:t>Sampler daemon</w:t>
            </w:r>
          </w:p>
        </w:tc>
        <w:tc>
          <w:tcPr>
            <w:tcW w:type="dxa" w:w="2880"/>
          </w:tcPr>
          <w:p>
            <w:r>
              <w:t>Overhead arm; regime context</w:t>
            </w:r>
          </w:p>
        </w:tc>
      </w:tr>
      <w:tr>
        <w:tc>
          <w:tcPr>
            <w:tcW w:type="dxa" w:w="2880"/>
          </w:tcPr>
          <w:p>
            <w:r>
              <w:t>Event-log status/bytes</w:t>
            </w:r>
          </w:p>
        </w:tc>
        <w:tc>
          <w:tcPr>
            <w:tcW w:type="dxa" w:w="2880"/>
          </w:tcPr>
          <w:p>
            <w:r>
              <w:t>Spark listener bus</w:t>
            </w:r>
          </w:p>
        </w:tc>
        <w:tc>
          <w:tcPr>
            <w:tcW w:type="dxa" w:w="2880"/>
          </w:tcPr>
          <w:p>
            <w:r>
              <w:t>Overhead arm; validity gate</w:t>
            </w:r>
          </w:p>
        </w:tc>
      </w:tr>
      <w:tr>
        <w:tc>
          <w:tcPr>
            <w:tcW w:type="dxa" w:w="2880"/>
          </w:tcPr>
          <w:p>
            <w:r>
              <w:t>Lag-1..10 ACF, CUSUM shifts</w:t>
            </w:r>
          </w:p>
        </w:tc>
        <w:tc>
          <w:tcPr>
            <w:tcW w:type="dxa" w:w="2880"/>
          </w:tcPr>
          <w:p>
            <w:r>
              <w:t>Re-analysis (R2)</w:t>
            </w:r>
          </w:p>
        </w:tc>
        <w:tc>
          <w:tcPr>
            <w:tcW w:type="dxa" w:w="2880"/>
          </w:tcPr>
          <w:p>
            <w:r>
              <w:t>Dependence evidence; §15/§20</w:t>
            </w:r>
          </w:p>
        </w:tc>
      </w:tr>
      <w:tr>
        <w:tc>
          <w:tcPr>
            <w:tcW w:type="dxa" w:w="2880"/>
          </w:tcPr>
          <w:p>
            <w:r>
              <w:t>Config/latency provenance</w:t>
            </w:r>
          </w:p>
        </w:tc>
        <w:tc>
          <w:tcPr>
            <w:tcW w:type="dxa" w:w="2880"/>
          </w:tcPr>
          <w:p>
            <w:r>
              <w:t>Manifests</w:t>
            </w:r>
          </w:p>
        </w:tc>
        <w:tc>
          <w:tcPr>
            <w:tcW w:type="dxa" w:w="2880"/>
          </w:tcPr>
          <w:p>
            <w:r>
              <w:t>Audit trail; reproducibility</w:t>
            </w:r>
          </w:p>
        </w:tc>
      </w:tr>
    </w:tbl>
    <w:p/>
    <w:p>
      <w:r>
        <w:drawing>
          <wp:inline xmlns:a="http://schemas.openxmlformats.org/drawingml/2006/main" xmlns:pic="http://schemas.openxmlformats.org/drawingml/2006/picture">
            <wp:extent cx="5486400" cy="2369389"/>
            <wp:docPr id="17" name="Picture 17"/>
            <wp:cNvGraphicFramePr>
              <a:graphicFrameLocks noChangeAspect="1"/>
            </wp:cNvGraphicFramePr>
            <a:graphic>
              <a:graphicData uri="http://schemas.openxmlformats.org/drawingml/2006/picture">
                <pic:pic>
                  <pic:nvPicPr>
                    <pic:cNvPr id="0" name="Fig 17 Monitoring and Feedback Loop.png"/>
                    <pic:cNvPicPr/>
                  </pic:nvPicPr>
                  <pic:blipFill>
                    <a:blip r:embed="rId25"/>
                    <a:stretch>
                      <a:fillRect/>
                    </a:stretch>
                  </pic:blipFill>
                  <pic:spPr>
                    <a:xfrm>
                      <a:off x="0" y="0"/>
                      <a:ext cx="5486400" cy="2369389"/>
                    </a:xfrm>
                    <a:prstGeom prst="rect"/>
                  </pic:spPr>
                </pic:pic>
              </a:graphicData>
            </a:graphic>
          </wp:inline>
        </w:drawing>
      </w:r>
    </w:p>
    <w:p/>
    <w:p>
      <w:pPr>
        <w:pStyle w:val="Heading1"/>
      </w:pPr>
      <w:r>
        <w:t>12. Security, Reliability, and Governance Layer</w:t>
      </w:r>
    </w:p>
    <w:p>
      <w:r>
        <w:t>Governance is what makes the loop deployable rather than merely interesting (Figure 18). Cluster security is simplified by the single-node deployment (no new network services; the sampler is a local daemon thread), while policy enforcement is where the layer is strictest: the 500-execution budget is an environment-owned guard counted across manifests, the F-FAIL invariant forbids failed configurations from ever yielding positive reward, and the TEST seal is a code-level authorization boundary verified by 36 gate checks — not a convention. Access control maps to these same guards: training, validation, and test splits each admit only their authorized entry points, and any crossing needs a named decision before a single run.</w:t>
      </w:r>
    </w:p>
    <w:p>
      <w:r>
        <w:t>Reliability mechanisms operate at three levels: run level (timeouts convert pathological configs into −1 rewards instead of hangs), training level (checkpoints every 25 episodes, early stopping, smoke-test gates), and program level (pre-designed Plan-B scope rungs; 46 decision-log entries recording every authorization, reconciliation, and negative outcome). The result is fault tolerance with a paper trail: when the mode gate resolved NO or the agreement gate failed, the project degraded gracefully along planned paths instead of improvising.</w:t>
      </w:r>
    </w:p>
    <w:p>
      <w:pPr>
        <w:pStyle w:val="Heading2"/>
      </w:pPr>
      <w:r>
        <w:t>Table 8: Reliability and Governance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Mechanism</w:t>
            </w:r>
          </w:p>
        </w:tc>
        <w:tc>
          <w:tcPr>
            <w:tcW w:type="dxa" w:w="2880"/>
          </w:tcPr>
          <w:p>
            <w:r>
              <w:t>Verifier</w:t>
            </w:r>
          </w:p>
        </w:tc>
      </w:tr>
      <w:tr>
        <w:tc>
          <w:tcPr>
            <w:tcW w:type="dxa" w:w="2880"/>
          </w:tcPr>
          <w:p>
            <w:r>
              <w:t>Budget guard (≤500)</w:t>
            </w:r>
          </w:p>
        </w:tc>
        <w:tc>
          <w:tcPr>
            <w:tcW w:type="dxa" w:w="2880"/>
          </w:tcPr>
          <w:p>
            <w:r>
              <w:t>Environment-owned counter, manifests summed</w:t>
            </w:r>
          </w:p>
        </w:tc>
        <w:tc>
          <w:tcPr>
            <w:tcW w:type="dxa" w:w="2880"/>
          </w:tcPr>
          <w:p>
            <w:r>
              <w:t>SC6 ledger 483/500</w:t>
            </w:r>
          </w:p>
        </w:tc>
      </w:tr>
      <w:tr>
        <w:tc>
          <w:tcPr>
            <w:tcW w:type="dxa" w:w="2880"/>
          </w:tcPr>
          <w:p>
            <w:r>
              <w:t>F-FAIL (failures never rewarded)</w:t>
            </w:r>
          </w:p>
        </w:tc>
        <w:tc>
          <w:tcPr>
            <w:tcW w:type="dxa" w:w="2880"/>
          </w:tcPr>
          <w:p>
            <w:r>
              <w:t>r = −1 + Q-update applied</w:t>
            </w:r>
          </w:p>
        </w:tc>
        <w:tc>
          <w:tcPr>
            <w:tcW w:type="dxa" w:w="2880"/>
          </w:tcPr>
          <w:p>
            <w:r>
              <w:t>Unit test pins behavior</w:t>
            </w:r>
          </w:p>
        </w:tc>
      </w:tr>
      <w:tr>
        <w:tc>
          <w:tcPr>
            <w:tcW w:type="dxa" w:w="2880"/>
          </w:tcPr>
          <w:p>
            <w:r>
              <w:t>TEST seal</w:t>
            </w:r>
          </w:p>
        </w:tc>
        <w:tc>
          <w:tcPr>
            <w:tcW w:type="dxa" w:w="2880"/>
          </w:tcPr>
          <w:p>
            <w:r>
              <w:t>Authorization guards per split</w:t>
            </w:r>
          </w:p>
        </w:tc>
        <w:tc>
          <w:tcPr>
            <w:tcW w:type="dxa" w:w="2880"/>
          </w:tcPr>
          <w:p>
            <w:r>
              <w:t>Day-31 gate 36/36</w:t>
            </w:r>
          </w:p>
        </w:tc>
      </w:tr>
      <w:tr>
        <w:tc>
          <w:tcPr>
            <w:tcW w:type="dxa" w:w="2880"/>
          </w:tcPr>
          <w:p>
            <w:r>
              <w:t>Deterministic analysis</w:t>
            </w:r>
          </w:p>
        </w:tc>
        <w:tc>
          <w:tcPr>
            <w:tcW w:type="dxa" w:w="2880"/>
          </w:tcPr>
          <w:p>
            <w:r>
              <w:t>Seeded resampling, frozen code</w:t>
            </w:r>
          </w:p>
        </w:tc>
        <w:tc>
          <w:tcPr>
            <w:tcW w:type="dxa" w:w="2880"/>
          </w:tcPr>
          <w:p>
            <w:r>
              <w:t>16/16 corroboration</w:t>
            </w:r>
          </w:p>
        </w:tc>
      </w:tr>
      <w:tr>
        <w:tc>
          <w:tcPr>
            <w:tcW w:type="dxa" w:w="2880"/>
          </w:tcPr>
          <w:p>
            <w:r>
              <w:t>Immutable record</w:t>
            </w:r>
          </w:p>
        </w:tc>
        <w:tc>
          <w:tcPr>
            <w:tcW w:type="dxa" w:w="2880"/>
          </w:tcPr>
          <w:p>
            <w:r>
              <w:t>Content hashes, no-overwrite artifacts</w:t>
            </w:r>
          </w:p>
        </w:tc>
        <w:tc>
          <w:tcPr>
            <w:tcW w:type="dxa" w:w="2880"/>
          </w:tcPr>
          <w:p>
            <w:r>
              <w:t>Reproducibility harness</w:t>
            </w:r>
          </w:p>
        </w:tc>
      </w:tr>
      <w:tr>
        <w:tc>
          <w:tcPr>
            <w:tcW w:type="dxa" w:w="2880"/>
          </w:tcPr>
          <w:p>
            <w:r>
              <w:t>Scope discipline</w:t>
            </w:r>
          </w:p>
        </w:tc>
        <w:tc>
          <w:tcPr>
            <w:tcW w:type="dxa" w:w="2880"/>
          </w:tcPr>
          <w:p>
            <w:r>
              <w:t>Pre-designed Plan-B rungs</w:t>
            </w:r>
          </w:p>
        </w:tc>
        <w:tc>
          <w:tcPr>
            <w:tcW w:type="dxa" w:w="2880"/>
          </w:tcPr>
          <w:p>
            <w:r>
              <w:t>DEC-011 consumed rung 1</w:t>
            </w:r>
          </w:p>
        </w:tc>
      </w:tr>
      <w:tr>
        <w:tc>
          <w:tcPr>
            <w:tcW w:type="dxa" w:w="2880"/>
          </w:tcPr>
          <w:p>
            <w:r>
              <w:t>Negative-outcome reporting</w:t>
            </w:r>
          </w:p>
        </w:tc>
        <w:tc>
          <w:tcPr>
            <w:tcW w:type="dxa" w:w="2880"/>
          </w:tcPr>
          <w:p>
            <w:r>
              <w:t>Decision log entries</w:t>
            </w:r>
          </w:p>
        </w:tc>
        <w:tc>
          <w:tcPr>
            <w:tcW w:type="dxa" w:w="2880"/>
          </w:tcPr>
          <w:p>
            <w:r>
              <w:t>M8 FAIL, H2/H3 open</w:t>
            </w:r>
          </w:p>
        </w:tc>
      </w:tr>
    </w:tbl>
    <w:p/>
    <w:p>
      <w:r>
        <w:drawing>
          <wp:inline xmlns:a="http://schemas.openxmlformats.org/drawingml/2006/main" xmlns:pic="http://schemas.openxmlformats.org/drawingml/2006/picture">
            <wp:extent cx="5486400" cy="2369389"/>
            <wp:docPr id="18" name="Picture 18"/>
            <wp:cNvGraphicFramePr>
              <a:graphicFrameLocks noChangeAspect="1"/>
            </wp:cNvGraphicFramePr>
            <a:graphic>
              <a:graphicData uri="http://schemas.openxmlformats.org/drawingml/2006/picture">
                <pic:pic>
                  <pic:nvPicPr>
                    <pic:cNvPr id="0" name="Fig 18 Security and Governance Architecture.png"/>
                    <pic:cNvPicPr/>
                  </pic:nvPicPr>
                  <pic:blipFill>
                    <a:blip r:embed="rId26"/>
                    <a:stretch>
                      <a:fillRect/>
                    </a:stretch>
                  </pic:blipFill>
                  <pic:spPr>
                    <a:xfrm>
                      <a:off x="0" y="0"/>
                      <a:ext cx="5486400" cy="2369389"/>
                    </a:xfrm>
                    <a:prstGeom prst="rect"/>
                  </pic:spPr>
                </pic:pic>
              </a:graphicData>
            </a:graphic>
          </wp:inline>
        </w:drawing>
      </w:r>
    </w:p>
    <w:p/>
    <w:p>
      <w:pPr>
        <w:pStyle w:val="Heading1"/>
      </w:pPr>
      <w:r>
        <w:t>13. Experimental Setup</w:t>
      </w:r>
    </w:p>
    <w:p>
      <w:r>
        <w:t>All experiments ran on one frozen backend: Windows 11, Python 3.11.9, Java 17, PySpark 3.5.9 in native local mode (`local[2]`, driver 6 GB, 24 logical cores) — the Day-2 smoke-matrix configuration (13/13 checks) frozen by decision, so hardware and software are constants, not variables (Figure 19). Datasets are seeded synthetics across five families (F1 aggregation, F2 join, F3 RDD sort/filter, F4 skew join, F5 mixed pipeline) at S/M/L scales with checksummed manifests; the RL configuration is tabular Q-learning (α = 0.2, γ = 0.0, ε 1.0 → 0.05, 3 training seeds, Q0-median init, ≤500-execution guard).</w:t>
      </w:r>
    </w:p>
    <w:p>
      <w:r>
        <w:t>Evaluation scenarios span twelve experiments: EXP-001 noise calibration, EXP-002 sensitivity gate, EXP-003 baseline selection, EXP-004 training, EXP-005 main comparison (7 frozen test instances × 7 arms × 5 reps = 245 runs), EXP-006 generalization, EXP-007 state ablations, EXP-008 derived reward/action ablations, EXP-009 monitoring overhead (105 + 4,842 runs), with EXP-010 (public dataset), EXP-011 (±5% reproducibility), and EXP-012 (demo) unexecuted and recorded as such.</w:t>
      </w:r>
    </w:p>
    <w:p>
      <w:pPr>
        <w:pStyle w:val="Heading2"/>
      </w:pPr>
      <w:r>
        <w:t>Table 9: Experimental Configuration Details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Setting</w:t>
            </w:r>
          </w:p>
        </w:tc>
      </w:tr>
      <w:tr>
        <w:tc>
          <w:tcPr>
            <w:tcW w:type="dxa" w:w="4320"/>
          </w:tcPr>
          <w:p>
            <w:r>
              <w:t>Backend</w:t>
            </w:r>
          </w:p>
        </w:tc>
        <w:tc>
          <w:tcPr>
            <w:tcW w:type="dxa" w:w="4320"/>
          </w:tcPr>
          <w:p>
            <w:r>
              <w:t>PySpark 3.5.9 / Java 17 / Python 3.11.9 / Win 11, `local[2]`, driver 6 GB</w:t>
            </w:r>
          </w:p>
        </w:tc>
      </w:tr>
      <w:tr>
        <w:tc>
          <w:tcPr>
            <w:tcW w:type="dxa" w:w="4320"/>
          </w:tcPr>
          <w:p>
            <w:r>
              <w:t>Workloads</w:t>
            </w:r>
          </w:p>
        </w:tc>
        <w:tc>
          <w:tcPr>
            <w:tcW w:type="dxa" w:w="4320"/>
          </w:tcPr>
          <w:p>
            <w:r>
              <w:t>F1_agg, F2_join, F3_rdd, F4_ski, F5_mixed × S/M/L, dataset seed 0</w:t>
            </w:r>
          </w:p>
        </w:tc>
      </w:tr>
      <w:tr>
        <w:tc>
          <w:tcPr>
            <w:tcW w:type="dxa" w:w="4320"/>
          </w:tcPr>
          <w:p>
            <w:r>
              <w:t>Action space</w:t>
            </w:r>
          </w:p>
        </w:tc>
        <w:tc>
          <w:tcPr>
            <w:tcW w:type="dxa" w:w="4320"/>
          </w:tcPr>
          <w:p>
            <w:r>
              <w:t>12 actions (partitions {16,32,64,128} × local {2,4,8})</w:t>
            </w:r>
          </w:p>
        </w:tc>
      </w:tr>
      <w:tr>
        <w:tc>
          <w:tcPr>
            <w:tcW w:type="dxa" w:w="4320"/>
          </w:tcPr>
          <w:p>
            <w:r>
              <w:t>Learner</w:t>
            </w:r>
          </w:p>
        </w:tc>
        <w:tc>
          <w:tcPr>
            <w:tcW w:type="dxa" w:w="4320"/>
          </w:tcPr>
          <w:p>
            <w:r>
              <w:t>Tabular Q, α=0.2, γ=0.0, ε 1.0→0.05, seeds {0,1,2}, Q0-median</w:t>
            </w:r>
          </w:p>
        </w:tc>
      </w:tr>
      <w:tr>
        <w:tc>
          <w:tcPr>
            <w:tcW w:type="dxa" w:w="4320"/>
          </w:tcPr>
          <w:p>
            <w:r>
              <w:t>Budget</w:t>
            </w:r>
          </w:p>
        </w:tc>
        <w:tc>
          <w:tcPr>
            <w:tcW w:type="dxa" w:w="4320"/>
          </w:tcPr>
          <w:p>
            <w:r>
              <w:t>SC6 ≤500 training executions (483 spent, 17 remain)</w:t>
            </w:r>
          </w:p>
        </w:tc>
      </w:tr>
      <w:tr>
        <w:tc>
          <w:tcPr>
            <w:tcW w:type="dxa" w:w="4320"/>
          </w:tcPr>
          <w:p>
            <w:r>
              <w:t>Repetitions</w:t>
            </w:r>
          </w:p>
        </w:tc>
        <w:tc>
          <w:tcPr>
            <w:tcW w:type="dxa" w:w="4320"/>
          </w:tcPr>
          <w:p>
            <w:r>
              <w:t>Median of exactly 5 usable reps (evaluation); n=2 (EXP-002); n=1 (selection)</w:t>
            </w:r>
          </w:p>
        </w:tc>
      </w:tr>
      <w:tr>
        <w:tc>
          <w:tcPr>
            <w:tcW w:type="dxa" w:w="4320"/>
          </w:tcPr>
          <w:p>
            <w:r>
              <w:t>Test discipline</w:t>
            </w:r>
          </w:p>
        </w:tc>
        <w:tc>
          <w:tcPr>
            <w:tcW w:type="dxa" w:w="4320"/>
          </w:tcPr>
          <w:p>
            <w:r>
              <w:t>Frozen instances; sealed TEST; authorization guards</w:t>
            </w:r>
          </w:p>
        </w:tc>
      </w:tr>
    </w:tbl>
    <w:p/>
    <w:p>
      <w:r>
        <w:drawing>
          <wp:inline xmlns:a="http://schemas.openxmlformats.org/drawingml/2006/main" xmlns:pic="http://schemas.openxmlformats.org/drawingml/2006/picture">
            <wp:extent cx="5486400" cy="2369389"/>
            <wp:docPr id="19" name="Picture 19"/>
            <wp:cNvGraphicFramePr>
              <a:graphicFrameLocks noChangeAspect="1"/>
            </wp:cNvGraphicFramePr>
            <a:graphic>
              <a:graphicData uri="http://schemas.openxmlformats.org/drawingml/2006/picture">
                <pic:pic>
                  <pic:nvPicPr>
                    <pic:cNvPr id="0" name="Fig 19 Experimental Testbed Architecture.png"/>
                    <pic:cNvPicPr/>
                  </pic:nvPicPr>
                  <pic:blipFill>
                    <a:blip r:embed="rId27"/>
                    <a:stretch>
                      <a:fillRect/>
                    </a:stretch>
                  </pic:blipFill>
                  <pic:spPr>
                    <a:xfrm>
                      <a:off x="0" y="0"/>
                      <a:ext cx="5486400" cy="2369389"/>
                    </a:xfrm>
                    <a:prstGeom prst="rect"/>
                  </pic:spPr>
                </pic:pic>
              </a:graphicData>
            </a:graphic>
          </wp:inline>
        </w:drawing>
      </w:r>
    </w:p>
    <w:p/>
    <w:p>
      <w:pPr>
        <w:pStyle w:val="Heading1"/>
      </w:pPr>
      <w:r>
        <w:t>14. Evaluation Metrics</w:t>
      </w:r>
    </w:p>
    <w:p>
      <w:r>
        <w:t>The primary metric throughout is median end-to-end execution time over exactly five usable repetitions (Figure 20). Secondary indicators are task-duration CV (imbalance), spill-bytes ratio (waste), and reward convergence (episodes to epsilon floor, greedy-policy agreement). Optimization effectiveness is judged against frozen gates rather than vibes: ≥10% spread for sensitivity (SC1), whole-interval position vs the 5% budget for overhead (SC6 clause 2), cross-seed agreement ≥0.70 for policy promotion (M8), and ±5% median reproducibility (SC7, unevaluated). Reliability metrics count usable/failed/incomplete runs and budget consumption; a failed run is a first-class observation (reward −1), never a dropped row.</w:t>
      </w:r>
    </w:p>
    <w:p>
      <w:pPr>
        <w:pStyle w:val="Heading2"/>
      </w:pPr>
      <w:r>
        <w:t>Table 10: Metrics Definition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Gate / use</w:t>
            </w:r>
          </w:p>
        </w:tc>
      </w:tr>
      <w:tr>
        <w:tc>
          <w:tcPr>
            <w:tcW w:type="dxa" w:w="2880"/>
          </w:tcPr>
          <w:p>
            <w:r>
              <w:t>Median execution time</w:t>
            </w:r>
          </w:p>
        </w:tc>
        <w:tc>
          <w:tcPr>
            <w:tcW w:type="dxa" w:w="2880"/>
          </w:tcPr>
          <w:p>
            <w:r>
              <w:t>Median of 5 usable reps, runner clock</w:t>
            </w:r>
          </w:p>
        </w:tc>
        <w:tc>
          <w:tcPr>
            <w:tcW w:type="dxa" w:w="2880"/>
          </w:tcPr>
          <w:p>
            <w:r>
              <w:t>Primary; all RQs</w:t>
            </w:r>
          </w:p>
        </w:tc>
      </w:tr>
      <w:tr>
        <w:tc>
          <w:tcPr>
            <w:tcW w:type="dxa" w:w="2880"/>
          </w:tcPr>
          <w:p>
            <w:r>
              <w:t>Spread across configs</w:t>
            </w:r>
          </w:p>
        </w:tc>
        <w:tc>
          <w:tcPr>
            <w:tcW w:type="dxa" w:w="2880"/>
          </w:tcPr>
          <w:p>
            <w:r>
              <w:t>(max − min)/min of medians</w:t>
            </w:r>
          </w:p>
        </w:tc>
        <w:tc>
          <w:tcPr>
            <w:tcW w:type="dxa" w:w="2880"/>
          </w:tcPr>
          <w:p>
            <w:r>
              <w:t>≥10% on ≥2 families (SC1/H1)</w:t>
            </w:r>
          </w:p>
        </w:tc>
      </w:tr>
      <w:tr>
        <w:tc>
          <w:tcPr>
            <w:tcW w:type="dxa" w:w="2880"/>
          </w:tcPr>
          <w:p>
            <w:r>
              <w:t>Overhead %</w:t>
            </w:r>
          </w:p>
        </w:tc>
        <w:tc>
          <w:tcPr>
            <w:tcW w:type="dxa" w:w="2880"/>
          </w:tcPr>
          <w:p>
            <w:r>
              <w:t>100·(med_full − med_base)/med_base</w:t>
            </w:r>
          </w:p>
        </w:tc>
        <w:tc>
          <w:tcPr>
            <w:tcW w:type="dxa" w:w="2880"/>
          </w:tcPr>
          <w:p>
            <w:r>
              <w:t>95% CI wholly below 5% (SC6c2)</w:t>
            </w:r>
          </w:p>
        </w:tc>
      </w:tr>
      <w:tr>
        <w:tc>
          <w:tcPr>
            <w:tcW w:type="dxa" w:w="2880"/>
          </w:tcPr>
          <w:p>
            <w:r>
              <w:t>Task CV / spill ratio</w:t>
            </w:r>
          </w:p>
        </w:tc>
        <w:tc>
          <w:tcPr>
            <w:tcW w:type="dxa" w:w="2880"/>
          </w:tcPr>
          <w:p>
            <w:r>
              <w:t>CV of task durations; spill/input</w:t>
            </w:r>
          </w:p>
        </w:tc>
        <w:tc>
          <w:tcPr>
            <w:tcW w:type="dxa" w:w="2880"/>
          </w:tcPr>
          <w:p>
            <w:r>
              <w:t>R3 terms (refs 0.5 / 0.10)</w:t>
            </w:r>
          </w:p>
        </w:tc>
      </w:tr>
      <w:tr>
        <w:tc>
          <w:tcPr>
            <w:tcW w:type="dxa" w:w="2880"/>
          </w:tcPr>
          <w:p>
            <w:r>
              <w:t>Policy agreement</w:t>
            </w:r>
          </w:p>
        </w:tc>
        <w:tc>
          <w:tcPr>
            <w:tcW w:type="dxa" w:w="2880"/>
          </w:tcPr>
          <w:p>
            <w:r>
              <w:t>Cross-seed greedy match fraction</w:t>
            </w:r>
          </w:p>
        </w:tc>
        <w:tc>
          <w:tcPr>
            <w:tcW w:type="dxa" w:w="2880"/>
          </w:tcPr>
          <w:p>
            <w:r>
              <w:t>≥0.70 (M8; measured 0.20)</w:t>
            </w:r>
          </w:p>
        </w:tc>
      </w:tr>
      <w:tr>
        <w:tc>
          <w:tcPr>
            <w:tcW w:type="dxa" w:w="2880"/>
          </w:tcPr>
          <w:p>
            <w:r>
              <w:t>Reproducibility</w:t>
            </w:r>
          </w:p>
        </w:tc>
        <w:tc>
          <w:tcPr>
            <w:tcW w:type="dxa" w:w="2880"/>
          </w:tcPr>
          <w:p>
            <w:r>
              <w:t>Fresh-median within ±5%</w:t>
            </w:r>
          </w:p>
        </w:tc>
        <w:tc>
          <w:tcPr>
            <w:tcW w:type="dxa" w:w="2880"/>
          </w:tcPr>
          <w:p>
            <w:r>
              <w:t>SC7 (not executed)</w:t>
            </w:r>
          </w:p>
        </w:tc>
      </w:tr>
      <w:tr>
        <w:tc>
          <w:tcPr>
            <w:tcW w:type="dxa" w:w="2880"/>
          </w:tcPr>
          <w:p>
            <w:r>
              <w:t>Budget consumed</w:t>
            </w:r>
          </w:p>
        </w:tc>
        <w:tc>
          <w:tcPr>
            <w:tcW w:type="dxa" w:w="2880"/>
          </w:tcPr>
          <w:p>
            <w:r>
              <w:t>Ledger sum over manifests</w:t>
            </w:r>
          </w:p>
        </w:tc>
        <w:tc>
          <w:tcPr>
            <w:tcW w:type="dxa" w:w="2880"/>
          </w:tcPr>
          <w:p>
            <w:r>
              <w:t>≤500 (483 spent)</w:t>
            </w:r>
          </w:p>
        </w:tc>
      </w:tr>
      <w:tr>
        <w:tc>
          <w:tcPr>
            <w:tcW w:type="dxa" w:w="2880"/>
          </w:tcPr>
          <w:p>
            <w:r>
              <w:t>Usable/failed/incomplete</w:t>
            </w:r>
          </w:p>
        </w:tc>
        <w:tc>
          <w:tcPr>
            <w:tcW w:type="dxa" w:w="2880"/>
          </w:tcPr>
          <w:p>
            <w:r>
              <w:t>Per-record validity</w:t>
            </w:r>
          </w:p>
        </w:tc>
        <w:tc>
          <w:tcPr>
            <w:tcW w:type="dxa" w:w="2880"/>
          </w:tcPr>
          <w:p>
            <w:r>
              <w:t>Reliability reporting</w:t>
            </w:r>
          </w:p>
        </w:tc>
      </w:tr>
    </w:tbl>
    <w:p/>
    <w:p>
      <w:r>
        <w:t>Measurement definitions used throughout:</w:t>
      </w:r>
    </w:p>
    <w:p>
      <w:r>
        <w:t>O = 100·(med_full − med_base)/med_base   (5)</w:t>
      </w:r>
    </w:p>
    <w:p>
      <w:r>
        <w:t>h = (CI_hi − CI_lo)/2   (6)</w:t>
      </w:r>
    </w:p>
    <w:p>
      <w:r>
        <w:t>n_req = n·(h/h_target)², h_target = 2pp   (7)</w:t>
      </w:r>
    </w:p>
    <w:p>
      <w:r>
        <w:drawing>
          <wp:inline xmlns:a="http://schemas.openxmlformats.org/drawingml/2006/main" xmlns:pic="http://schemas.openxmlformats.org/drawingml/2006/picture">
            <wp:extent cx="5486400" cy="2050786"/>
            <wp:docPr id="20" name="Picture 20"/>
            <wp:cNvGraphicFramePr>
              <a:graphicFrameLocks noChangeAspect="1"/>
            </wp:cNvGraphicFramePr>
            <a:graphic>
              <a:graphicData uri="http://schemas.openxmlformats.org/drawingml/2006/picture">
                <pic:pic>
                  <pic:nvPicPr>
                    <pic:cNvPr id="0" name="Fig 20 Evaluation Framework.png"/>
                    <pic:cNvPicPr/>
                  </pic:nvPicPr>
                  <pic:blipFill>
                    <a:blip r:embed="rId28"/>
                    <a:stretch>
                      <a:fillRect/>
                    </a:stretch>
                  </pic:blipFill>
                  <pic:spPr>
                    <a:xfrm>
                      <a:off x="0" y="0"/>
                      <a:ext cx="5486400" cy="2050786"/>
                    </a:xfrm>
                    <a:prstGeom prst="rect"/>
                  </pic:spPr>
                </pic:pic>
              </a:graphicData>
            </a:graphic>
          </wp:inline>
        </w:drawing>
      </w:r>
    </w:p>
    <w:p/>
    <w:p>
      <w:pPr>
        <w:pStyle w:val="Heading1"/>
      </w:pPr>
      <w:r>
        <w:t>15. Results and Findings</w:t>
      </w:r>
    </w:p>
    <w:p>
      <w:r>
        <w:t>**Sensitivity (EXP-002, Figure 21 context):** configuration choice moves median execution time by ≥10% on all four tested families — the feasibility gate passes and the learning problem is real. **Training (EXP-004, Figure 23):** three seeds ran 84/49/42 episodes to ε = 0.05/0.081/0.116 under the 500-guard (232 spent at gate time; 483 total), with zero failed submitted configurations — but cross-seed greedy agreement reached only 0.20 against the 0.70 threshold, so no single policy was promoted and all three replicates were evaluated as separate arms.</w:t>
      </w:r>
    </w:p>
    <w:p>
      <w:r>
        <w:t>**Main comparison (EXP-005, Figures 21/24, Table 11):** 245/245 runs (195 usable, 35 failed, 15 incomplete) across 7 frozen instances × 7 arms. On the six cells common to all non-B2 arms, median-of-5 sums are B0 142.38, B1 30.32, B4 38.34, RL-s0 38.15, RL-s1 39.20, RL-s2 45.46s: the learned policies match equal-budget random search but do not beat a well-chosen static tuning, and with only six eligible cells no inferential test was run — H2/H3 remain UNDECIDED by decision, reported descriptively. Per-cell winners split (B1 ×2, B4 ×2, RL-s1 ×1 within noise, F1_agg|large|s3 confounded by queue order), and `F3|large|s3` yielded 0/5 usable runs on every arm (Windows file-lock failure).</w:t>
      </w:r>
    </w:p>
    <w:p>
      <w:r>
        <w:t>**Generalization (EXP-006):** partial — 61 usable of 125 planned with heavy structural failures on unseen cells, so SC5 is not evaluable. **Overhead (EXP-009, Figure 22):** 4,842 runs (3,228 usable) over ~57.4 wall-clock hours; six of seven cells PASS the 5% budget by whole-interval position, with sysmon point estimates within ±0.2%. The pre-registered √n prediction failed on all seven cells (observed/predicted 0.18×–7.70×) because repetitions are serially correlated episodes, not independent draws.</w:t>
      </w:r>
    </w:p>
    <w:p>
      <w:r>
        <w:t>**Robustness re-analysis (R1–R8, new):** seed choice moves half-widths ≤0.1pp and BCa matches percentile CIs — the intervals are seed- and method-stable. But block bootstraps that respect serial dependence widen half-widths up to ~26pp and flip two of six PASS verdicts to INCONCLUSIVE; ACF stays +0.3…+0.7 at lag 3; CUSUM level shifts (up to ±38%) land at the same repetition in all three interleaved arms — host drift, not overhead. The bimodality coefficient for the non-converging cell is 0.485 (below the 0.555 heuristic), so its distribution is reported as skewed-with-secondary-mass rather than bimodal. A "first PASS anywhere" stopping rule would have halted that cell at n = 29 — it never converged — quantifying the selection hazard. Dependence estimators used:</w:t>
      </w:r>
    </w:p>
    <w:p>
      <w:r>
        <w:t>ρ̂_h = Σ_i(x_i−x̄)(x_{i+h}−x̄)/Σ_i(x_i−x̄)²   (8)</w:t>
      </w:r>
    </w:p>
    <w:p>
      <w:r>
        <w:t>S_k = Σ_{i≤k}(x_i − x̄)   (9)</w:t>
      </w:r>
    </w:p>
    <w:p>
      <w:r>
        <w:t>BC = (skew²+1)/kurtosis   (10)</w:t>
      </w:r>
    </w:p>
    <w:p>
      <w:r>
        <w:t>Supporting studies complete the picture. EXP-003 baseline selection ran 96 validation observations (12 configs × 8 cells × 1 rep) to freeze B1 (`G-p8-sp16`) and per-family B2 assignments; the planned 120-run formal comparison was separately authorized after the register gap (estimate ~30 vs required 216) was recorded as a plan defect. EXP-007 state ablations (A1: 35+35 episodes; A2: 35+21) found 0/4 and 0/2 cross-seed greedy agreement with single-episode evidence on key states — no-evidence zones reported, not smoothed over. EXP-008's derived ablation recomputed 48 evidence pairs at zero execution cost. Training density explains the disagreement: 16.8/9.8/8.4 episodes per evidence-bearing state per seed, 41 of 60 state-action cells ever visited (68.3%), and the single unanimous state resting on one episode per seed executed by no seed — the M8 failure is a measurement-density fact, and the report treats it as such. The measured per-execution reward noise floor is 0.069 (largest repeat-execution range on an identical cell-action-config), and the SC6 ledger closes at 483/500: 232 training baseline + 84 B4 search + 20 EXP-001 + 126 EXP-007 + 21 smoke, with 17 remaining.</w:t>
      </w:r>
    </w:p>
    <w:p>
      <w:pPr>
        <w:pStyle w:val="Heading2"/>
      </w:pPr>
      <w:r>
        <w:t>Table 11: Experimental Results Summary (cell medians, seconds, n=5)</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Cell</w:t>
            </w:r>
          </w:p>
        </w:tc>
        <w:tc>
          <w:tcPr>
            <w:tcW w:type="dxa" w:w="1080"/>
          </w:tcPr>
          <w:p>
            <w:r>
              <w:t>B0</w:t>
            </w:r>
          </w:p>
        </w:tc>
        <w:tc>
          <w:tcPr>
            <w:tcW w:type="dxa" w:w="1080"/>
          </w:tcPr>
          <w:p>
            <w:r>
              <w:t>B1</w:t>
            </w:r>
          </w:p>
        </w:tc>
        <w:tc>
          <w:tcPr>
            <w:tcW w:type="dxa" w:w="1080"/>
          </w:tcPr>
          <w:p>
            <w:r>
              <w:t>B4</w:t>
            </w:r>
          </w:p>
        </w:tc>
        <w:tc>
          <w:tcPr>
            <w:tcW w:type="dxa" w:w="1080"/>
          </w:tcPr>
          <w:p>
            <w:r>
              <w:t>RL-s0</w:t>
            </w:r>
          </w:p>
        </w:tc>
        <w:tc>
          <w:tcPr>
            <w:tcW w:type="dxa" w:w="1080"/>
          </w:tcPr>
          <w:p>
            <w:r>
              <w:t>RL-s1</w:t>
            </w:r>
          </w:p>
        </w:tc>
        <w:tc>
          <w:tcPr>
            <w:tcW w:type="dxa" w:w="1080"/>
          </w:tcPr>
          <w:p>
            <w:r>
              <w:t>RL-s2</w:t>
            </w:r>
          </w:p>
        </w:tc>
        <w:tc>
          <w:tcPr>
            <w:tcW w:type="dxa" w:w="1080"/>
          </w:tcPr>
          <w:p>
            <w:r>
              <w:t>Winner</w:t>
            </w:r>
          </w:p>
        </w:tc>
      </w:tr>
      <w:tr>
        <w:tc>
          <w:tcPr>
            <w:tcW w:type="dxa" w:w="1080"/>
          </w:tcPr>
          <w:p>
            <w:r>
              <w:t>F1_agg\</w:t>
            </w:r>
          </w:p>
        </w:tc>
        <w:tc>
          <w:tcPr>
            <w:tcW w:type="dxa" w:w="1080"/>
          </w:tcPr>
          <w:p>
            <w:r>
              <w:t>large\</w:t>
            </w:r>
          </w:p>
        </w:tc>
        <w:tc>
          <w:tcPr>
            <w:tcW w:type="dxa" w:w="1080"/>
          </w:tcPr>
          <w:p>
            <w:r>
              <w:t>s3</w:t>
            </w:r>
          </w:p>
        </w:tc>
        <w:tc>
          <w:tcPr>
            <w:tcW w:type="dxa" w:w="1080"/>
          </w:tcPr>
          <w:p>
            <w:r>
              <w:t>49.23</w:t>
            </w:r>
          </w:p>
        </w:tc>
        <w:tc>
          <w:tcPr>
            <w:tcW w:type="dxa" w:w="1080"/>
          </w:tcPr>
          <w:p>
            <w:r>
              <w:t>10.09</w:t>
            </w:r>
          </w:p>
        </w:tc>
        <w:tc>
          <w:tcPr>
            <w:tcW w:type="dxa" w:w="1080"/>
          </w:tcPr>
          <w:p>
            <w:r>
              <w:t>18.56</w:t>
            </w:r>
          </w:p>
        </w:tc>
        <w:tc>
          <w:tcPr>
            <w:tcW w:type="dxa" w:w="1080"/>
          </w:tcPr>
          <w:p>
            <w:r>
              <w:t>14.57</w:t>
            </w:r>
          </w:p>
        </w:tc>
        <w:tc>
          <w:tcPr>
            <w:tcW w:type="dxa" w:w="1080"/>
          </w:tcPr>
          <w:p>
            <w:r>
              <w:t>15.65</w:t>
            </w:r>
          </w:p>
        </w:tc>
      </w:tr>
      <w:tr>
        <w:tc>
          <w:tcPr>
            <w:tcW w:type="dxa" w:w="1080"/>
          </w:tcPr>
          <w:p>
            <w:r>
              <w:t>F2_join\</w:t>
            </w:r>
          </w:p>
        </w:tc>
        <w:tc>
          <w:tcPr>
            <w:tcW w:type="dxa" w:w="1080"/>
          </w:tcPr>
          <w:p>
            <w:r>
              <w:t>large\</w:t>
            </w:r>
          </w:p>
        </w:tc>
        <w:tc>
          <w:tcPr>
            <w:tcW w:type="dxa" w:w="1080"/>
          </w:tcPr>
          <w:p>
            <w:r>
              <w:t>s3</w:t>
            </w:r>
          </w:p>
        </w:tc>
        <w:tc>
          <w:tcPr>
            <w:tcW w:type="dxa" w:w="1080"/>
          </w:tcPr>
          <w:p>
            <w:r>
              <w:t>25.66</w:t>
            </w:r>
          </w:p>
        </w:tc>
        <w:tc>
          <w:tcPr>
            <w:tcW w:type="dxa" w:w="1080"/>
          </w:tcPr>
          <w:p>
            <w:r>
              <w:t>4.89</w:t>
            </w:r>
          </w:p>
        </w:tc>
        <w:tc>
          <w:tcPr>
            <w:tcW w:type="dxa" w:w="1080"/>
          </w:tcPr>
          <w:p>
            <w:r>
              <w:t>4.03</w:t>
            </w:r>
          </w:p>
        </w:tc>
        <w:tc>
          <w:tcPr>
            <w:tcW w:type="dxa" w:w="1080"/>
          </w:tcPr>
          <w:p>
            <w:r>
              <w:t>3.71</w:t>
            </w:r>
          </w:p>
        </w:tc>
        <w:tc>
          <w:tcPr>
            <w:tcW w:type="dxa" w:w="1080"/>
          </w:tcPr>
          <w:p>
            <w:r>
              <w:t>3.68</w:t>
            </w:r>
          </w:p>
        </w:tc>
      </w:tr>
      <w:tr>
        <w:tc>
          <w:tcPr>
            <w:tcW w:type="dxa" w:w="1080"/>
          </w:tcPr>
          <w:p>
            <w:r>
              <w:t>F4_ski\</w:t>
            </w:r>
          </w:p>
        </w:tc>
        <w:tc>
          <w:tcPr>
            <w:tcW w:type="dxa" w:w="1080"/>
          </w:tcPr>
          <w:p>
            <w:r>
              <w:t>large\</w:t>
            </w:r>
          </w:p>
        </w:tc>
        <w:tc>
          <w:tcPr>
            <w:tcW w:type="dxa" w:w="1080"/>
          </w:tcPr>
          <w:p>
            <w:r>
              <w:t>s3</w:t>
            </w:r>
          </w:p>
        </w:tc>
        <w:tc>
          <w:tcPr>
            <w:tcW w:type="dxa" w:w="1080"/>
          </w:tcPr>
          <w:p>
            <w:r>
              <w:t>17.20</w:t>
            </w:r>
          </w:p>
        </w:tc>
        <w:tc>
          <w:tcPr>
            <w:tcW w:type="dxa" w:w="1080"/>
          </w:tcPr>
          <w:p>
            <w:r>
              <w:t>4.42</w:t>
            </w:r>
          </w:p>
        </w:tc>
        <w:tc>
          <w:tcPr>
            <w:tcW w:type="dxa" w:w="1080"/>
          </w:tcPr>
          <w:p>
            <w:r>
              <w:t>4.31</w:t>
            </w:r>
          </w:p>
        </w:tc>
        <w:tc>
          <w:tcPr>
            <w:tcW w:type="dxa" w:w="1080"/>
          </w:tcPr>
          <w:p>
            <w:r>
              <w:t>7.46</w:t>
            </w:r>
          </w:p>
        </w:tc>
        <w:tc>
          <w:tcPr>
            <w:tcW w:type="dxa" w:w="1080"/>
          </w:tcPr>
          <w:p>
            <w:r>
              <w:t>7.01</w:t>
            </w:r>
          </w:p>
        </w:tc>
      </w:tr>
      <w:tr>
        <w:tc>
          <w:tcPr>
            <w:tcW w:type="dxa" w:w="1080"/>
          </w:tcPr>
          <w:p>
            <w:r>
              <w:t>F5_mixed\</w:t>
            </w:r>
          </w:p>
        </w:tc>
        <w:tc>
          <w:tcPr>
            <w:tcW w:type="dxa" w:w="1080"/>
          </w:tcPr>
          <w:p>
            <w:r>
              <w:t>large\</w:t>
            </w:r>
          </w:p>
        </w:tc>
        <w:tc>
          <w:tcPr>
            <w:tcW w:type="dxa" w:w="1080"/>
          </w:tcPr>
          <w:p>
            <w:r>
              <w:t>s3</w:t>
            </w:r>
          </w:p>
        </w:tc>
        <w:tc>
          <w:tcPr>
            <w:tcW w:type="dxa" w:w="1080"/>
          </w:tcPr>
          <w:p>
            <w:r>
              <w:t>38.11</w:t>
            </w:r>
          </w:p>
        </w:tc>
        <w:tc>
          <w:tcPr>
            <w:tcW w:type="dxa" w:w="1080"/>
          </w:tcPr>
          <w:p>
            <w:r>
              <w:t>8.84</w:t>
            </w:r>
          </w:p>
        </w:tc>
        <w:tc>
          <w:tcPr>
            <w:tcW w:type="dxa" w:w="1080"/>
          </w:tcPr>
          <w:p>
            <w:r>
              <w:t>9.33</w:t>
            </w:r>
          </w:p>
        </w:tc>
        <w:tc>
          <w:tcPr>
            <w:tcW w:type="dxa" w:w="1080"/>
          </w:tcPr>
          <w:p>
            <w:r>
              <w:t>8.92</w:t>
            </w:r>
          </w:p>
        </w:tc>
        <w:tc>
          <w:tcPr>
            <w:tcW w:type="dxa" w:w="1080"/>
          </w:tcPr>
          <w:p>
            <w:r>
              <w:t>9.47</w:t>
            </w:r>
          </w:p>
        </w:tc>
      </w:tr>
      <w:tr>
        <w:tc>
          <w:tcPr>
            <w:tcW w:type="dxa" w:w="1080"/>
          </w:tcPr>
          <w:p>
            <w:r>
              <w:t>F4_ski\</w:t>
            </w:r>
          </w:p>
        </w:tc>
        <w:tc>
          <w:tcPr>
            <w:tcW w:type="dxa" w:w="1080"/>
          </w:tcPr>
          <w:p>
            <w:r>
              <w:t>small\</w:t>
            </w:r>
          </w:p>
        </w:tc>
        <w:tc>
          <w:tcPr>
            <w:tcW w:type="dxa" w:w="1080"/>
          </w:tcPr>
          <w:p>
            <w:r>
              <w:t>s4</w:t>
            </w:r>
          </w:p>
        </w:tc>
        <w:tc>
          <w:tcPr>
            <w:tcW w:type="dxa" w:w="1080"/>
          </w:tcPr>
          <w:p>
            <w:r>
              <w:t>2.32</w:t>
            </w:r>
          </w:p>
        </w:tc>
        <w:tc>
          <w:tcPr>
            <w:tcW w:type="dxa" w:w="1080"/>
          </w:tcPr>
          <w:p>
            <w:r>
              <w:t>0.46</w:t>
            </w:r>
          </w:p>
        </w:tc>
        <w:tc>
          <w:tcPr>
            <w:tcW w:type="dxa" w:w="1080"/>
          </w:tcPr>
          <w:p>
            <w:r>
              <w:t>0.45</w:t>
            </w:r>
          </w:p>
        </w:tc>
        <w:tc>
          <w:tcPr>
            <w:tcW w:type="dxa" w:w="1080"/>
          </w:tcPr>
          <w:p>
            <w:r>
              <w:t>0.57</w:t>
            </w:r>
          </w:p>
        </w:tc>
        <w:tc>
          <w:tcPr>
            <w:tcW w:type="dxa" w:w="1080"/>
          </w:tcPr>
          <w:p>
            <w:r>
              <w:t>0.60</w:t>
            </w:r>
          </w:p>
        </w:tc>
      </w:tr>
      <w:tr>
        <w:tc>
          <w:tcPr>
            <w:tcW w:type="dxa" w:w="1080"/>
          </w:tcPr>
          <w:p>
            <w:r>
              <w:t>F4_ski\</w:t>
            </w:r>
          </w:p>
        </w:tc>
        <w:tc>
          <w:tcPr>
            <w:tcW w:type="dxa" w:w="1080"/>
          </w:tcPr>
          <w:p>
            <w:r>
              <w:t>medium\</w:t>
            </w:r>
          </w:p>
        </w:tc>
        <w:tc>
          <w:tcPr>
            <w:tcW w:type="dxa" w:w="1080"/>
          </w:tcPr>
          <w:p>
            <w:r>
              <w:t>s4</w:t>
            </w:r>
          </w:p>
        </w:tc>
        <w:tc>
          <w:tcPr>
            <w:tcW w:type="dxa" w:w="1080"/>
          </w:tcPr>
          <w:p>
            <w:r>
              <w:t>9.87</w:t>
            </w:r>
          </w:p>
        </w:tc>
        <w:tc>
          <w:tcPr>
            <w:tcW w:type="dxa" w:w="1080"/>
          </w:tcPr>
          <w:p>
            <w:r>
              <w:t>1.62</w:t>
            </w:r>
          </w:p>
        </w:tc>
        <w:tc>
          <w:tcPr>
            <w:tcW w:type="dxa" w:w="1080"/>
          </w:tcPr>
          <w:p>
            <w:r>
              <w:t>1.67</w:t>
            </w:r>
          </w:p>
        </w:tc>
        <w:tc>
          <w:tcPr>
            <w:tcW w:type="dxa" w:w="1080"/>
          </w:tcPr>
          <w:p>
            <w:r>
              <w:t>2.92</w:t>
            </w:r>
          </w:p>
        </w:tc>
        <w:tc>
          <w:tcPr>
            <w:tcW w:type="dxa" w:w="1080"/>
          </w:tcPr>
          <w:p>
            <w:r>
              <w:t>2.80</w:t>
            </w:r>
          </w:p>
        </w:tc>
      </w:tr>
      <w:tr>
        <w:tc>
          <w:tcPr>
            <w:tcW w:type="dxa" w:w="1080"/>
          </w:tcPr>
          <w:p>
            <w:r>
              <w:t>**6-cell sums**</w:t>
            </w:r>
          </w:p>
        </w:tc>
        <w:tc>
          <w:tcPr>
            <w:tcW w:type="dxa" w:w="1080"/>
          </w:tcPr>
          <w:p>
            <w:r>
              <w:t>**142.38**</w:t>
            </w:r>
          </w:p>
        </w:tc>
        <w:tc>
          <w:tcPr>
            <w:tcW w:type="dxa" w:w="1080"/>
          </w:tcPr>
          <w:p>
            <w:r>
              <w:t>**30.32**</w:t>
            </w:r>
          </w:p>
        </w:tc>
        <w:tc>
          <w:tcPr>
            <w:tcW w:type="dxa" w:w="1080"/>
          </w:tcPr>
          <w:p>
            <w:r>
              <w:t>**38.34**</w:t>
            </w:r>
          </w:p>
        </w:tc>
        <w:tc>
          <w:tcPr>
            <w:tcW w:type="dxa" w:w="1080"/>
          </w:tcPr>
          <w:p>
            <w:r>
              <w:t>**38.15**</w:t>
            </w:r>
          </w:p>
        </w:tc>
        <w:tc>
          <w:tcPr>
            <w:tcW w:type="dxa" w:w="1080"/>
          </w:tcPr>
          <w:p>
            <w:r>
              <w:t>**39.20**</w:t>
            </w:r>
          </w:p>
        </w:tc>
        <w:tc>
          <w:tcPr>
            <w:tcW w:type="dxa" w:w="1080"/>
          </w:tcPr>
          <w:p>
            <w:r>
              <w:t>**45.46**</w:t>
            </w:r>
          </w:p>
        </w:tc>
        <w:tc>
          <w:tcPr>
            <w:tcW w:type="dxa" w:w="1080"/>
          </w:tcPr>
          <w:p>
            <w:r>
              <w:t>**B1 static**</w:t>
            </w:r>
          </w:p>
        </w:tc>
      </w:tr>
    </w:tbl>
    <w:p/>
    <w:p>
      <w:r>
        <w:drawing>
          <wp:inline xmlns:a="http://schemas.openxmlformats.org/drawingml/2006/main" xmlns:pic="http://schemas.openxmlformats.org/drawingml/2006/picture">
            <wp:extent cx="5486400" cy="2633558"/>
            <wp:docPr id="21" name="Picture 21"/>
            <wp:cNvGraphicFramePr>
              <a:graphicFrameLocks noChangeAspect="1"/>
            </wp:cNvGraphicFramePr>
            <a:graphic>
              <a:graphicData uri="http://schemas.openxmlformats.org/drawingml/2006/picture">
                <pic:pic>
                  <pic:nvPicPr>
                    <pic:cNvPr id="0" name="Fig 21 Performance Benchmark Results.png"/>
                    <pic:cNvPicPr/>
                  </pic:nvPicPr>
                  <pic:blipFill>
                    <a:blip r:embed="rId29"/>
                    <a:stretch>
                      <a:fillRect/>
                    </a:stretch>
                  </pic:blipFill>
                  <pic:spPr>
                    <a:xfrm>
                      <a:off x="0" y="0"/>
                      <a:ext cx="5486400" cy="2633558"/>
                    </a:xfrm>
                    <a:prstGeom prst="rect"/>
                  </pic:spPr>
                </pic:pic>
              </a:graphicData>
            </a:graphic>
          </wp:inline>
        </w:drawing>
      </w:r>
    </w:p>
    <w:p/>
    <w:p>
      <w:r>
        <w:drawing>
          <wp:inline xmlns:a="http://schemas.openxmlformats.org/drawingml/2006/main" xmlns:pic="http://schemas.openxmlformats.org/drawingml/2006/picture">
            <wp:extent cx="5486400" cy="2671239"/>
            <wp:docPr id="22" name="Picture 22"/>
            <wp:cNvGraphicFramePr>
              <a:graphicFrameLocks noChangeAspect="1"/>
            </wp:cNvGraphicFramePr>
            <a:graphic>
              <a:graphicData uri="http://schemas.openxmlformats.org/drawingml/2006/picture">
                <pic:pic>
                  <pic:nvPicPr>
                    <pic:cNvPr id="0" name="Fig 22 Resource Utilization Analysis.png"/>
                    <pic:cNvPicPr/>
                  </pic:nvPicPr>
                  <pic:blipFill>
                    <a:blip r:embed="rId30"/>
                    <a:stretch>
                      <a:fillRect/>
                    </a:stretch>
                  </pic:blipFill>
                  <pic:spPr>
                    <a:xfrm>
                      <a:off x="0" y="0"/>
                      <a:ext cx="5486400" cy="2671239"/>
                    </a:xfrm>
                    <a:prstGeom prst="rect"/>
                  </pic:spPr>
                </pic:pic>
              </a:graphicData>
            </a:graphic>
          </wp:inline>
        </w:drawing>
      </w:r>
    </w:p>
    <w:p/>
    <w:p>
      <w:r>
        <w:drawing>
          <wp:inline xmlns:a="http://schemas.openxmlformats.org/drawingml/2006/main" xmlns:pic="http://schemas.openxmlformats.org/drawingml/2006/picture">
            <wp:extent cx="5486400" cy="2671239"/>
            <wp:docPr id="23" name="Picture 23"/>
            <wp:cNvGraphicFramePr>
              <a:graphicFrameLocks noChangeAspect="1"/>
            </wp:cNvGraphicFramePr>
            <a:graphic>
              <a:graphicData uri="http://schemas.openxmlformats.org/drawingml/2006/picture">
                <pic:pic>
                  <pic:nvPicPr>
                    <pic:cNvPr id="0" name="Fig 23 RL Convergence Analysis.png"/>
                    <pic:cNvPicPr/>
                  </pic:nvPicPr>
                  <pic:blipFill>
                    <a:blip r:embed="rId31"/>
                    <a:stretch>
                      <a:fillRect/>
                    </a:stretch>
                  </pic:blipFill>
                  <pic:spPr>
                    <a:xfrm>
                      <a:off x="0" y="0"/>
                      <a:ext cx="5486400" cy="2671239"/>
                    </a:xfrm>
                    <a:prstGeom prst="rect"/>
                  </pic:spPr>
                </pic:pic>
              </a:graphicData>
            </a:graphic>
          </wp:inline>
        </w:drawing>
      </w:r>
    </w:p>
    <w:p/>
    <w:p>
      <w:pPr>
        <w:pStyle w:val="Heading1"/>
      </w:pPr>
      <w:r>
        <w:t>16. Comparative Analysis</w:t>
      </w:r>
    </w:p>
    <w:p>
      <w:r>
        <w:t>Figure 24 places B1, B4, and RL-s0 on six axes (one per cell, best-normalized so outward is better): no arm dominates — B1 leads on three cells, B4 on two, RL-s0 never leads outright but never collapses, trailing B4 by 0.5% overall. Against the four comparison classes the picture is differentiated rather than triumphal. **Static scheduling:** the frozen static tuning (B1) is the strongest arm measured (30.32 vs 38.15), so any claim of beating static methods is withheld. **Heuristic optimization:** the size rule (B3) is analytically identical to B1 here, making "RL vs heuristics" effectively "RL vs B1" — a limitation stated, not hidden. **Adaptive query execution:** the AQE-on reference (B0′) is specified but unexecuted, so complementarity with built-in adaptivity is prospective. **AutoML-style systems:** offline tuners in the OtterTune/CDBTune lineage [7][8] trade larger tuning budgets for potentially stronger optima; AdaSpark's counter-position is Samuel-efficiency (≤500 runs, single machine) with governed online adaptation — a different point on the cost–adaptivity frontier, not a domination claim.</w:t>
      </w:r>
    </w:p>
    <w:p>
      <w:pPr>
        <w:pStyle w:val="Heading2"/>
      </w:pPr>
      <w:r>
        <w:t>Table 12: Comparative Benchmark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Comparison class</w:t>
            </w:r>
          </w:p>
        </w:tc>
        <w:tc>
          <w:tcPr>
            <w:tcW w:type="dxa" w:w="2880"/>
          </w:tcPr>
          <w:p>
            <w:r>
              <w:t>Rival</w:t>
            </w:r>
          </w:p>
        </w:tc>
        <w:tc>
          <w:tcPr>
            <w:tcW w:type="dxa" w:w="2880"/>
          </w:tcPr>
          <w:p>
            <w:r>
              <w:t>Result (measured)</w:t>
            </w:r>
          </w:p>
        </w:tc>
      </w:tr>
      <w:tr>
        <w:tc>
          <w:tcPr>
            <w:tcW w:type="dxa" w:w="2880"/>
          </w:tcPr>
          <w:p>
            <w:r>
              <w:t>Static scheduling</w:t>
            </w:r>
          </w:p>
        </w:tc>
        <w:tc>
          <w:tcPr>
            <w:tcW w:type="dxa" w:w="2880"/>
          </w:tcPr>
          <w:p>
            <w:r>
              <w:t>B1 global / B2 per-family</w:t>
            </w:r>
          </w:p>
        </w:tc>
        <w:tc>
          <w:tcPr>
            <w:tcW w:type="dxa" w:w="2880"/>
          </w:tcPr>
          <w:p>
            <w:r>
              <w:t>B1 wins 6-cell sum by ~21%; B2 eligible on 3 cells only</w:t>
            </w:r>
          </w:p>
        </w:tc>
      </w:tr>
      <w:tr>
        <w:tc>
          <w:tcPr>
            <w:tcW w:type="dxa" w:w="2880"/>
          </w:tcPr>
          <w:p>
            <w:r>
              <w:t>Heuristic</w:t>
            </w:r>
          </w:p>
        </w:tc>
        <w:tc>
          <w:tcPr>
            <w:tcW w:type="dxa" w:w="2880"/>
          </w:tcPr>
          <w:p>
            <w:r>
              <w:t>B3 size rule</w:t>
            </w:r>
          </w:p>
        </w:tc>
        <w:tc>
          <w:tcPr>
            <w:tcW w:type="dxa" w:w="2880"/>
          </w:tcPr>
          <w:p>
            <w:r>
              <w:t>Collapses onto B1 (analytic); comparison ≡ RL vs B1</w:t>
            </w:r>
          </w:p>
        </w:tc>
      </w:tr>
      <w:tr>
        <w:tc>
          <w:tcPr>
            <w:tcW w:type="dxa" w:w="2880"/>
          </w:tcPr>
          <w:p>
            <w:r>
              <w:t>Equal-budget search</w:t>
            </w:r>
          </w:p>
        </w:tc>
        <w:tc>
          <w:tcPr>
            <w:tcW w:type="dxa" w:w="2880"/>
          </w:tcPr>
          <w:p>
            <w:r>
              <w:t>B4 random (84 TRAIN runs)</w:t>
            </w:r>
          </w:p>
        </w:tc>
        <w:tc>
          <w:tcPr>
            <w:tcW w:type="dxa" w:w="2880"/>
          </w:tcPr>
          <w:p>
            <w:r>
              <w:t>RL-s0 ≈ B4 (38.15 vs 38.34, 0.5%)</w:t>
            </w:r>
          </w:p>
        </w:tc>
      </w:tr>
      <w:tr>
        <w:tc>
          <w:tcPr>
            <w:tcW w:type="dxa" w:w="2880"/>
          </w:tcPr>
          <w:p>
            <w:r>
              <w:t>Spark defaults</w:t>
            </w:r>
          </w:p>
        </w:tc>
        <w:tc>
          <w:tcPr>
            <w:tcW w:type="dxa" w:w="2880"/>
          </w:tcPr>
          <w:p>
            <w:r>
              <w:t>B0</w:t>
            </w:r>
          </w:p>
        </w:tc>
        <w:tc>
          <w:tcPr>
            <w:tcW w:type="dxa" w:w="2880"/>
          </w:tcPr>
          <w:p>
            <w:r>
              <w:t>All tuned arms beat B0 by 3–5×</w:t>
            </w:r>
          </w:p>
        </w:tc>
      </w:tr>
      <w:tr>
        <w:tc>
          <w:tcPr>
            <w:tcW w:type="dxa" w:w="2880"/>
          </w:tcPr>
          <w:p>
            <w:r>
              <w:t>Built-in adaptivity</w:t>
            </w:r>
          </w:p>
        </w:tc>
        <w:tc>
          <w:tcPr>
            <w:tcW w:type="dxa" w:w="2880"/>
          </w:tcPr>
          <w:p>
            <w:r>
              <w:t>B0′ AQE-on</w:t>
            </w:r>
          </w:p>
        </w:tc>
        <w:tc>
          <w:tcPr>
            <w:tcW w:type="dxa" w:w="2880"/>
          </w:tcPr>
          <w:p>
            <w:r>
              <w:t>Specified, not executed — open</w:t>
            </w:r>
          </w:p>
        </w:tc>
      </w:tr>
      <w:tr>
        <w:tc>
          <w:tcPr>
            <w:tcW w:type="dxa" w:w="2880"/>
          </w:tcPr>
          <w:p>
            <w:r>
              <w:t>Offline AutoML-style</w:t>
            </w:r>
          </w:p>
        </w:tc>
        <w:tc>
          <w:tcPr>
            <w:tcW w:type="dxa" w:w="2880"/>
          </w:tcPr>
          <w:p>
            <w:r>
              <w:t>OtterTune/CDBTune class [7][8]</w:t>
            </w:r>
          </w:p>
        </w:tc>
        <w:tc>
          <w:tcPr>
            <w:tcW w:type="dxa" w:w="2880"/>
          </w:tcPr>
          <w:p>
            <w:r>
              <w:t>Different budget regime; no head-to-head</w:t>
            </w:r>
          </w:p>
        </w:tc>
      </w:tr>
    </w:tbl>
    <w:p/>
    <w:p>
      <w:r>
        <w:drawing>
          <wp:inline xmlns:a="http://schemas.openxmlformats.org/drawingml/2006/main" xmlns:pic="http://schemas.openxmlformats.org/drawingml/2006/picture">
            <wp:extent cx="5486400" cy="5417924"/>
            <wp:docPr id="24" name="Picture 24"/>
            <wp:cNvGraphicFramePr>
              <a:graphicFrameLocks noChangeAspect="1"/>
            </wp:cNvGraphicFramePr>
            <a:graphic>
              <a:graphicData uri="http://schemas.openxmlformats.org/drawingml/2006/picture">
                <pic:pic>
                  <pic:nvPicPr>
                    <pic:cNvPr id="0" name="Fig 24 Comparative Radar Chart.png"/>
                    <pic:cNvPicPr/>
                  </pic:nvPicPr>
                  <pic:blipFill>
                    <a:blip r:embed="rId32"/>
                    <a:stretch>
                      <a:fillRect/>
                    </a:stretch>
                  </pic:blipFill>
                  <pic:spPr>
                    <a:xfrm>
                      <a:off x="0" y="0"/>
                      <a:ext cx="5486400" cy="5417924"/>
                    </a:xfrm>
                    <a:prstGeom prst="rect"/>
                  </pic:spPr>
                </pic:pic>
              </a:graphicData>
            </a:graphic>
          </wp:inline>
        </w:drawing>
      </w:r>
    </w:p>
    <w:p/>
    <w:p>
      <w:pPr>
        <w:pStyle w:val="Heading1"/>
      </w:pPr>
      <w:r>
        <w:t>17. Explainability, Reliability, and Trustworthiness Assessment</w:t>
      </w:r>
    </w:p>
    <w:p>
      <w:r>
        <w:t>Trust is assessed claim by claim, each paired with its evidence and verdict (Figure 25, Table 13). Recommendation transparency holds: every acting policy is inspectable down to per-state Q-values with published episode counts. Robustness is mixed and reported so: three replicates diverge (M8 0.20), unseen-cell failures are heavy, and two overhead verdicts fall under dependence-honest intervals. Reproducibility of analysis is strong (16/16 zero-execution corroboration; seed-stable intervals) while reproducibility of measurement is unevaluated (EXP-011 empty). Governance readiness is the strongest pillar: sealed test discipline, counted budget, immutable record, and a decision log that preserves failures.</w:t>
      </w:r>
    </w:p>
    <w:p>
      <w:pPr>
        <w:pStyle w:val="Heading2"/>
      </w:pPr>
      <w:r>
        <w:t>Table 13: Trustworthiness Evaluation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Claim</w:t>
            </w:r>
          </w:p>
        </w:tc>
        <w:tc>
          <w:tcPr>
            <w:tcW w:type="dxa" w:w="2880"/>
          </w:tcPr>
          <w:p>
            <w:r>
              <w:t>Evidence</w:t>
            </w:r>
          </w:p>
        </w:tc>
        <w:tc>
          <w:tcPr>
            <w:tcW w:type="dxa" w:w="2880"/>
          </w:tcPr>
          <w:p>
            <w:r>
              <w:t>Verdict</w:t>
            </w:r>
          </w:p>
        </w:tc>
      </w:tr>
      <w:tr>
        <w:tc>
          <w:tcPr>
            <w:tcW w:type="dxa" w:w="2880"/>
          </w:tcPr>
          <w:p>
            <w:r>
              <w:t>Config choice matters</w:t>
            </w:r>
          </w:p>
        </w:tc>
        <w:tc>
          <w:tcPr>
            <w:tcW w:type="dxa" w:w="2880"/>
          </w:tcPr>
          <w:p>
            <w:r>
              <w:t>EXP-002: ≥10% on 4/4 families</w:t>
            </w:r>
          </w:p>
        </w:tc>
        <w:tc>
          <w:tcPr>
            <w:tcW w:type="dxa" w:w="2880"/>
          </w:tcPr>
          <w:p>
            <w:r>
              <w:t>Supported</w:t>
            </w:r>
          </w:p>
        </w:tc>
      </w:tr>
      <w:tr>
        <w:tc>
          <w:tcPr>
            <w:tcW w:type="dxa" w:w="2880"/>
          </w:tcPr>
          <w:p>
            <w:r>
              <w:t>Learning fits budget</w:t>
            </w:r>
          </w:p>
        </w:tc>
        <w:tc>
          <w:tcPr>
            <w:tcW w:type="dxa" w:w="2880"/>
          </w:tcPr>
          <w:p>
            <w:r>
              <w:t>Ledger 483/500; 0 failed configs</w:t>
            </w:r>
          </w:p>
        </w:tc>
        <w:tc>
          <w:tcPr>
            <w:tcW w:type="dxa" w:w="2880"/>
          </w:tcPr>
          <w:p>
            <w:r>
              <w:t>Supported</w:t>
            </w:r>
          </w:p>
        </w:tc>
      </w:tr>
      <w:tr>
        <w:tc>
          <w:tcPr>
            <w:tcW w:type="dxa" w:w="2880"/>
          </w:tcPr>
          <w:p>
            <w:r>
              <w:t>RL beats defaults</w:t>
            </w:r>
          </w:p>
        </w:tc>
        <w:tc>
          <w:tcPr>
            <w:tcW w:type="dxa" w:w="2880"/>
          </w:tcPr>
          <w:p>
            <w:r>
              <w:t>B0 142.38 vs RL-s0 38.15 (6-cell)</w:t>
            </w:r>
          </w:p>
        </w:tc>
        <w:tc>
          <w:tcPr>
            <w:tcW w:type="dxa" w:w="2880"/>
          </w:tcPr>
          <w:p>
            <w:r>
              <w:t>Supported</w:t>
            </w:r>
          </w:p>
        </w:tc>
      </w:tr>
      <w:tr>
        <w:tc>
          <w:tcPr>
            <w:tcW w:type="dxa" w:w="2880"/>
          </w:tcPr>
          <w:p>
            <w:r>
              <w:t>RL beats static/random</w:t>
            </w:r>
          </w:p>
        </w:tc>
        <w:tc>
          <w:tcPr>
            <w:tcW w:type="dxa" w:w="2880"/>
          </w:tcPr>
          <w:p>
            <w:r>
              <w:t>B1 30.32 best; RL≈B4; no inference</w:t>
            </w:r>
          </w:p>
        </w:tc>
        <w:tc>
          <w:tcPr>
            <w:tcW w:type="dxa" w:w="2880"/>
          </w:tcPr>
          <w:p>
            <w:r>
              <w:t>NOT supported (open)</w:t>
            </w:r>
          </w:p>
        </w:tc>
      </w:tr>
      <w:tr>
        <w:tc>
          <w:tcPr>
            <w:tcW w:type="dxa" w:w="2880"/>
          </w:tcPr>
          <w:p>
            <w:r>
              <w:t>Policies generalize</w:t>
            </w:r>
          </w:p>
        </w:tc>
        <w:tc>
          <w:tcPr>
            <w:tcW w:type="dxa" w:w="2880"/>
          </w:tcPr>
          <w:p>
            <w:r>
              <w:t>EXP-006 heavy failures</w:t>
            </w:r>
          </w:p>
        </w:tc>
        <w:tc>
          <w:tcPr>
            <w:tcW w:type="dxa" w:w="2880"/>
          </w:tcPr>
          <w:p>
            <w:r>
              <w:t>NOT evaluable</w:t>
            </w:r>
          </w:p>
        </w:tc>
      </w:tr>
      <w:tr>
        <w:tc>
          <w:tcPr>
            <w:tcW w:type="dxa" w:w="2880"/>
          </w:tcPr>
          <w:p>
            <w:r>
              <w:t>Monitoring is cheap</w:t>
            </w:r>
          </w:p>
        </w:tc>
        <w:tc>
          <w:tcPr>
            <w:tcW w:type="dxa" w:w="2880"/>
          </w:tcPr>
          <w:p>
            <w:r>
              <w:t>6/7 PASS (i.i.d.); 4/7 under blocks</w:t>
            </w:r>
          </w:p>
        </w:tc>
        <w:tc>
          <w:tcPr>
            <w:tcW w:type="dxa" w:w="2880"/>
          </w:tcPr>
          <w:p>
            <w:r>
              <w:t>Qualified support</w:t>
            </w:r>
          </w:p>
        </w:tc>
      </w:tr>
      <w:tr>
        <w:tc>
          <w:tcPr>
            <w:tcW w:type="dxa" w:w="2880"/>
          </w:tcPr>
          <w:p>
            <w:r>
              <w:t>Analysis reproduces</w:t>
            </w:r>
          </w:p>
        </w:tc>
        <w:tc>
          <w:tcPr>
            <w:tcW w:type="dxa" w:w="2880"/>
          </w:tcPr>
          <w:p>
            <w:r>
              <w:t>16/16; seeds/BCa stable</w:t>
            </w:r>
          </w:p>
        </w:tc>
        <w:tc>
          <w:tcPr>
            <w:tcW w:type="dxa" w:w="2880"/>
          </w:tcPr>
          <w:p>
            <w:r>
              <w:t>Supported</w:t>
            </w:r>
          </w:p>
        </w:tc>
      </w:tr>
      <w:tr>
        <w:tc>
          <w:tcPr>
            <w:tcW w:type="dxa" w:w="2880"/>
          </w:tcPr>
          <w:p>
            <w:r>
              <w:t>Measurements reproduce</w:t>
            </w:r>
          </w:p>
        </w:tc>
        <w:tc>
          <w:tcPr>
            <w:tcW w:type="dxa" w:w="2880"/>
          </w:tcPr>
          <w:p>
            <w:r>
              <w:t>EXP-011 empty</w:t>
            </w:r>
          </w:p>
        </w:tc>
        <w:tc>
          <w:tcPr>
            <w:tcW w:type="dxa" w:w="2880"/>
          </w:tcPr>
          <w:p>
            <w:r>
              <w:t>NOT evaluable</w:t>
            </w:r>
          </w:p>
        </w:tc>
      </w:tr>
      <w:tr>
        <w:tc>
          <w:tcPr>
            <w:tcW w:type="dxa" w:w="2880"/>
          </w:tcPr>
          <w:p>
            <w:r>
              <w:t>Process is auditable</w:t>
            </w:r>
          </w:p>
        </w:tc>
        <w:tc>
          <w:tcPr>
            <w:tcW w:type="dxa" w:w="2880"/>
          </w:tcPr>
          <w:p>
            <w:r>
              <w:t>36/36 gate; 46 decisions</w:t>
            </w:r>
          </w:p>
        </w:tc>
        <w:tc>
          <w:tcPr>
            <w:tcW w:type="dxa" w:w="2880"/>
          </w:tcPr>
          <w:p>
            <w:r>
              <w:t>Supported</w:t>
            </w:r>
          </w:p>
        </w:tc>
      </w:tr>
    </w:tbl>
    <w:p/>
    <w:p>
      <w:r>
        <w:drawing>
          <wp:inline xmlns:a="http://schemas.openxmlformats.org/drawingml/2006/main" xmlns:pic="http://schemas.openxmlformats.org/drawingml/2006/picture">
            <wp:extent cx="5486400" cy="2369389"/>
            <wp:docPr id="25" name="Picture 25"/>
            <wp:cNvGraphicFramePr>
              <a:graphicFrameLocks noChangeAspect="1"/>
            </wp:cNvGraphicFramePr>
            <a:graphic>
              <a:graphicData uri="http://schemas.openxmlformats.org/drawingml/2006/picture">
                <pic:pic>
                  <pic:nvPicPr>
                    <pic:cNvPr id="0" name="Fig 25 Reliability Assessment Framework.png"/>
                    <pic:cNvPicPr/>
                  </pic:nvPicPr>
                  <pic:blipFill>
                    <a:blip r:embed="rId33"/>
                    <a:stretch>
                      <a:fillRect/>
                    </a:stretch>
                  </pic:blipFill>
                  <pic:spPr>
                    <a:xfrm>
                      <a:off x="0" y="0"/>
                      <a:ext cx="5486400" cy="2369389"/>
                    </a:xfrm>
                    <a:prstGeom prst="rect"/>
                  </pic:spPr>
                </pic:pic>
              </a:graphicData>
            </a:graphic>
          </wp:inline>
        </w:drawing>
      </w:r>
    </w:p>
    <w:p/>
    <w:p>
      <w:pPr>
        <w:pStyle w:val="Heading1"/>
      </w:pPr>
      <w:r>
        <w:t>18. Industry Use Cases and Case Study Evaluation</w:t>
      </w:r>
    </w:p>
    <w:p>
      <w:r>
        <w:t>The framework maps to industries where batch analytics cost is material and workloads recur with drift — the exact conditions under which static tuning goes stale (Figure 26, Table 14). **Smart manufacturing**: sensor-batch aggregation and quality-join pipelines recur hourly with shifting skew as product mix changes; a governed tuning loop converts per-line expert tweaks into one policy per pipeline family. **Healthcare analytics**: cohort aggregations over growing record volumes, where auditability (decision log, manifests) matters as much as speed for compliance review. **Financial services** (Figure 27): end-of-day risk aggregations and fraud-join screens under hard time windows, where the 3–5× gap between default and tuned configurations measured here translates directly into window headroom. **Telecom, retail, and smart-city** workloads share the pattern: recurring joins/aggregations over growing, skew-shifting data.</w:t>
      </w:r>
    </w:p>
    <w:p>
      <w:r>
        <w:t>These mappings are prospective: no industry deployment was executed and no industry data measured. What transfers is the evaluated mechanism (sample-efficient tuning inside a counted budget with sealed evaluation) and the measured cost model (~57 wall-clock hours and commodity single-node compute for a full 4,842-run adjudication study), which bounds what a pilot would cost an adopting team.</w:t>
      </w:r>
    </w:p>
    <w:p>
      <w:pPr>
        <w:pStyle w:val="Heading2"/>
      </w:pPr>
      <w:r>
        <w:t>Table 14: Industry Use Cases Matrix (prospective)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Industry</w:t>
            </w:r>
          </w:p>
        </w:tc>
        <w:tc>
          <w:tcPr>
            <w:tcW w:type="dxa" w:w="2160"/>
          </w:tcPr>
          <w:p>
            <w:r>
              <w:t>Workload pattern</w:t>
            </w:r>
          </w:p>
        </w:tc>
        <w:tc>
          <w:tcPr>
            <w:tcW w:type="dxa" w:w="2160"/>
          </w:tcPr>
          <w:p>
            <w:r>
              <w:t>Maps to</w:t>
            </w:r>
          </w:p>
        </w:tc>
        <w:tc>
          <w:tcPr>
            <w:tcW w:type="dxa" w:w="2160"/>
          </w:tcPr>
          <w:p>
            <w:r>
              <w:t>Expected benefit</w:t>
            </w:r>
          </w:p>
        </w:tc>
      </w:tr>
      <w:tr>
        <w:tc>
          <w:tcPr>
            <w:tcW w:type="dxa" w:w="2160"/>
          </w:tcPr>
          <w:p>
            <w:r>
              <w:t>Smart manufacturing</w:t>
            </w:r>
          </w:p>
        </w:tc>
        <w:tc>
          <w:tcPr>
            <w:tcW w:type="dxa" w:w="2160"/>
          </w:tcPr>
          <w:p>
            <w:r>
              <w:t>Sensor aggregation, quality joins</w:t>
            </w:r>
          </w:p>
        </w:tc>
        <w:tc>
          <w:tcPr>
            <w:tcW w:type="dxa" w:w="2160"/>
          </w:tcPr>
          <w:p>
            <w:r>
              <w:t>F1_agg, F2_join</w:t>
            </w:r>
          </w:p>
        </w:tc>
        <w:tc>
          <w:tcPr>
            <w:tcW w:type="dxa" w:w="2160"/>
          </w:tcPr>
          <w:p>
            <w:r>
              <w:t>Less per-line tuning; drift response</w:t>
            </w:r>
          </w:p>
        </w:tc>
      </w:tr>
      <w:tr>
        <w:tc>
          <w:tcPr>
            <w:tcW w:type="dxa" w:w="2160"/>
          </w:tcPr>
          <w:p>
            <w:r>
              <w:t>Healthcare analytics</w:t>
            </w:r>
          </w:p>
        </w:tc>
        <w:tc>
          <w:tcPr>
            <w:tcW w:type="dxa" w:w="2160"/>
          </w:tcPr>
          <w:p>
            <w:r>
              <w:t>Cohort aggregation over growth data</w:t>
            </w:r>
          </w:p>
        </w:tc>
        <w:tc>
          <w:tcPr>
            <w:tcW w:type="dxa" w:w="2160"/>
          </w:tcPr>
          <w:p>
            <w:r>
              <w:t>F1_agg (M→L)</w:t>
            </w:r>
          </w:p>
        </w:tc>
        <w:tc>
          <w:tcPr>
            <w:tcW w:type="dxa" w:w="2160"/>
          </w:tcPr>
          <w:p>
            <w:r>
              <w:t>Auditable tuning for review</w:t>
            </w:r>
          </w:p>
        </w:tc>
      </w:tr>
      <w:tr>
        <w:tc>
          <w:tcPr>
            <w:tcW w:type="dxa" w:w="2160"/>
          </w:tcPr>
          <w:p>
            <w:r>
              <w:t>Financial services</w:t>
            </w:r>
          </w:p>
        </w:tc>
        <w:tc>
          <w:tcPr>
            <w:tcW w:type="dxa" w:w="2160"/>
          </w:tcPr>
          <w:p>
            <w:r>
              <w:t>Risk aggregation, fraud joins, time windows</w:t>
            </w:r>
          </w:p>
        </w:tc>
        <w:tc>
          <w:tcPr>
            <w:tcW w:type="dxa" w:w="2160"/>
          </w:tcPr>
          <w:p>
            <w:r>
              <w:t>F1/F2, F5_mixed</w:t>
            </w:r>
          </w:p>
        </w:tc>
        <w:tc>
          <w:tcPr>
            <w:tcW w:type="dxa" w:w="2160"/>
          </w:tcPr>
          <w:p>
            <w:r>
              <w:t>Window headroom from 3–5× tuning gap</w:t>
            </w:r>
          </w:p>
        </w:tc>
      </w:tr>
      <w:tr>
        <w:tc>
          <w:tcPr>
            <w:tcW w:type="dxa" w:w="2160"/>
          </w:tcPr>
          <w:p>
            <w:r>
              <w:t>Telecom analytics</w:t>
            </w:r>
          </w:p>
        </w:tc>
        <w:tc>
          <w:tcPr>
            <w:tcW w:type="dxa" w:w="2160"/>
          </w:tcPr>
          <w:p>
            <w:r>
              <w:t>Call-record joins, skew by region</w:t>
            </w:r>
          </w:p>
        </w:tc>
        <w:tc>
          <w:tcPr>
            <w:tcW w:type="dxa" w:w="2160"/>
          </w:tcPr>
          <w:p>
            <w:r>
              <w:t>F4_ski</w:t>
            </w:r>
          </w:p>
        </w:tc>
        <w:tc>
          <w:tcPr>
            <w:tcW w:type="dxa" w:w="2160"/>
          </w:tcPr>
          <w:p>
            <w:r>
              <w:t>Skew-robust configs</w:t>
            </w:r>
          </w:p>
        </w:tc>
      </w:tr>
      <w:tr>
        <w:tc>
          <w:tcPr>
            <w:tcW w:type="dxa" w:w="2160"/>
          </w:tcPr>
          <w:p>
            <w:r>
              <w:t>Retail intelligence</w:t>
            </w:r>
          </w:p>
        </w:tc>
        <w:tc>
          <w:tcPr>
            <w:tcW w:type="dxa" w:w="2160"/>
          </w:tcPr>
          <w:p>
            <w:r>
              <w:t>Sales aggregation, inventory joins</w:t>
            </w:r>
          </w:p>
        </w:tc>
        <w:tc>
          <w:tcPr>
            <w:tcW w:type="dxa" w:w="2160"/>
          </w:tcPr>
          <w:p>
            <w:r>
              <w:t>F1_agg, F2_join</w:t>
            </w:r>
          </w:p>
        </w:tc>
        <w:tc>
          <w:tcPr>
            <w:tcW w:type="dxa" w:w="2160"/>
          </w:tcPr>
          <w:p>
            <w:r>
              <w:t>Seasonal-scale adaptation</w:t>
            </w:r>
          </w:p>
        </w:tc>
      </w:tr>
      <w:tr>
        <w:tc>
          <w:tcPr>
            <w:tcW w:type="dxa" w:w="2160"/>
          </w:tcPr>
          <w:p>
            <w:r>
              <w:t>Smart cities</w:t>
            </w:r>
          </w:p>
        </w:tc>
        <w:tc>
          <w:tcPr>
            <w:tcW w:type="dxa" w:w="2160"/>
          </w:tcPr>
          <w:p>
            <w:r>
              <w:t>Sensor-mixed pipelines</w:t>
            </w:r>
          </w:p>
        </w:tc>
        <w:tc>
          <w:tcPr>
            <w:tcW w:type="dxa" w:w="2160"/>
          </w:tcPr>
          <w:p>
            <w:r>
              <w:t>F5_mixed</w:t>
            </w:r>
          </w:p>
        </w:tc>
        <w:tc>
          <w:tcPr>
            <w:tcW w:type="dxa" w:w="2160"/>
          </w:tcPr>
          <w:p>
            <w:r>
              <w:t>Shared-host contention tolerance</w:t>
            </w:r>
          </w:p>
        </w:tc>
      </w:tr>
    </w:tbl>
    <w:p/>
    <w:p>
      <w:r>
        <w:drawing>
          <wp:inline xmlns:a="http://schemas.openxmlformats.org/drawingml/2006/main" xmlns:pic="http://schemas.openxmlformats.org/drawingml/2006/picture">
            <wp:extent cx="5486400" cy="2369389"/>
            <wp:docPr id="26" name="Picture 26"/>
            <wp:cNvGraphicFramePr>
              <a:graphicFrameLocks noChangeAspect="1"/>
            </wp:cNvGraphicFramePr>
            <a:graphic>
              <a:graphicData uri="http://schemas.openxmlformats.org/drawingml/2006/picture">
                <pic:pic>
                  <pic:nvPicPr>
                    <pic:cNvPr id="0" name="Fig 26 Smart Manufacturing Analytics Ecosystem.png"/>
                    <pic:cNvPicPr/>
                  </pic:nvPicPr>
                  <pic:blipFill>
                    <a:blip r:embed="rId34"/>
                    <a:stretch>
                      <a:fillRect/>
                    </a:stretch>
                  </pic:blipFill>
                  <pic:spPr>
                    <a:xfrm>
                      <a:off x="0" y="0"/>
                      <a:ext cx="5486400" cy="2369389"/>
                    </a:xfrm>
                    <a:prstGeom prst="rect"/>
                  </pic:spPr>
                </pic:pic>
              </a:graphicData>
            </a:graphic>
          </wp:inline>
        </w:drawing>
      </w:r>
    </w:p>
    <w:p/>
    <w:p>
      <w:r>
        <w:drawing>
          <wp:inline xmlns:a="http://schemas.openxmlformats.org/drawingml/2006/main" xmlns:pic="http://schemas.openxmlformats.org/drawingml/2006/picture">
            <wp:extent cx="5486400" cy="2369389"/>
            <wp:docPr id="27" name="Picture 27"/>
            <wp:cNvGraphicFramePr>
              <a:graphicFrameLocks noChangeAspect="1"/>
            </wp:cNvGraphicFramePr>
            <a:graphic>
              <a:graphicData uri="http://schemas.openxmlformats.org/drawingml/2006/picture">
                <pic:pic>
                  <pic:nvPicPr>
                    <pic:cNvPr id="0" name="Fig 27 Financial Analytics Optimization Platform.png"/>
                    <pic:cNvPicPr/>
                  </pic:nvPicPr>
                  <pic:blipFill>
                    <a:blip r:embed="rId35"/>
                    <a:stretch>
                      <a:fillRect/>
                    </a:stretch>
                  </pic:blipFill>
                  <pic:spPr>
                    <a:xfrm>
                      <a:off x="0" y="0"/>
                      <a:ext cx="5486400" cy="2369389"/>
                    </a:xfrm>
                    <a:prstGeom prst="rect"/>
                  </pic:spPr>
                </pic:pic>
              </a:graphicData>
            </a:graphic>
          </wp:inline>
        </w:drawing>
      </w:r>
    </w:p>
    <w:p/>
    <w:p>
      <w:pPr>
        <w:pStyle w:val="Heading1"/>
      </w:pPr>
      <w:r>
        <w:t>19. Business Impact Assessment</w:t>
      </w:r>
    </w:p>
    <w:p>
      <w:r>
        <w:t>The business case rests on converting recurring tuning labour and wasted compute into a one-time governed loop (Figure 28, Table 15). Operational efficiency comes from fewer manual interventions: each workload family carries one policy instead of one expert-maintained configuration per scale. Infrastructure savings follow the measured tuning gap — tuned configurations beat defaults 3–5× on the studied cells, so jobs that must run daily consume proportionally fewer executor-hours once tuned. Performance improvement is therefore not a promise but a measured range on the studied backend, with the honest bound that the learner matched but did not beat the best static tuning. Productivity gains accrue to platform teams: every decision ships with its evidence (policy checkpoint, manifest, interval), cutting diagnosis time when performance regresses.</w:t>
      </w:r>
    </w:p>
    <w:p>
      <w:r>
        <w:t>ROI framing must stay inside the evidence. Measured costs: one full adjudication study ≈ 57 wall-clock hours on a single commodity node plus analyst time, against which ~3,000 unnecessary runs (≈60% of the study) are avoidable with dependence-aware stopping — a direct saving for any team running repetition studies. Unmeasured and therefore excluded from ROI: cluster-scale savings, multi-tenant effects, and any AQE-on interaction. The cost–benefit table below labels each line as measured or projected.</w:t>
      </w:r>
    </w:p>
    <w:p>
      <w:pPr>
        <w:pStyle w:val="Heading2"/>
      </w:pPr>
      <w:r>
        <w:t>Table 15: Cost–Benefit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Line</w:t>
            </w:r>
          </w:p>
        </w:tc>
        <w:tc>
          <w:tcPr>
            <w:tcW w:type="dxa" w:w="2880"/>
          </w:tcPr>
          <w:p>
            <w:r>
              <w:t>Basis</w:t>
            </w:r>
          </w:p>
        </w:tc>
        <w:tc>
          <w:tcPr>
            <w:tcW w:type="dxa" w:w="2880"/>
          </w:tcPr>
          <w:p>
            <w:r>
              <w:t>Value</w:t>
            </w:r>
          </w:p>
        </w:tc>
      </w:tr>
      <w:tr>
        <w:tc>
          <w:tcPr>
            <w:tcW w:type="dxa" w:w="2880"/>
          </w:tcPr>
          <w:p>
            <w:r>
              <w:t>Tuning gap (default → tuned)</w:t>
            </w:r>
          </w:p>
        </w:tc>
        <w:tc>
          <w:tcPr>
            <w:tcW w:type="dxa" w:w="2880"/>
          </w:tcPr>
          <w:p>
            <w:r>
              <w:t>Measured (6 cells)</w:t>
            </w:r>
          </w:p>
        </w:tc>
        <w:tc>
          <w:tcPr>
            <w:tcW w:type="dxa" w:w="2880"/>
          </w:tcPr>
          <w:p>
            <w:r>
              <w:t>3–5× faster</w:t>
            </w:r>
          </w:p>
        </w:tc>
      </w:tr>
      <w:tr>
        <w:tc>
          <w:tcPr>
            <w:tcW w:type="dxa" w:w="2880"/>
          </w:tcPr>
          <w:p>
            <w:r>
              <w:t>Learner vs static best</w:t>
            </w:r>
          </w:p>
        </w:tc>
        <w:tc>
          <w:tcPr>
            <w:tcW w:type="dxa" w:w="2880"/>
          </w:tcPr>
          <w:p>
            <w:r>
              <w:t>Measured</w:t>
            </w:r>
          </w:p>
        </w:tc>
        <w:tc>
          <w:tcPr>
            <w:tcW w:type="dxa" w:w="2880"/>
          </w:tcPr>
          <w:p>
            <w:r>
              <w:t>−21% (static wins; open)</w:t>
            </w:r>
          </w:p>
        </w:tc>
      </w:tr>
      <w:tr>
        <w:tc>
          <w:tcPr>
            <w:tcW w:type="dxa" w:w="2880"/>
          </w:tcPr>
          <w:p>
            <w:r>
              <w:t>Adjudication study cost</w:t>
            </w:r>
          </w:p>
        </w:tc>
        <w:tc>
          <w:tcPr>
            <w:tcW w:type="dxa" w:w="2880"/>
          </w:tcPr>
          <w:p>
            <w:r>
              <w:t>Measured (4,842 runs)</w:t>
            </w:r>
          </w:p>
        </w:tc>
        <w:tc>
          <w:tcPr>
            <w:tcW w:type="dxa" w:w="2880"/>
          </w:tcPr>
          <w:p>
            <w:r>
              <w:t>~57 node-hours, 4.8 MB record</w:t>
            </w:r>
          </w:p>
        </w:tc>
      </w:tr>
      <w:tr>
        <w:tc>
          <w:tcPr>
            <w:tcW w:type="dxa" w:w="2880"/>
          </w:tcPr>
          <w:p>
            <w:r>
              <w:t>Avoidable runs (dependence-aware stopping)</w:t>
            </w:r>
          </w:p>
        </w:tc>
        <w:tc>
          <w:tcPr>
            <w:tcW w:type="dxa" w:w="2880"/>
          </w:tcPr>
          <w:p>
            <w:r>
              <w:t>Measured retrospectively</w:t>
            </w:r>
          </w:p>
        </w:tc>
        <w:tc>
          <w:tcPr>
            <w:tcW w:type="dxa" w:w="2880"/>
          </w:tcPr>
          <w:p>
            <w:r>
              <w:t>~3,000 runs (~60%)</w:t>
            </w:r>
          </w:p>
        </w:tc>
      </w:tr>
      <w:tr>
        <w:tc>
          <w:tcPr>
            <w:tcW w:type="dxa" w:w="2880"/>
          </w:tcPr>
          <w:p>
            <w:r>
              <w:t>Expert-tuning labour displaced</w:t>
            </w:r>
          </w:p>
        </w:tc>
        <w:tc>
          <w:tcPr>
            <w:tcW w:type="dxa" w:w="2880"/>
          </w:tcPr>
          <w:p>
            <w:r>
              <w:t>Projected</w:t>
            </w:r>
          </w:p>
        </w:tc>
        <w:tc>
          <w:tcPr>
            <w:tcW w:type="dxa" w:w="2880"/>
          </w:tcPr>
          <w:p>
            <w:r>
              <w:t>Per-family policy replaces per-scale configs</w:t>
            </w:r>
          </w:p>
        </w:tc>
      </w:tr>
      <w:tr>
        <w:tc>
          <w:tcPr>
            <w:tcW w:type="dxa" w:w="2880"/>
          </w:tcPr>
          <w:p>
            <w:r>
              <w:t>Cluster/multi-tenant savings</w:t>
            </w:r>
          </w:p>
        </w:tc>
        <w:tc>
          <w:tcPr>
            <w:tcW w:type="dxa" w:w="2880"/>
          </w:tcPr>
          <w:p>
            <w:r>
              <w:t>Not measured</w:t>
            </w:r>
          </w:p>
        </w:tc>
        <w:tc>
          <w:tcPr>
            <w:tcW w:type="dxa" w:w="2880"/>
          </w:tcPr>
          <w:p>
            <w:r>
              <w:t>Excluded from ROI</w:t>
            </w:r>
          </w:p>
        </w:tc>
      </w:tr>
    </w:tbl>
    <w:p/>
    <w:p>
      <w:r>
        <w:drawing>
          <wp:inline xmlns:a="http://schemas.openxmlformats.org/drawingml/2006/main" xmlns:pic="http://schemas.openxmlformats.org/drawingml/2006/picture">
            <wp:extent cx="5486400" cy="2520778"/>
            <wp:docPr id="28" name="Picture 28"/>
            <wp:cNvGraphicFramePr>
              <a:graphicFrameLocks noChangeAspect="1"/>
            </wp:cNvGraphicFramePr>
            <a:graphic>
              <a:graphicData uri="http://schemas.openxmlformats.org/drawingml/2006/picture">
                <pic:pic>
                  <pic:nvPicPr>
                    <pic:cNvPr id="0" name="Fig 28 Business Impact Dashboard.png"/>
                    <pic:cNvPicPr/>
                  </pic:nvPicPr>
                  <pic:blipFill>
                    <a:blip r:embed="rId36"/>
                    <a:stretch>
                      <a:fillRect/>
                    </a:stretch>
                  </pic:blipFill>
                  <pic:spPr>
                    <a:xfrm>
                      <a:off x="0" y="0"/>
                      <a:ext cx="5486400" cy="2520778"/>
                    </a:xfrm>
                    <a:prstGeom prst="rect"/>
                  </pic:spPr>
                </pic:pic>
              </a:graphicData>
            </a:graphic>
          </wp:inline>
        </w:drawing>
      </w:r>
    </w:p>
    <w:p/>
    <w:p>
      <w:pPr>
        <w:pStyle w:val="Heading1"/>
      </w:pPr>
      <w:r>
        <w:t>20. Challenges and Limitations</w:t>
      </w:r>
    </w:p>
    <w:p>
      <w:r>
        <w:t>Figure 29 maps the limitations; every entry below is measured or explicitly recorded, none discovered during writing. **Reward engineering complexity:** R3's three terms and references (0.5 CV, 0.10 spill) are frozen constants, and the A3 study shows time-only reward agreeing with R3 on 4/4 states — but the R4 log-ratio variant could not even be fully specified, bounding how far reward redesign can currently go. **Exploration costs:** 483 of 500 budgeted executions were consumed to reach an UNDECIDED main comparison; the budget bought honesty (replicates, sealed evaluation) rather than victory. **Scalability constraints:** single node, `local[2]`, five synthetic families — no cluster, no streaming, no MLlib, no public dataset (EXP-010 empty). **Computational overhead:** monitoring itself is cheap (6/7 PASS), but repetition studies are expensive when dependence is ignored (~3,000 wasted runs here). **Explainability limitations:** policies are inspectable yet mutually disagreeing (M8 0.20); interpretability of tables does not imply trustworthiness of any single table. **Deployment risks:** the TEST-seal and budget guard are code properties of this repository, not transferable guarantees; the AQE-on interaction is unmeasured; `F3|large|s3` fails structurally on Windows; `F3_rdd|medium` is missing everywhere via the T_ref null. Finally, two verdicts fall under dependence-honest intervals and the "bimodal" label failed its own coefficient check — the paper's strong claims carry stated fragility, which is exactly why they are trustworthy as far as they go.</w:t>
      </w:r>
    </w:p>
    <w:p>
      <w:r>
        <w:drawing>
          <wp:inline xmlns:a="http://schemas.openxmlformats.org/drawingml/2006/main" xmlns:pic="http://schemas.openxmlformats.org/drawingml/2006/picture">
            <wp:extent cx="5486400" cy="2369389"/>
            <wp:docPr id="29" name="Picture 29"/>
            <wp:cNvGraphicFramePr>
              <a:graphicFrameLocks noChangeAspect="1"/>
            </wp:cNvGraphicFramePr>
            <a:graphic>
              <a:graphicData uri="http://schemas.openxmlformats.org/drawingml/2006/picture">
                <pic:pic>
                  <pic:nvPicPr>
                    <pic:cNvPr id="0" name="Fig 29 Challenges and Limitations Roadmap.png"/>
                    <pic:cNvPicPr/>
                  </pic:nvPicPr>
                  <pic:blipFill>
                    <a:blip r:embed="rId37"/>
                    <a:stretch>
                      <a:fillRect/>
                    </a:stretch>
                  </pic:blipFill>
                  <pic:spPr>
                    <a:xfrm>
                      <a:off x="0" y="0"/>
                      <a:ext cx="5486400" cy="2369389"/>
                    </a:xfrm>
                    <a:prstGeom prst="rect"/>
                  </pic:spPr>
                </pic:pic>
              </a:graphicData>
            </a:graphic>
          </wp:inline>
        </w:drawing>
      </w:r>
    </w:p>
    <w:p/>
    <w:p>
      <w:pPr>
        <w:pStyle w:val="Heading1"/>
      </w:pPr>
      <w:r>
        <w:t>21. Future Research Directions</w:t>
      </w:r>
    </w:p>
    <w:p>
      <w:r>
        <w:t>Figure 30 orders the agenda by evidence readiness. **Nearest (pre-designed):** execute the scoped AQE-on arm (EXP-005b, 35 runs, own ledger) to settle complementarity with built-in adaptivity; run the B3 heuristic and sampler sweeps on validation-scoped lines; backfill the `F3_rdd|medium` calibration. **Medium term:** multi-agent RL over partitioned configuration subspaces (one agent per axis, coordinated through the reward), federated optimization across teams sharing Q0 calibrations without sharing data, and autonomous cluster-scale validation of the single-node findings — each requiring its own budget line and pre-registration. **Longer term** (Figure 31): LLM-assisted optimization (language models proposing configurations the RL loop adjudicates, keeping measurement as the authority), cognitive data engineering (policies that explain themselves in operator language, grounded in the traceability layer of Section 10), and dependence-aware stopping rules built from the CUSUM/ACF evidence of Section 15 — converting this report's retrospective cost finding into a prospective method. Every direction inherits the guardrails: bounded budgets, sealed evaluation, frozen analysis code, and negative results published.</w:t>
      </w:r>
    </w:p>
    <w:p>
      <w:r>
        <w:t>Sequencing matters because budgets are finite (17 executions remain under the training cap). The validation-scoped confirmations come first — they need no TEST access and run on their own register lines: B3 execution, sampler sweeps, event-log confound quantification, and the F3 calibration backfill. The TEST-crossing work (AQE-on arm, any re-measurement on frozen instances) follows only after explicit authorization decisions, since the seal is the project's most valuable methodological asset. External validity (public-dataset pilot, reproducibility study) comes last because it is the most expensive and the least constrained by current gaps — it extends the claims rather than securing them. This ordering ensures that if resources run out, what remains unfinished is clearly marked future work rather than quietly weakened evidence.</w:t>
      </w:r>
    </w:p>
    <w:p>
      <w:r>
        <w:drawing>
          <wp:inline xmlns:a="http://schemas.openxmlformats.org/drawingml/2006/main" xmlns:pic="http://schemas.openxmlformats.org/drawingml/2006/picture">
            <wp:extent cx="5486400" cy="2369389"/>
            <wp:docPr id="30" name="Picture 30"/>
            <wp:cNvGraphicFramePr>
              <a:graphicFrameLocks noChangeAspect="1"/>
            </wp:cNvGraphicFramePr>
            <a:graphic>
              <a:graphicData uri="http://schemas.openxmlformats.org/drawingml/2006/picture">
                <pic:pic>
                  <pic:nvPicPr>
                    <pic:cNvPr id="0" name="Fig 30 Future Research Roadmap.png"/>
                    <pic:cNvPicPr/>
                  </pic:nvPicPr>
                  <pic:blipFill>
                    <a:blip r:embed="rId38"/>
                    <a:stretch>
                      <a:fillRect/>
                    </a:stretch>
                  </pic:blipFill>
                  <pic:spPr>
                    <a:xfrm>
                      <a:off x="0" y="0"/>
                      <a:ext cx="5486400" cy="2369389"/>
                    </a:xfrm>
                    <a:prstGeom prst="rect"/>
                  </pic:spPr>
                </pic:pic>
              </a:graphicData>
            </a:graphic>
          </wp:inline>
        </w:drawing>
      </w:r>
    </w:p>
    <w:p/>
    <w:p>
      <w:r>
        <w:drawing>
          <wp:inline xmlns:a="http://schemas.openxmlformats.org/drawingml/2006/main" xmlns:pic="http://schemas.openxmlformats.org/drawingml/2006/picture">
            <wp:extent cx="5486400" cy="2369389"/>
            <wp:docPr id="31" name="Picture 31"/>
            <wp:cNvGraphicFramePr>
              <a:graphicFrameLocks noChangeAspect="1"/>
            </wp:cNvGraphicFramePr>
            <a:graphic>
              <a:graphicData uri="http://schemas.openxmlformats.org/drawingml/2006/picture">
                <pic:pic>
                  <pic:nvPicPr>
                    <pic:cNvPr id="0" name="Fig 31 Next-Generation Autonomous Analytics Ecosystem.png"/>
                    <pic:cNvPicPr/>
                  </pic:nvPicPr>
                  <pic:blipFill>
                    <a:blip r:embed="rId39"/>
                    <a:stretch>
                      <a:fillRect/>
                    </a:stretch>
                  </pic:blipFill>
                  <pic:spPr>
                    <a:xfrm>
                      <a:off x="0" y="0"/>
                      <a:ext cx="5486400" cy="2369389"/>
                    </a:xfrm>
                    <a:prstGeom prst="rect"/>
                  </pic:spPr>
                </pic:pic>
              </a:graphicData>
            </a:graphic>
          </wp:inline>
        </w:drawing>
      </w:r>
    </w:p>
    <w:p/>
    <w:p>
      <w:pPr>
        <w:pStyle w:val="Heading1"/>
      </w:pPr>
      <w:r>
        <w:t>22. Conclusion</w:t>
      </w:r>
    </w:p>
    <w:p>
      <w:r>
        <w:t>AdaSpark set out to test whether Spark execution-configuration selection can be made self-adaptive with sample-efficient reinforcement learning inside a practical budget — and to report whatever the measurement said (Figure 32). What it established: configuration choice moves medians ≥10% on every tested family; a tabular learner with offline initialization trains inside 483 counted executions with zero failed submissions; monitoring overhead sits below 5% on six of seven cells; and repetition counts derived from independence assumptions fail universally because runs are regime-structured episodes, a finding with a measured ~60% waste attached. What it did not establish: superiority over static tuning (static wins), cross-seed policy agreement (0.20 vs 0.70), generalization to unseen cells, or any AQE-on interaction — each recorded as open, with the evidence that bounds it.</w:t>
      </w:r>
    </w:p>
    <w:p>
      <w:r>
        <w:t>The durable contributions are therefore twofold: a governed, auditable control loop for Spark tuning whose every claim traces to a committed artifact, and a measurement record — including its negative results — that future work can build on without repeating. The lesson for self-adaptive systems is the report's final finding: adaptivity is not only learning faster but knowing, measurably, when not to claim learning at all.</w:t>
      </w:r>
    </w:p>
    <w:p>
      <w:r>
        <w:drawing>
          <wp:inline xmlns:a="http://schemas.openxmlformats.org/drawingml/2006/main" xmlns:pic="http://schemas.openxmlformats.org/drawingml/2006/picture">
            <wp:extent cx="5486400" cy="2369389"/>
            <wp:docPr id="32" name="Picture 32"/>
            <wp:cNvGraphicFramePr>
              <a:graphicFrameLocks noChangeAspect="1"/>
            </wp:cNvGraphicFramePr>
            <a:graphic>
              <a:graphicData uri="http://schemas.openxmlformats.org/drawingml/2006/picture">
                <pic:pic>
                  <pic:nvPicPr>
                    <pic:cNvPr id="0" name="Fig 32 Research Contribution Framework.png"/>
                    <pic:cNvPicPr/>
                  </pic:nvPicPr>
                  <pic:blipFill>
                    <a:blip r:embed="rId40"/>
                    <a:stretch>
                      <a:fillRect/>
                    </a:stretch>
                  </pic:blipFill>
                  <pic:spPr>
                    <a:xfrm>
                      <a:off x="0" y="0"/>
                      <a:ext cx="5486400" cy="2369389"/>
                    </a:xfrm>
                    <a:prstGeom prst="rect"/>
                  </pic:spPr>
                </pic:pic>
              </a:graphicData>
            </a:graphic>
          </wp:inline>
        </w:drawing>
      </w:r>
    </w:p>
    <w:p/>
    <w:p>
      <w:pPr>
        <w:pStyle w:val="Heading1"/>
      </w:pPr>
      <w:r>
        <w:t>References</w:t>
      </w:r>
    </w:p>
    <w:p>
      <w:r>
        <w:t>[1] M. Zaharia et al., "Resilient distributed datasets: A fault-tolerant abstraction for in-memory cluster computing," in Proc. NSDI, 2012.</w:t>
      </w:r>
    </w:p>
    <w:p>
      <w:r>
        <w:t>[2] M. Armbrust et al., "Spark SQL: Relational data processing in Spark," in Proc. SIGMOD, 2015.</w:t>
      </w:r>
    </w:p>
    <w:p>
      <w:r>
        <w:t>[3] R. S. Sutton and A. G. Barto, Reinforcement Learning: An Introduction, 2nd ed. MIT Press, 2018.</w:t>
      </w:r>
    </w:p>
    <w:p>
      <w:r>
        <w:t>[4] C. Watkins and P. Dayan, "Q-learning," Machine Learning, vol. 8, pp. 279–292, 1992.</w:t>
      </w:r>
    </w:p>
    <w:p>
      <w:r>
        <w:t>[5] J. O. Kephart and D. M. Chess, "The vision of autonomic computing," Computer, vol. 36, no. 1, pp. 41–50, 2003.</w:t>
      </w:r>
    </w:p>
    <w:p>
      <w:r>
        <w:t>[6] H. Herodotou et al., "Starfish: A self-tuning system for big data analytics," in Proc. CIDR, 2011.</w:t>
      </w:r>
    </w:p>
    <w:p>
      <w:r>
        <w:t>[7] D. Van Aken et al., "Automatic database management system tuning through large-scale machine learning," in Proc. SIGMOD, 2017.</w:t>
      </w:r>
    </w:p>
    <w:p>
      <w:r>
        <w:t>[8] J. Zhang et al., "An end-to-end automatic cloud database tuning system using deep reinforcement learning," in Proc. SIGMOD, 2019.</w:t>
      </w:r>
    </w:p>
    <w:p>
      <w:r>
        <w:t>[9] H. Mao et al., "Decima: Learning to schedule," in Proc. EuroSys, 2019.</w:t>
      </w:r>
    </w:p>
    <w:p>
      <w:r>
        <w:t>[10] Apache Software Foundation, "Monitoring and instrumentation," Apache Spark documentation, https://spark.apache.org/docs/latest/monitoring.html, 2026.</w:t>
      </w:r>
    </w:p>
    <w:p>
      <w:r>
        <w:t>[11] A. Georges, D. Buytaert, and L. Eeckhout, "Statistically rigorous Java performance evaluation," in Proc. OOPSLA, 2007.</w:t>
      </w:r>
    </w:p>
    <w:p>
      <w:r>
        <w:t>[12] T. Kalibera and R. Jones, "Rigorous benchmarking in reasonable time," in Proc. ISMM, 2013.</w:t>
      </w:r>
    </w:p>
    <w:p>
      <w:r>
        <w:t>[13] E. Barrett et al., "Virtual machine warmup blows hot and cold," Proc. ACM Program. Lang. (OOPSLA), 2017.</w:t>
      </w:r>
    </w:p>
    <w:p>
      <w:r>
        <w:t>[14] T. Mytkowicz et al., "Producing wrong data without doing anything obviously wrong!" in Proc. ASPLOS, 2009.</w:t>
      </w:r>
    </w:p>
    <w:p>
      <w:r>
        <w:t>[15] T. Mytkowicz et al., "Evaluating the accuracy of Java profilers," in Proc. PLDI, 2010.</w:t>
      </w:r>
    </w:p>
    <w:p>
      <w:r>
        <w:t>[16] J. Chen and J. Revels, "Robust benchmarking in noisy environments," arXiv:1608.04295, 2016.</w:t>
      </w:r>
    </w:p>
    <w:p>
      <w:r>
        <w:t>[17] A. Abedi and T. Brecht, "Conducting repeatable experiments in highly variable cloud computing environments," in Proc. ICPE, 2017.</w:t>
      </w:r>
    </w:p>
    <w:p>
      <w:r>
        <w:t>[18] L. Bulej et al., "Duet benchmarking: Improving measurement accuracy in the cloud," in Proc. ICPE, 2020.</w:t>
      </w:r>
    </w:p>
    <w:p>
      <w:r>
        <w:t>[19] C. Laaber, J. Scheuner, and P. Leitner, "Software microbenchmarking in the cloud. How bad is it really?" Empirical Software Engineering, vol. 24, pp. 2469–2508, 2019.</w:t>
      </w:r>
    </w:p>
    <w:p>
      <w:r>
        <w:t>[20] P. Leitner and J. Cito, "Patterns in the chaos — A study of performance variation and predictability in public IaaS clouds," ACM Trans. Internet Technol., vol. 16, 2016.</w:t>
      </w:r>
    </w:p>
    <w:p>
      <w:r>
        <w:t>[21] A. Uta et al., "Is big data performance reproducible in modern cloud networks?" in Proc. NSDI, 2020.</w:t>
      </w:r>
    </w:p>
    <w:p>
      <w:r>
        <w:t>[22] A. Maricq et al., "Taming performance variability," in Proc. OSDI, 2018.</w:t>
      </w:r>
    </w:p>
    <w:p>
      <w:r>
        <w:t>[23] K. Ousterhout et al., "Making sense of performance in data analytics frameworks," in Proc. NSDI, 2015.</w:t>
      </w:r>
    </w:p>
    <w:p>
      <w:r>
        <w:t>[24] A. V. Papadopoulos et al., "Methodological principles for reproducible performance evaluation in cloud computing," IEEE Trans. Software Eng., vol. 47, no. 8, pp. 1528–1543, 2021.</w:t>
      </w:r>
    </w:p>
    <w:p>
      <w:r>
        <w:t>[25] L. Traini et al., "Towards effective assessment of steady state performance in Java software: Are we there yet?" Empirical Software Engineering, vol. 28, 2023.</w:t>
      </w:r>
    </w:p>
    <w:p>
      <w:r>
        <w:t>[26] H. Burchell et al., "Don't trust your profiler: An empirical study on the precision and accuracy of Java profilers," in Proc. MPLR, 2023.</w:t>
      </w:r>
    </w:p>
    <w:p>
      <w:r>
        <w:t>[27] A. van Hoorn, J. Waller, and W. Hasselbring, "Kieker: A framework for application performance monitoring and dynamic software analysis," in Proc. ICPE, 2012.</w:t>
      </w:r>
    </w:p>
    <w:p>
      <w:r>
        <w:t>[28] D. G. Reichelt, S. Kühne, and W. Hasselbring, "Towards solving the challenge of minimal overhead monitoring," in Proc. ICPE Companion, 2023.</w:t>
      </w:r>
    </w:p>
    <w:p>
      <w:r>
        <w:t>[29] D. G. Reichelt, L. Bulej, R. Jung, and A. van Hoorn, "Overhead comparison of instrumentation frameworks," in Proc. ICPE Companion, 2024.</w:t>
      </w:r>
    </w:p>
    <w:p>
      <w:r>
        <w:t>[30] G. Ren et al., "Google-wide profiling: A continuous profiling infrastructure for data centers," IEEE Micro, vol. 30, no. 4, pp. 65–79, 2010.</w:t>
      </w:r>
    </w:p>
    <w:p>
      <w:r>
        <w:t>[31] G. Li et al., "QTune: A query-aware database tuning system with deep reinforcement learning," Proc. VLDB, 2019.</w:t>
      </w:r>
    </w:p>
    <w:p>
      <w:r>
        <w:t>[32] M. C. Huebscher and J. A. McCann, "A survey of autonomic computing — Degrees, models, and applications," ACM Comput. Surveys, vol. 40, no. 3, 2008.</w:t>
      </w:r>
    </w:p>
    <w:p>
      <w:r>
        <w:t>[33] M. Armbrust et al., "Delta Lake: High-performance ACID table storage over cloud object stores," in Proc. CIDR, 2020.</w:t>
      </w:r>
    </w:p>
    <w:p>
      <w:r>
        <w:t>[34] Apache Software Foundation, "Adaptive query execution," Apache Spark documentation, https://spark.apache.org/docs/latest/sql-performance-tuning.html, 2026.</w:t>
      </w:r>
    </w:p>
    <w:p>
      <w:r>
        <w:t>[35] J. Dean and S. Ghemawat, "MapReduce: Simplified data processing on large clusters," in Proc. OSDI, 2004.</w:t>
      </w:r>
    </w:p>
    <w:p>
      <w:r>
        <w:t>[36] K. Shvachko et al., "The Hadoop distributed file system," in Proc. MSST, 2010.</w:t>
      </w:r>
    </w:p>
    <w:p>
      <w:r>
        <w:t>[37] T. P. Lillicrap et al., "Continuous control with deep reinforcement learning," arXiv:1509.02971, 2016.</w:t>
      </w:r>
    </w:p>
    <w:p>
      <w:r>
        <w:t>[38] V. Mnih et al., "Human-level control through deep reinforcement learning," Nature, vol. 518, pp. 529–533, 2015.</w:t>
      </w:r>
    </w:p>
    <w:p>
      <w:r>
        <w:t>[39] J. Schulman et al., "Proximal policy optimization algorithms," arXiv:1707.06347, 2017.</w:t>
      </w:r>
    </w:p>
    <w:p>
      <w:pPr>
        <w:pStyle w:val="Heading1"/>
      </w:pPr>
      <w:r>
        <w:t>Appendix</w:t>
      </w:r>
    </w:p>
    <w:p>
      <w:pPr>
        <w:pStyle w:val="Heading2"/>
      </w:pPr>
      <w:r>
        <w:t>A. RL algorithm (tabular Q-learning, bandit mode)</w:t>
      </w:r>
    </w:p>
    <w:p>
      <w:r>
        <w:t>Q(s,a) ← Q(s,a) + 0.2·[r − Q(s,a)]; ε-greedy with ε 1.0 → 0.05 (×0.95/episode); optimistic Q0 = 0.5 for evidence-free pairs; Q0-median init from EXP-002 TRAIN records; checkpoints every 25 episodes; early stop after 2 stable epochs.</w:t>
      </w:r>
    </w:p>
    <w:p>
      <w:pPr>
        <w:pStyle w:val="Heading2"/>
      </w:pPr>
      <w:r>
        <w:t>B. Reward-function configurations</w:t>
      </w:r>
    </w:p>
    <w:p>
      <w:r>
        <w:t>R3: Equation (1) with weights (1.0, 0.2, 0.2, 1.0), references CV 0.5 / spill 0.10, clip [−1, +1], failure −1 exactly (`configs/reward.yaml`). A3-time-only: time term alone. A3-R4-log-ratio: registered, not implementable (incomplete specification).</w:t>
      </w:r>
    </w:p>
    <w:p>
      <w:pPr>
        <w:pStyle w:val="Heading2"/>
      </w:pPr>
      <w:r>
        <w:t>C. Spark tuning parameters (action grid)</w:t>
      </w:r>
    </w:p>
    <w:p>
      <w:r>
        <w:t>`shuffle.partitions ∈ {16, 32, 64, 128}` × `local[N], default.parallelism ∈ {2, 4, 8}` → 12 actions; mode-4 subset {0,3,6,9}; parallelism changes restart the session; AQE-off main study.</w:t>
      </w:r>
    </w:p>
    <w:p>
      <w:pPr>
        <w:pStyle w:val="Heading2"/>
      </w:pPr>
      <w:r>
        <w:t>D. Benchmark workloads</w:t>
      </w:r>
    </w:p>
    <w:p>
      <w:r>
        <w:t>F1_agg (aggregation), F2_join (join), F3_rdd (sort/filter), F4_ski (skew join), F5_mixed (pipeline, twice-consumed cached intermediate) × S(&lt;512 MiB)/M(&lt;2 GiB)/L(≥2 GiB), dataset seed 0, checksummed manifests.</w:t>
      </w:r>
    </w:p>
    <w:p>
      <w:pPr>
        <w:pStyle w:val="Heading2"/>
      </w:pPr>
      <w:r>
        <w:t>E. Experimental scripts and supplementary results</w:t>
      </w:r>
    </w:p>
    <w:p>
      <w:r>
        <w:t>Runners/analyzers: `scripts/run_exp00{1,2,5,6,9}.py`, `run_exp009_ext.py`, `run_training.py`, `analyze_exp00{2,6,7,9}.py`, `analyze_exp009_ext.py`, `analyze_exp009_robustness.py`; verifiers: `verify_paper_claims.py`, `verify_reproducibility.py`, `validate_day31.py`; paper build: `docs/paper/icpe2027/build.py`. Supplementary: `results/evaluation/exp009_robustness.json` (R1–R8), `exp009_ext_analysis.json` (55 traced figures), training analyses (Day-28/29).</w:t>
      </w:r>
    </w:p>
    <w:p>
      <w:pPr>
        <w:pStyle w:val="Heading2"/>
      </w:pPr>
      <w:r>
        <w:t>F. Decision log index (methodological decisions cited)</w:t>
      </w:r>
    </w:p>
    <w:p>
      <w:r>
        <w:t>DEC-007 backend freeze; DEC-010 failure semantics; DEC-011 mode gate (multi-step NO); DEC-012/013 EXP-003 reconciliation and validation gate; DEC-015 three replicate arms; DEC-016 baseline specifications; DEC-018 test-seal conversion; DEC-030 EXP-008 methodology; DEC-037 record integrity; DEC-040/042/043 EXP-009 authorization, adjudication, and extension; DEC-044 paired-statistic reporting; DEC-045 deposit plan; DEC-046 paper hardening. Full texts in `DECISIONS.md`.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