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F172A"/>
          <w:sz w:val="36"/>
        </w:rPr>
        <w:t>SaaS Dashboard Charts &amp; Data Metrics: Complete Business &amp; Technical Guide</w:t>
      </w:r>
    </w:p>
    <w:p>
      <w:pPr>
        <w:spacing w:after="280"/>
      </w:pPr>
      <w:r>
        <w:rPr>
          <w:rFonts w:ascii="Calibri" w:hAnsi="Calibri"/>
          <w:color w:val="475569"/>
          <w:sz w:val="21"/>
        </w:rPr>
        <w:t>In-depth breakdown of all KPIs, Charts, Cohorts, ML Risk Scores, and Interventions for Power BI &amp; Web Preview</w:t>
      </w: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1. Top-Level KPI Summary (Executive Cards)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19"/>
        </w:rPr>
        <w:t>Total ARR ($19.02M):</w:t>
      </w:r>
      <w:r>
        <w:rPr>
          <w:rFonts w:ascii="Calibri" w:hAnsi="Calibri"/>
          <w:color w:val="1E293B"/>
          <w:sz w:val="19"/>
        </w:rPr>
        <w:t xml:space="preserve"> Annual Recurring Revenue. The annualized value of all 12,500 active customer subscription contracts. Formula: SUM(Monthly_Fee * 12).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19"/>
        </w:rPr>
        <w:t>Total MRR ($1.58M):</w:t>
      </w:r>
      <w:r>
        <w:rPr>
          <w:rFonts w:ascii="Calibri" w:hAnsi="Calibri"/>
          <w:color w:val="1E293B"/>
          <w:sz w:val="19"/>
        </w:rPr>
        <w:t xml:space="preserve"> Monthly Recurring Revenue. Total predictable monthly subscription fees generated each month. Formula: ARR / 12.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19"/>
        </w:rPr>
        <w:t>Net Revenue Retention (NRR: 104.2%):</w:t>
      </w:r>
      <w:r>
        <w:rPr>
          <w:rFonts w:ascii="Calibri" w:hAnsi="Calibri"/>
          <w:color w:val="1E293B"/>
          <w:sz w:val="19"/>
        </w:rPr>
        <w:t xml:space="preserve"> Percentage of recurring revenue retained from existing customers over time, including upgrades and excluding churn. An NRR &gt; 100% means the business grows organically even without acquiring new logos.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19"/>
        </w:rPr>
        <w:t>Logo Churn Rate (14.6%):</w:t>
      </w:r>
      <w:r>
        <w:rPr>
          <w:rFonts w:ascii="Calibri" w:hAnsi="Calibri"/>
          <w:color w:val="1E293B"/>
          <w:sz w:val="19"/>
        </w:rPr>
        <w:t xml:space="preserve"> The proportion of customer accounts that cancelled their subscriptions over the observation period.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19"/>
        </w:rPr>
        <w:t>ARPU ($126.80):</w:t>
      </w:r>
      <w:r>
        <w:rPr>
          <w:rFonts w:ascii="Calibri" w:hAnsi="Calibri"/>
          <w:color w:val="1E293B"/>
          <w:sz w:val="19"/>
        </w:rPr>
        <w:t xml:space="preserve"> Average Revenue Per User per month. Formula: Total Monthly Revenue / Total Active Accounts.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19"/>
        </w:rPr>
        <w:t>SaaS Quick Ratio (2.85):</w:t>
      </w:r>
      <w:r>
        <w:rPr>
          <w:rFonts w:ascii="Calibri" w:hAnsi="Calibri"/>
          <w:color w:val="1E293B"/>
          <w:sz w:val="19"/>
        </w:rPr>
        <w:t xml:space="preserve"> Measures revenue growth efficiency: (New MRR + Expansion MRR) / (Churn MRR + Contraction MRR). A ratio &gt; 2.0 indicates strong growth momentum; in our dataset, for every $1 lost, $2.85 of new/expansion revenue is generated.</w:t>
      </w: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2. Page 1: Executive SaaS KPIs &amp; Revenue Health</w:t>
      </w:r>
    </w:p>
    <w:p>
      <w:pPr>
        <w:keepNext/>
        <w:spacing w:before="160" w:after="40"/>
      </w:pPr>
      <w:r>
        <w:rPr>
          <w:rFonts w:ascii="Calibri" w:hAnsi="Calibri"/>
          <w:b/>
          <w:color w:val="0F172A"/>
          <w:sz w:val="21"/>
        </w:rPr>
        <w:t>Chart 1: Monthly Recurring Revenue (MRR) Growth Trend &amp; Waterfall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• What it displays: Monthly breakdown of New MRR (new signups), Expansion MRR (upgrades), Churn MRR (lost cancellations), and Contraction MRR (downgrades).</w:t>
              <w:br/>
              <w:t>• Business Takeaway: Total net MRR grew steadily from $1.2M to $1.58M. However, Churn MRR averages $35k-$45k monthly, representing the revenue leakage our interventions aim to stop.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0F172A"/>
          <w:sz w:val="21"/>
        </w:rPr>
        <w:t>Chart 2: Revenue Distribution by Plan Tier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• What it displays: Comparison between Starter ($49/mo), Growth ($199/mo), Professional ($499/mo), and Enterprise ($999/mo).</w:t>
              <w:br/>
              <w:t>• Business Takeaway: Enterprise and Professional tiers account for only 28% of customer count but generate 72% of total ARR. Retaining these high-ACV (Annual Contract Value) accounts is paramount.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0F172A"/>
          <w:sz w:val="21"/>
        </w:rPr>
        <w:t>Chart 3: Churn Rate by Contract Type (Monthly vs Annual)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• What it displays: Logo churn rate across month-to-month contracts versus 1-year prepaid annual contracts.</w:t>
              <w:br/>
              <w:t>• Business Takeaway: Monthly contract churn is 24.8%, while Annual contract churn is only 5.2%. Annual contracts provide nearly 5x better retention.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3. Page 2: Cohort Retention &amp; Customer Lifecycle Analysis</w:t>
      </w:r>
    </w:p>
    <w:p>
      <w:pPr>
        <w:keepNext/>
        <w:spacing w:before="160" w:after="40"/>
      </w:pPr>
      <w:r>
        <w:rPr>
          <w:rFonts w:ascii="Calibri" w:hAnsi="Calibri"/>
          <w:b/>
          <w:color w:val="0F172A"/>
          <w:sz w:val="21"/>
        </w:rPr>
        <w:t>Chart 1: Month-0 to Month-12 Cohort Retention Matrix (Heatmap)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• What it displays: Monthly signup cohorts tracked across their lifecycle (Month 0 = 100%, Month 1 = 88.2%, Month 3 = 69.8%, Month 6 = 58.4%, Month 12 = 52.1%).</w:t>
              <w:br/>
              <w:t>• Key Discovery (The 90-Day Cliff): The steepest drop occurs between Month 1 and Month 3 (18.4% drop). This proves that early onboarding failure is the #1 churn vulnerability.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0F172A"/>
          <w:sz w:val="21"/>
        </w:rPr>
        <w:t>Chart 2: Customer Survival Probability Curve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• What it displays: The probability of an account remaining active plotted against their account age (tenure in months).</w:t>
              <w:br/>
              <w:t>• Business Takeaway: Once an account survives past Month 6, their probability of staying long-term jumps to 82%+.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0F172A"/>
          <w:sz w:val="21"/>
        </w:rPr>
        <w:t>Chart 3: Customer Health Score Distribution across Cohorts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• What it displays: Weighted composite score (0-100) combining Login Frequency (35%), Feature Breadth (25%), Support Sentiment (20%), and Billing Success (20%).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4. Page 3: Churn Risk Intelligence &amp; Financial Impact ($1.18M ARR Recovery)</w:t>
      </w:r>
    </w:p>
    <w:p>
      <w:pPr>
        <w:keepNext/>
        <w:spacing w:before="160" w:after="40"/>
      </w:pPr>
      <w:r>
        <w:rPr>
          <w:rFonts w:ascii="Calibri" w:hAnsi="Calibri"/>
          <w:b/>
          <w:color w:val="0F172A"/>
          <w:sz w:val="21"/>
        </w:rPr>
        <w:t>Chart 1: Machine Learning Risk Segmentation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19"/>
        </w:rPr>
        <w:t>Critical Risk Tier (&lt;40 Score):</w:t>
      </w:r>
      <w:r>
        <w:rPr>
          <w:rFonts w:ascii="Calibri" w:hAnsi="Calibri"/>
          <w:color w:val="1E293B"/>
          <w:sz w:val="19"/>
        </w:rPr>
        <w:t xml:space="preserve"> 1,820 accounts ($3.5M at-risk ARR) - Requires immediate CSM 1-on-1 proactive engagement.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19"/>
        </w:rPr>
        <w:t>Moderate Risk Tier (40-70 Score):</w:t>
      </w:r>
      <w:r>
        <w:rPr>
          <w:rFonts w:ascii="Calibri" w:hAnsi="Calibri"/>
          <w:color w:val="1E293B"/>
          <w:sz w:val="19"/>
        </w:rPr>
        <w:t xml:space="preserve"> 3,400 accounts - Enrolled into automated in-app feature adoption re-engagement workflows.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19"/>
        </w:rPr>
        <w:t>Healthy Tier (&gt;70 Score):</w:t>
      </w:r>
      <w:r>
        <w:rPr>
          <w:rFonts w:ascii="Calibri" w:hAnsi="Calibri"/>
          <w:color w:val="1E293B"/>
          <w:sz w:val="19"/>
        </w:rPr>
        <w:t xml:space="preserve"> 7,280 accounts - Prime candidates for expansion upsell campaigns.</w:t>
      </w:r>
    </w:p>
    <w:p>
      <w:pPr>
        <w:keepNext/>
        <w:spacing w:before="160" w:after="40"/>
      </w:pPr>
      <w:r>
        <w:rPr>
          <w:rFonts w:ascii="Calibri" w:hAnsi="Calibri"/>
          <w:b/>
          <w:color w:val="0F172A"/>
          <w:sz w:val="21"/>
        </w:rPr>
        <w:t>Chart 2: Top Churn Drivers (ML Feature Importance)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19"/>
        </w:rPr>
        <w:t>1. 30-Day Login Decay (&gt;40% drop):</w:t>
      </w:r>
      <w:r>
        <w:rPr>
          <w:rFonts w:ascii="Calibri" w:hAnsi="Calibri"/>
          <w:color w:val="1E293B"/>
          <w:sz w:val="19"/>
        </w:rPr>
        <w:t xml:space="preserve"> Strongest predictive indicator of impending cancellation.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19"/>
        </w:rPr>
        <w:t>2. Unresolved High-Priority Support Tickets (&gt;=3 tickets):</w:t>
      </w:r>
      <w:r>
        <w:rPr>
          <w:rFonts w:ascii="Calibri" w:hAnsi="Calibri"/>
          <w:color w:val="1E293B"/>
          <w:sz w:val="19"/>
        </w:rPr>
        <w:t xml:space="preserve"> Increases churn probability by 4.2x.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19"/>
        </w:rPr>
        <w:t>3. Payment Gateway Retries (Involuntary Churn):</w:t>
      </w:r>
      <w:r>
        <w:rPr>
          <w:rFonts w:ascii="Calibri" w:hAnsi="Calibri"/>
          <w:color w:val="1E293B"/>
          <w:sz w:val="19"/>
        </w:rPr>
        <w:t xml:space="preserve"> 22% of churn is purely operational billing failure, not user dissatisfaction.</w:t>
      </w:r>
    </w:p>
    <w:p>
      <w:pPr>
        <w:keepNext/>
        <w:spacing w:before="160" w:after="40"/>
      </w:pPr>
      <w:r>
        <w:rPr>
          <w:rFonts w:ascii="Calibri" w:hAnsi="Calibri"/>
          <w:b/>
          <w:color w:val="0F172A"/>
          <w:sz w:val="21"/>
        </w:rPr>
        <w:t>Chart 3: Strategic Interventions &amp; Financial ROI Breakdown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3168"/>
            <w:shd w:fill="2563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Intervention Name</w:t>
            </w:r>
          </w:p>
        </w:tc>
        <w:tc>
          <w:tcPr>
            <w:tcW w:type="dxa" w:w="2592"/>
            <w:shd w:fill="2563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Target Segment</w:t>
            </w:r>
          </w:p>
        </w:tc>
        <w:tc>
          <w:tcPr>
            <w:tcW w:type="dxa" w:w="1440"/>
            <w:shd w:fill="2563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ARR Recovered</w:t>
            </w:r>
          </w:p>
        </w:tc>
        <w:tc>
          <w:tcPr>
            <w:tcW w:type="dxa" w:w="1296"/>
            <w:shd w:fill="2563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Cost</w:t>
            </w:r>
          </w:p>
        </w:tc>
        <w:tc>
          <w:tcPr>
            <w:tcW w:type="dxa" w:w="1440"/>
            <w:shd w:fill="2563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Net ROI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1. Smart Dunning &amp; Payment Retries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Failed Gateway Cards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$280,000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$18,000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1,455%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2. Dedicated High-Risk CS Outreach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Critical Risk Tier (&lt;40)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$420,000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$65,000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546%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3. 90-Day Onboarding Redesign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Month 1-3 New Cohorts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$350,000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$38,000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821%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4. Annual Discount Incentives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Monthly High-Usage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$130,000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$20,000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550%</w:t>
            </w:r>
          </w:p>
        </w:tc>
      </w:tr>
      <w:tr>
        <w:tc>
          <w:tcPr>
            <w:tcW w:type="dxa" w:w="3168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TOTAL PROGRAM IMPACT</w:t>
            </w:r>
          </w:p>
        </w:tc>
        <w:tc>
          <w:tcPr>
            <w:tcW w:type="dxa" w:w="2592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Enterprise Wide</w:t>
            </w:r>
          </w:p>
        </w:tc>
        <w:tc>
          <w:tcPr>
            <w:tcW w:type="dxa" w:w="1440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$1,180,000</w:t>
            </w:r>
          </w:p>
        </w:tc>
        <w:tc>
          <w:tcPr>
            <w:tcW w:type="dxa" w:w="129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$141,000</w:t>
            </w:r>
          </w:p>
        </w:tc>
        <w:tc>
          <w:tcPr>
            <w:tcW w:type="dxa" w:w="1440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737.5%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5. How to Walk an Interviewer Through the Dashboard (2-Minute Script)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"When opening the dashboard, I structured it into 3 intuitive levels of analytical depth:</w:t>
              <w:br/>
              <w:br/>
              <w:t>1. Executive Level: Page 1 gives leadership an instant pulse on revenue velocity, showing our $19.02M ARR, 104.2% NRR, and proving that annual contracts retain 5x better than monthly subscriptions.</w:t>
              <w:br/>
              <w:br/>
              <w:t>2. Diagnostic Level: Page 2 investigates why customers leave using M0-M12 cohort retention matrices, pinpointing the exact 90-day onboarding cliff where 18.4% of initial users drop off.</w:t>
              <w:br/>
              <w:br/>
              <w:t>3. Prescriptive Level: Page 3 leverages our 87.5% Recall ML classification model to segment at-risk accounts before they cancel, tying data science directly to financial ROI by modeling 4 interventions that recover $1.18M in ARR at a 737.5% ROI."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7"/>
      </w:rPr>
      <w:t>SaaS Dashboard &amp; Charts Intelligence Guide | Private Prep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