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Search Buddy - PDF Training Guide Q&amp;A</w:t>
        <w:br/>
        <w:t>Implementation &amp; Estimation</w:t>
      </w:r>
    </w:p>
    <w:p>
      <w:pPr>
        <w:jc w:val="center"/>
      </w:pPr>
      <w:r>
        <w:rPr>
          <w:b/>
          <w:color w:val="595959"/>
          <w:sz w:val="23"/>
        </w:rPr>
        <w:t>Two implementation approaches | One-person delivery estimate | Includes testing, production validation and buffer</w:t>
      </w:r>
    </w:p>
    <w:p>
      <w:r>
        <w:t>Use case: users ask natural-language questions about application modules and the agent must answer using the relevant PDF training guides available on the Help page. The agent may also continue to support existing non-document module queries through current Search Buddy paths.</w:t>
      </w:r>
    </w:p>
    <w:p>
      <w:pPr>
        <w:pStyle w:val="Heading1"/>
      </w:pPr>
      <w:r>
        <w:t>1. 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2131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F4E79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Approach</w:t>
            </w:r>
          </w:p>
        </w:tc>
        <w:tc>
          <w:tcPr>
            <w:tcW w:type="dxa" w:w="2131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F4E79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When to use</w:t>
            </w:r>
          </w:p>
        </w:tc>
        <w:tc>
          <w:tcPr>
            <w:tcW w:type="dxa" w:w="2131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F4E79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Build effort</w:t>
            </w:r>
          </w:p>
        </w:tc>
        <w:tc>
          <w:tcPr>
            <w:tcW w:type="dxa" w:w="2131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F4E79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Testing + Prod + Buffer</w:t>
            </w:r>
          </w:p>
        </w:tc>
        <w:tc>
          <w:tcPr>
            <w:tcW w:type="dxa" w:w="2131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F4E79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Total estimate</w:t>
            </w:r>
          </w:p>
        </w:tc>
      </w:tr>
      <w:tr>
        <w:tc>
          <w:tcPr>
            <w:tcW w:type="dxa" w:w="2131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Approach 1 - Reuse existing search/vector platform</w:t>
            </w:r>
          </w:p>
        </w:tc>
        <w:tc>
          <w:tcPr>
            <w:tcW w:type="dxa" w:w="2131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Existing vector index/search service, security model and deployment pattern can be reused.</w:t>
            </w:r>
          </w:p>
        </w:tc>
        <w:tc>
          <w:tcPr>
            <w:tcW w:type="dxa" w:w="2131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15 working days</w:t>
            </w:r>
          </w:p>
        </w:tc>
        <w:tc>
          <w:tcPr>
            <w:tcW w:type="dxa" w:w="2131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13 working days</w:t>
            </w:r>
          </w:p>
        </w:tc>
        <w:tc>
          <w:tcPr>
            <w:tcW w:type="dxa" w:w="2131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28 working days (~5.5-6 weeks)</w:t>
            </w:r>
          </w:p>
        </w:tc>
      </w:tr>
      <w:tr>
        <w:tc>
          <w:tcPr>
            <w:tcW w:type="dxa" w:w="2131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Approach 2 - Build a dedicated PDF RAG layer</w:t>
            </w:r>
          </w:p>
        </w:tc>
        <w:tc>
          <w:tcPr>
            <w:tcW w:type="dxa" w:w="2131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Existing search/index cannot safely support the new training-document use case or a separate lifecycle/index is required.</w:t>
            </w:r>
          </w:p>
        </w:tc>
        <w:tc>
          <w:tcPr>
            <w:tcW w:type="dxa" w:w="2131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32 working days</w:t>
            </w:r>
          </w:p>
        </w:tc>
        <w:tc>
          <w:tcPr>
            <w:tcW w:type="dxa" w:w="2131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20 working days</w:t>
            </w:r>
          </w:p>
        </w:tc>
        <w:tc>
          <w:tcPr>
            <w:tcW w:type="dxa" w:w="2131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52 working days (~10-11 weeks; plan 10-12 weeks)</w:t>
            </w:r>
          </w:p>
        </w:tc>
      </w:tr>
    </w:tbl>
    <w:p>
      <w:r>
        <w:rPr>
          <w:b/>
        </w:rPr>
        <w:t xml:space="preserve">Planning note: </w:t>
      </w:r>
      <w:r>
        <w:t>These are planning estimates for one primary engineer working sequentially. They assume timely SME access, stable environments and no major platform procurement. Business/SME approval waiting time may extend calendar duration but is not counted as active engineering effort.</w:t>
      </w:r>
    </w:p>
    <w:p>
      <w:pPr>
        <w:pStyle w:val="Heading1"/>
      </w:pPr>
      <w:r>
        <w:t>2. Use Case and Target Behavior</w:t>
      </w:r>
    </w:p>
    <w:p>
      <w:pPr>
        <w:pStyle w:val="ListBullet"/>
        <w:spacing w:after="40"/>
      </w:pPr>
      <w:r>
        <w:t>Training guides are PDF documents, generally one guide per application module, stored and surfaced from the Help page.</w:t>
      </w:r>
    </w:p>
    <w:p>
      <w:pPr>
        <w:pStyle w:val="ListBullet"/>
        <w:spacing w:after="40"/>
      </w:pPr>
      <w:r>
        <w:t>A user may ask a general help question without explicitly naming the PDF or module.</w:t>
      </w:r>
    </w:p>
    <w:p>
      <w:pPr>
        <w:pStyle w:val="ListBullet"/>
        <w:spacing w:after="40"/>
      </w:pPr>
      <w:r>
        <w:t>The agent should identify whether the query belongs to a training-guide/document path or an existing Search Buddy/module path.</w:t>
      </w:r>
    </w:p>
    <w:p>
      <w:pPr>
        <w:pStyle w:val="ListBullet"/>
        <w:spacing w:after="40"/>
      </w:pPr>
      <w:r>
        <w:t>For training-guide questions, the system should retrieve the most relevant document chunks, preserve module/document metadata, and generate a grounded answer with source/page reference where supported.</w:t>
      </w:r>
    </w:p>
    <w:p>
      <w:pPr>
        <w:pStyle w:val="ListBullet"/>
        <w:spacing w:after="40"/>
      </w:pPr>
      <w:r>
        <w:t>New or updated training guides should become searchable through a repeatable ingestion process rather than ad-hoc manual indexing.</w:t>
      </w:r>
    </w:p>
    <w:p>
      <w:r>
        <w:t>The existing Search Buddy testing model already covers query understanding, routing, retrieval, RAG synthesis, session state, ingestion/CDC, security and performance. The PDF feature therefore extends the existing search path rather than requiring a separate QA model.</w:t>
      </w:r>
    </w:p>
    <w:p>
      <w:pPr>
        <w:pStyle w:val="Heading1"/>
      </w:pPr>
      <w:r>
        <w:t>3. Architecture Options</w:t>
      </w:r>
    </w:p>
    <w:p>
      <w:pPr>
        <w:pStyle w:val="Heading2"/>
      </w:pPr>
      <w:r>
        <w:t>3.1 Approach 1 - Reuse Existing Search / Vector Infrastructure</w:t>
      </w:r>
    </w:p>
    <w:p>
      <w:r>
        <w:t>Use the current document/search platform if it already supports chunk storage, embeddings/vector retrieval, metadata filtering, access controls and agent/tool integration. The new feature becomes an additional document corpus or module-specific index/namespace.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tblHeader w:val="true"/>
        </w:trPr>
        <w:tc>
          <w:tcPr>
            <w:tcW w:type="dxa" w:w="152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4F81BD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PDF</w:t>
            </w:r>
          </w:p>
        </w:tc>
        <w:tc>
          <w:tcPr>
            <w:tcW w:type="dxa" w:w="152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4F81BD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Parse</w:t>
            </w:r>
          </w:p>
        </w:tc>
        <w:tc>
          <w:tcPr>
            <w:tcW w:type="dxa" w:w="152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4F81BD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Chunk + Metadata</w:t>
            </w:r>
          </w:p>
        </w:tc>
        <w:tc>
          <w:tcPr>
            <w:tcW w:type="dxa" w:w="152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4F81BD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Embed</w:t>
            </w:r>
          </w:p>
        </w:tc>
        <w:tc>
          <w:tcPr>
            <w:tcW w:type="dxa" w:w="152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4F81BD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Existing Vector/Search Index</w:t>
            </w:r>
          </w:p>
        </w:tc>
        <w:tc>
          <w:tcPr>
            <w:tcW w:type="dxa" w:w="152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4F81BD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Agent Retrieval</w:t>
            </w:r>
          </w:p>
        </w:tc>
        <w:tc>
          <w:tcPr>
            <w:tcW w:type="dxa" w:w="152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4F81BD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Grounded Answer</w:t>
            </w:r>
          </w:p>
        </w:tc>
      </w:tr>
    </w:tbl>
    <w:p>
      <w:r>
        <w:t>Primary implementation work:</w:t>
      </w:r>
    </w:p>
    <w:p>
      <w:pPr>
        <w:pStyle w:val="ListBullet"/>
        <w:spacing w:after="40"/>
      </w:pPr>
      <w:r>
        <w:t>Confirm the existing parser, chunking, embedding, index and security model can support training PDFs.</w:t>
      </w:r>
    </w:p>
    <w:p>
      <w:pPr>
        <w:pStyle w:val="ListBullet"/>
        <w:spacing w:after="40"/>
      </w:pPr>
      <w:r>
        <w:t>Define document metadata such as module, document ID, title, version, page/section and access scope.</w:t>
      </w:r>
    </w:p>
    <w:p>
      <w:pPr>
        <w:pStyle w:val="ListBullet"/>
        <w:spacing w:after="40"/>
      </w:pPr>
      <w:r>
        <w:t>Add or configure the PDF ingestion flow and index the training guides.</w:t>
      </w:r>
    </w:p>
    <w:p>
      <w:pPr>
        <w:pStyle w:val="ListBullet"/>
        <w:spacing w:after="40"/>
      </w:pPr>
      <w:r>
        <w:t>Add agent/router logic so training-guide questions use document retrieval while other questions continue to use existing module/search tools.</w:t>
      </w:r>
    </w:p>
    <w:p>
      <w:pPr>
        <w:pStyle w:val="ListBullet"/>
        <w:spacing w:after="40"/>
      </w:pPr>
      <w:r>
        <w:t>Add prompt/citation behavior, trace instrumentation, Golden test cases and regression gates.</w:t>
      </w:r>
    </w:p>
    <w:p>
      <w:pPr>
        <w:pStyle w:val="Heading2"/>
      </w:pPr>
      <w:r>
        <w:t>3.2 Approach 2 - Build a Dedicated PDF RAG Layer</w:t>
      </w:r>
    </w:p>
    <w:p>
      <w:r>
        <w:t>Build a separate ingestion and retrieval layer when the current search platform cannot be reused, when training documents need an independent lifecycle/security boundary, or when a dedicated vector index and retrieval configuration is required.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rPr>
          <w:tblHeader w:val="true"/>
        </w:trPr>
        <w:tc>
          <w:tcPr>
            <w:tcW w:type="dxa" w:w="133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8064A2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Help-page PDF Store</w:t>
            </w:r>
          </w:p>
        </w:tc>
        <w:tc>
          <w:tcPr>
            <w:tcW w:type="dxa" w:w="133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8064A2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Ingestion Job</w:t>
            </w:r>
          </w:p>
        </w:tc>
        <w:tc>
          <w:tcPr>
            <w:tcW w:type="dxa" w:w="133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8064A2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Parser</w:t>
            </w:r>
          </w:p>
        </w:tc>
        <w:tc>
          <w:tcPr>
            <w:tcW w:type="dxa" w:w="133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8064A2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Chunking</w:t>
            </w:r>
          </w:p>
        </w:tc>
        <w:tc>
          <w:tcPr>
            <w:tcW w:type="dxa" w:w="133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8064A2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Embedding Service</w:t>
            </w:r>
          </w:p>
        </w:tc>
        <w:tc>
          <w:tcPr>
            <w:tcW w:type="dxa" w:w="133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8064A2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New Vector Index</w:t>
            </w:r>
          </w:p>
        </w:tc>
        <w:tc>
          <w:tcPr>
            <w:tcW w:type="dxa" w:w="133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8064A2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Retriever/Reranker</w:t>
            </w:r>
          </w:p>
        </w:tc>
        <w:tc>
          <w:tcPr>
            <w:tcW w:type="dxa" w:w="133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8064A2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Agent + LLM</w:t>
            </w:r>
          </w:p>
        </w:tc>
      </w:tr>
    </w:tbl>
    <w:p>
      <w:r>
        <w:t>Additional build work compared with Approach 1:</w:t>
      </w:r>
    </w:p>
    <w:p>
      <w:pPr>
        <w:pStyle w:val="ListBullet"/>
        <w:spacing w:after="40"/>
      </w:pPr>
      <w:r>
        <w:t>Design the document/index schema, metadata contract, versioning and lifecycle rules.</w:t>
      </w:r>
    </w:p>
    <w:p>
      <w:pPr>
        <w:pStyle w:val="ListBullet"/>
        <w:spacing w:after="40"/>
      </w:pPr>
      <w:r>
        <w:t>Build ingestion orchestration, parser/chunker, embedding generation, upsert/delete/re-index logic and failure handling.</w:t>
      </w:r>
    </w:p>
    <w:p>
      <w:pPr>
        <w:pStyle w:val="ListBullet"/>
        <w:spacing w:after="40"/>
      </w:pPr>
      <w:r>
        <w:t>Create/configure the vector index and, if required, keyword/hybrid retrieval and reranking.</w:t>
      </w:r>
    </w:p>
    <w:p>
      <w:pPr>
        <w:pStyle w:val="ListBullet"/>
        <w:spacing w:after="40"/>
      </w:pPr>
      <w:r>
        <w:t>Implement ACL/tenant filtering, document version precedence and observability from scratch for this path.</w:t>
      </w:r>
    </w:p>
    <w:p>
      <w:pPr>
        <w:pStyle w:val="ListBullet"/>
        <w:spacing w:after="40"/>
      </w:pPr>
      <w:r>
        <w:t>Integrate the new retriever as an agent tool and establish deployment, monitoring and production support.</w:t>
      </w:r>
    </w:p>
    <w:p>
      <w:pPr>
        <w:pStyle w:val="Heading1"/>
      </w:pPr>
      <w:r>
        <w:t>4. Detailed Estimation - Approach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F4E79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F4E79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Scope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F4E79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Effort (days)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F4E79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Type</w:t>
            </w:r>
          </w:p>
        </w:tc>
      </w:tr>
      <w:tr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Discovery &amp; reuse assessment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Validate current search/vector architecture, PDF location, access model, supported metadata and reusable components.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2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Build</w:t>
            </w:r>
          </w:p>
        </w:tc>
      </w:tr>
      <w:tr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Document metadata &amp; onboarding design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Define module/document/version/page/section metadata and indexing convention.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2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Build</w:t>
            </w:r>
          </w:p>
        </w:tc>
      </w:tr>
      <w:tr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PDF parsing &amp; chunking integration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Configure parser/chunker; handle headings, tables and page metadata; connect to existing ingestion path.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3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Build</w:t>
            </w:r>
          </w:p>
        </w:tc>
      </w:tr>
      <w:tr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Embedding &amp; index onboarding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Generate embeddings, load/update existing index/namespace, validate searchability.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2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Build</w:t>
            </w:r>
          </w:p>
        </w:tc>
      </w:tr>
      <w:tr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Agent routing / tool integration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Route training-document questions to document search and preserve existing module/tool behavior.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3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Build</w:t>
            </w:r>
          </w:p>
        </w:tc>
      </w:tr>
      <w:tr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Prompt, grounding &amp; citation behavior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Build/adjust RAG prompt, no-answer behavior and source attribution.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2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Build</w:t>
            </w:r>
          </w:p>
        </w:tc>
      </w:tr>
      <w:tr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MLflow tracing / observability updates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Capture route, tool, retrieved chunks, scores, prompt/model version, latency, errors and token usage.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1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Build</w:t>
            </w:r>
          </w:p>
        </w:tc>
      </w:tr>
      <w:tr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Functional + integration testing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Parser, retrieval, routing, citations, no-result, update/delete and failure cases.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3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Testing</w:t>
            </w:r>
          </w:p>
        </w:tc>
      </w:tr>
      <w:tr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Golden dataset + offline AI evaluation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SME-approved representative questions; correctness, relevance, recall/precision, faithfulness and routing checks.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2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Testing</w:t>
            </w:r>
          </w:p>
        </w:tc>
      </w:tr>
      <w:tr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Regression / UAT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Run critical Goldens, known failures and business-critical help journeys.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2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Testing</w:t>
            </w:r>
          </w:p>
        </w:tc>
      </w:tr>
      <w:tr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Production deployment &amp; smoke validation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Deploy, validate production-like retrieval, traces, security and initial monitoring.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2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Prod</w:t>
            </w:r>
          </w:p>
        </w:tc>
      </w:tr>
      <w:tr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Contingency / buffer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Environment issues, parser variation, retrieval tuning and defect retest.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4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Buffer</w:t>
            </w:r>
          </w:p>
        </w:tc>
      </w:tr>
    </w:tbl>
    <w:p>
      <w:r>
        <w:t>Approach 1 total: 28 working days (~5.5-6 weeks for one person).</w:t>
      </w:r>
    </w:p>
    <w:p>
      <w:pPr>
        <w:pStyle w:val="Heading1"/>
      </w:pPr>
      <w:r>
        <w:t>5. Detailed Estimation - Approach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F4E79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F4E79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Scope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F4E79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Effort (days)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F4E79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Type</w:t>
            </w:r>
          </w:p>
        </w:tc>
      </w:tr>
      <w:tr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Discovery &amp; target architecture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Confirm source location, lifecycle, security, search behavior, non-functional targets and integration boundaries.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4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Build</w:t>
            </w:r>
          </w:p>
        </w:tc>
      </w:tr>
      <w:tr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Schema / metadata / index design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Design document metadata, index schema, version strategy, IDs, filters and source precedence.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4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Build</w:t>
            </w:r>
          </w:p>
        </w:tc>
      </w:tr>
      <w:tr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Ingestion orchestration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Build repeatable load/update/delete pipeline with status, retry, idempotency and failure handling.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4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Build</w:t>
            </w:r>
          </w:p>
        </w:tc>
      </w:tr>
      <w:tr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PDF parser &amp; chunking layer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Extract sections/pages/tables, chunk semantically and retain page/module/version metadata.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4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Build</w:t>
            </w:r>
          </w:p>
        </w:tc>
      </w:tr>
      <w:tr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Embedding pipeline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Embedding model integration, batching, limits, retry and re-embedding logic.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3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Build</w:t>
            </w:r>
          </w:p>
        </w:tc>
      </w:tr>
      <w:tr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Vector index / search layer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Provision/configure index, mappings, filters, hybrid/semantic retrieval and basic tuning.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4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Build</w:t>
            </w:r>
          </w:p>
        </w:tc>
      </w:tr>
      <w:tr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Retriever / reranker &amp; relevance tuning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Top-K, keyword/vector balance, reranking and deduplication.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4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Build</w:t>
            </w:r>
          </w:p>
        </w:tc>
      </w:tr>
      <w:tr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Agent routing / tool integration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Add document-search tool and intent/routing logic; combine with existing module tools where needed.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3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Build</w:t>
            </w:r>
          </w:p>
        </w:tc>
      </w:tr>
      <w:tr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Grounding / prompt / citation behavior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RAG synthesis, source/page citations, no-answer/partial-answer behavior.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2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Build</w:t>
            </w:r>
          </w:p>
        </w:tc>
      </w:tr>
      <w:tr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Security &amp; access filtering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ACL/tenant/module restrictions, sensitive-data handling and prompt-injection controls for document retrieval.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2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Build</w:t>
            </w:r>
          </w:p>
        </w:tc>
      </w:tr>
      <w:tr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MLflow tracing / observability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Trace ingestion/search/generation path; latency, errors, retries, tokens, model/index versions.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2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Build</w:t>
            </w:r>
          </w:p>
        </w:tc>
      </w:tr>
      <w:tr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Functional &amp; component testing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Parser, chunking, embeddings, index, filters, retrieval and agent tool tests.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4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Testing</w:t>
            </w:r>
          </w:p>
        </w:tc>
      </w:tr>
      <w:tr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Integration / SIT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End-to-end PDF ingestion -&gt; retrieval -&gt; answer; update/delete, failure and recovery scenarios.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3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Testing</w:t>
            </w:r>
          </w:p>
        </w:tc>
      </w:tr>
      <w:tr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Golden dataset &amp; AI evaluation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Build SME-approved Goldens and validate retrieval + response quality KPIs.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2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Testing</w:t>
            </w:r>
          </w:p>
        </w:tc>
      </w:tr>
      <w:tr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Regression / UAT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Critical scenario suite, existing-search regression and business validation.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1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Testing</w:t>
            </w:r>
          </w:p>
        </w:tc>
      </w:tr>
      <w:tr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Production deployment &amp; validation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Deployment, smoke tests, initial quality/latency/security checks and monitoring.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3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Prod</w:t>
            </w:r>
          </w:p>
        </w:tc>
      </w:tr>
      <w:tr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Contingency / buffer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Provisioning, integration defects, PDF variability, tuning, retest and production readiness.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7</w:t>
            </w:r>
          </w:p>
        </w:tc>
        <w:tc>
          <w:tcPr>
            <w:tcW w:type="dxa" w:w="26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5"/>
              </w:rPr>
              <w:t>Buffer</w:t>
            </w:r>
          </w:p>
        </w:tc>
      </w:tr>
    </w:tbl>
    <w:p>
      <w:r>
        <w:t>Approach 2 total: 52 working days (~10-11 weeks for one person). For planning, use a 10-12 week calendar range.</w:t>
      </w:r>
    </w:p>
    <w:p>
      <w:pPr>
        <w:pStyle w:val="Heading1"/>
      </w:pPr>
      <w:r>
        <w:t>6. Effort Breakdown by Delivery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77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F4E79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Approach</w:t>
            </w:r>
          </w:p>
        </w:tc>
        <w:tc>
          <w:tcPr>
            <w:tcW w:type="dxa" w:w="177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F4E79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Build / Configuration</w:t>
            </w:r>
          </w:p>
        </w:tc>
        <w:tc>
          <w:tcPr>
            <w:tcW w:type="dxa" w:w="177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F4E79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Testing &amp; UAT</w:t>
            </w:r>
          </w:p>
        </w:tc>
        <w:tc>
          <w:tcPr>
            <w:tcW w:type="dxa" w:w="177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F4E79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Production Validation</w:t>
            </w:r>
          </w:p>
        </w:tc>
        <w:tc>
          <w:tcPr>
            <w:tcW w:type="dxa" w:w="177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F4E79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Buffer</w:t>
            </w:r>
          </w:p>
        </w:tc>
        <w:tc>
          <w:tcPr>
            <w:tcW w:type="dxa" w:w="177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F4E79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Total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1 - Reuse existing platform</w:t>
            </w:r>
          </w:p>
        </w:tc>
        <w:tc>
          <w:tcPr>
            <w:tcW w:type="dxa" w:w="177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15 days</w:t>
            </w:r>
          </w:p>
        </w:tc>
        <w:tc>
          <w:tcPr>
            <w:tcW w:type="dxa" w:w="177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7 days</w:t>
            </w:r>
          </w:p>
        </w:tc>
        <w:tc>
          <w:tcPr>
            <w:tcW w:type="dxa" w:w="177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2 days</w:t>
            </w:r>
          </w:p>
        </w:tc>
        <w:tc>
          <w:tcPr>
            <w:tcW w:type="dxa" w:w="177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4 days</w:t>
            </w:r>
          </w:p>
        </w:tc>
        <w:tc>
          <w:tcPr>
            <w:tcW w:type="dxa" w:w="177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28 days</w:t>
            </w:r>
          </w:p>
        </w:tc>
      </w:tr>
      <w:tr>
        <w:tc>
          <w:tcPr>
            <w:tcW w:type="dxa" w:w="177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2 - Dedicated PDF RAG layer</w:t>
            </w:r>
          </w:p>
        </w:tc>
        <w:tc>
          <w:tcPr>
            <w:tcW w:type="dxa" w:w="177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32 days</w:t>
            </w:r>
          </w:p>
        </w:tc>
        <w:tc>
          <w:tcPr>
            <w:tcW w:type="dxa" w:w="177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10 days</w:t>
            </w:r>
          </w:p>
        </w:tc>
        <w:tc>
          <w:tcPr>
            <w:tcW w:type="dxa" w:w="177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3 days</w:t>
            </w:r>
          </w:p>
        </w:tc>
        <w:tc>
          <w:tcPr>
            <w:tcW w:type="dxa" w:w="177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7 days</w:t>
            </w:r>
          </w:p>
        </w:tc>
        <w:tc>
          <w:tcPr>
            <w:tcW w:type="dxa" w:w="177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52 days</w:t>
            </w:r>
          </w:p>
        </w:tc>
      </w:tr>
    </w:tbl>
    <w:p>
      <w:pPr>
        <w:pStyle w:val="Heading1"/>
      </w:pPr>
      <w:r>
        <w:t>7. Testing Scope Included in the Estimate</w:t>
      </w:r>
    </w:p>
    <w:p>
      <w:pPr>
        <w:pStyle w:val="ListBullet"/>
        <w:spacing w:after="40"/>
      </w:pPr>
      <w:r>
        <w:t>Document ingestion: valid/corrupt PDFs, duplicate documents, metadata completeness, update/delete and index visibility.</w:t>
      </w:r>
    </w:p>
    <w:p>
      <w:pPr>
        <w:pStyle w:val="ListBullet"/>
        <w:spacing w:after="40"/>
      </w:pPr>
      <w:r>
        <w:t>Chunking quality: section boundaries, multi-page tables, page/header retention and retrievability of answer-bearing content.</w:t>
      </w:r>
    </w:p>
    <w:p>
      <w:pPr>
        <w:pStyle w:val="ListBullet"/>
        <w:spacing w:after="40"/>
      </w:pPr>
      <w:r>
        <w:t>Retrieval quality: Precision@K, Recall@K / required-evidence coverage, Hit Rate, ranking/reranking and filtering.</w:t>
      </w:r>
    </w:p>
    <w:p>
      <w:pPr>
        <w:pStyle w:val="ListBullet"/>
        <w:spacing w:after="40"/>
      </w:pPr>
      <w:r>
        <w:t>Agent behavior: intent detection, correct document-search tool selection, fallback/no-answer behavior and existing-path regression.</w:t>
      </w:r>
    </w:p>
    <w:p>
      <w:pPr>
        <w:pStyle w:val="ListBullet"/>
        <w:spacing w:after="40"/>
      </w:pPr>
      <w:r>
        <w:t>RAG response quality: factual correctness, answer relevancy, faithfulness/groundedness, completeness and citation accuracy.</w:t>
      </w:r>
    </w:p>
    <w:p>
      <w:pPr>
        <w:pStyle w:val="ListBullet"/>
        <w:spacing w:after="40"/>
      </w:pPr>
      <w:r>
        <w:t>Security: ACL/tenant restrictions, sensitive-data masking and prompt-injection/adversarial document scenarios.</w:t>
      </w:r>
    </w:p>
    <w:p>
      <w:pPr>
        <w:pStyle w:val="ListBullet"/>
        <w:spacing w:after="40"/>
      </w:pPr>
      <w:r>
        <w:t>Non-functional: baseline latency, peak concurrency where environment permits, errors/retries, token usage/cost and observability.</w:t>
      </w:r>
    </w:p>
    <w:p>
      <w:pPr>
        <w:pStyle w:val="ListBullet"/>
        <w:spacing w:after="40"/>
      </w:pPr>
      <w:r>
        <w:t>Release regression: critical Golden cases plus representative high/medium cases after prompt/model/embedding/index/parser changes.</w:t>
      </w:r>
    </w:p>
    <w:p>
      <w:r>
        <w:t>The existing strategy calls for component testing, offline AI evaluation, integration/SIT, UAT/business validation, regression/CI and production monitoring; those stages are included in the estimates above.</w:t>
      </w:r>
    </w:p>
    <w:p>
      <w:pPr>
        <w:pStyle w:val="Heading1"/>
      </w:pPr>
      <w:r>
        <w:t>8. Assumptions and Dependencies</w:t>
      </w:r>
    </w:p>
    <w:p>
      <w:pPr>
        <w:pStyle w:val="ListBullet"/>
        <w:spacing w:after="40"/>
      </w:pPr>
      <w:r>
        <w:t>One primary engineer is assigned full-time; SME/Product/QA reviewers are available when needed.</w:t>
      </w:r>
    </w:p>
    <w:p>
      <w:pPr>
        <w:pStyle w:val="ListBullet"/>
        <w:spacing w:after="40"/>
      </w:pPr>
      <w:r>
        <w:t>PDF guides are approximately 8-10 pages on average and are mostly machine-readable; heavy scanned/OCR content may add effort.</w:t>
      </w:r>
    </w:p>
    <w:p>
      <w:pPr>
        <w:pStyle w:val="ListBullet"/>
        <w:spacing w:after="40"/>
      </w:pPr>
      <w:r>
        <w:t>Existing agent/LLM integration and authentication are already available.</w:t>
      </w:r>
    </w:p>
    <w:p>
      <w:pPr>
        <w:pStyle w:val="ListBullet"/>
        <w:spacing w:after="40"/>
      </w:pPr>
      <w:r>
        <w:t>Approach 1 assumes the current vector/search service supports a new corpus/namespace and required metadata/ACL filtering without major platform changes.</w:t>
      </w:r>
    </w:p>
    <w:p>
      <w:pPr>
        <w:pStyle w:val="ListBullet"/>
        <w:spacing w:after="40"/>
      </w:pPr>
      <w:r>
        <w:t>Approach 2 assumes cloud/network/security approvals do not introduce long procurement lead times.</w:t>
      </w:r>
    </w:p>
    <w:p>
      <w:pPr>
        <w:pStyle w:val="ListBullet"/>
        <w:spacing w:after="40"/>
      </w:pPr>
      <w:r>
        <w:t>The estimate includes implementation, testing, defect retest, production smoke validation and contingency; it does not include authoring the business training documents themselves.</w:t>
      </w:r>
    </w:p>
    <w:p>
      <w:pPr>
        <w:pStyle w:val="ListBullet"/>
        <w:spacing w:after="40"/>
      </w:pPr>
      <w:r>
        <w:t>Performance/load testing depth depends on access to a production-like environment and agreed QPS/concurrency targets.</w:t>
      </w:r>
    </w:p>
    <w:p>
      <w:pPr>
        <w:pStyle w:val="Heading1"/>
      </w:pPr>
      <w:r>
        <w:t>9. Decision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F4E79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355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F4E79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If YES</w:t>
            </w:r>
          </w:p>
        </w:tc>
        <w:tc>
          <w:tcPr>
            <w:tcW w:type="dxa" w:w="355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F4E79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If NO</w:t>
            </w:r>
          </w:p>
        </w:tc>
      </w:tr>
      <w:tr>
        <w:tc>
          <w:tcPr>
            <w:tcW w:type="dxa" w:w="355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Can the existing vector/search index store training-guide chunks with module/version/page metadata and required security filters?</w:t>
            </w:r>
          </w:p>
        </w:tc>
        <w:tc>
          <w:tcPr>
            <w:tcW w:type="dxa" w:w="355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Prefer Approach 1</w:t>
            </w:r>
          </w:p>
        </w:tc>
        <w:tc>
          <w:tcPr>
            <w:tcW w:type="dxa" w:w="355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Move toward Approach 2</w:t>
            </w:r>
          </w:p>
        </w:tc>
      </w:tr>
      <w:tr>
        <w:tc>
          <w:tcPr>
            <w:tcW w:type="dxa" w:w="355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Can the current ingestion path parse/chunk/embed new PDFs automatically on add/update/delete?</w:t>
            </w:r>
          </w:p>
        </w:tc>
        <w:tc>
          <w:tcPr>
            <w:tcW w:type="dxa" w:w="355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Approach 1 remains viable</w:t>
            </w:r>
          </w:p>
        </w:tc>
        <w:tc>
          <w:tcPr>
            <w:tcW w:type="dxa" w:w="355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Build missing pipeline components; likely Approach 2</w:t>
            </w:r>
          </w:p>
        </w:tc>
      </w:tr>
      <w:tr>
        <w:tc>
          <w:tcPr>
            <w:tcW w:type="dxa" w:w="355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Can the agent already call the existing search layer as a tool and distinguish document-help intent from other module intents?</w:t>
            </w:r>
          </w:p>
        </w:tc>
        <w:tc>
          <w:tcPr>
            <w:tcW w:type="dxa" w:w="355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Small routing/configuration change</w:t>
            </w:r>
          </w:p>
        </w:tc>
        <w:tc>
          <w:tcPr>
            <w:tcW w:type="dxa" w:w="355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Additional agent/tool integration required</w:t>
            </w:r>
          </w:p>
        </w:tc>
      </w:tr>
      <w:tr>
        <w:tc>
          <w:tcPr>
            <w:tcW w:type="dxa" w:w="355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Do training guides need an independent lifecycle, access boundary, index tuning, or operational ownership?</w:t>
            </w:r>
          </w:p>
        </w:tc>
        <w:tc>
          <w:tcPr>
            <w:tcW w:type="dxa" w:w="355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Approach 2 may be safer</w:t>
            </w:r>
          </w:p>
        </w:tc>
        <w:tc>
          <w:tcPr>
            <w:tcW w:type="dxa" w:w="355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6"/>
              </w:rPr>
              <w:t>Approach 1 is usually simpler</w:t>
            </w:r>
          </w:p>
        </w:tc>
      </w:tr>
    </w:tbl>
    <w:p>
      <w:pPr>
        <w:pStyle w:val="Heading1"/>
      </w:pPr>
      <w:r>
        <w:t>10. Recommended Next Step</w:t>
      </w:r>
    </w:p>
    <w:p>
      <w:r>
        <w:t>Run a short 2-day technical discovery first. Validate whether the existing vector/search platform can support the PDF corpus, metadata, ACL filters, update/delete lifecycle, agent tool call and tracing requirements. If the answer is yes, proceed with Approach 1 and plan approximately 6 weeks. If one or more foundational capabilities are missing or require architectural changes, use Approach 2 and plan 10-12 weeks.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87878"/>
        <w:sz w:val="16"/>
      </w:rPr>
      <w:t>Search Buddy - PDF Training Guide Q&amp;A Estimation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