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word-&gt;token_id-&gt;{token_id : tokenizer}</w:t>
      </w:r>
    </w:p>
    <w:p w:rsidR="00000000" w:rsidDel="00000000" w:rsidP="00000000" w:rsidRDefault="00000000" w:rsidRPr="00000000" w14:paraId="00000002">
      <w:pPr>
        <w:shd w:fill="f7f7f7" w:val="clear"/>
        <w:rPr>
          <w:rFonts w:ascii="Courier New" w:cs="Courier New" w:eastAsia="Courier New" w:hAnsi="Courier New"/>
          <w:color w:val="9769d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60" w:before="60" w:line="342" w:lineRule="auto"/>
        <w:ind w:left="60" w:firstLine="0"/>
        <w:rPr>
          <w:rFonts w:ascii="Courier New" w:cs="Courier New" w:eastAsia="Courier New" w:hAnsi="Courier New"/>
          <w:color w:val="5555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20"/>
          <w:szCs w:val="20"/>
          <w:rtl w:val="0"/>
        </w:rPr>
        <w:t xml:space="preserve">[{'input_ids': [1, 774, 3133, 2], 'attention_mask': [1, 1, 1, 1]},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