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AI401 – INTELLIGENT MULTI-AGENT AND EXPERT SYSTEMS</w:t>
      </w:r>
    </w:p>
    <w:p>
      <w:pPr>
        <w:jc w:val="center"/>
      </w:pPr>
      <w:r>
        <w:rPr>
          <w:b/>
          <w:sz w:val="32"/>
        </w:rPr>
        <w:t>LABORATORY – 3</w:t>
      </w:r>
    </w:p>
    <w:p>
      <w:pPr>
        <w:jc w:val="center"/>
      </w:pPr>
      <w:r>
        <w:rPr>
          <w:b/>
          <w:sz w:val="28"/>
        </w:rPr>
        <w:t>Agent Architectures – BDI Deliberation Cycle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Times New Roman" w:hAnsi="Times New Roman"/>
                <w:sz w:val="21"/>
              </w:rPr>
              <w:t>Roll Number</w:t>
            </w:r>
          </w:p>
        </w:tc>
        <w:tc>
          <w:tcPr>
            <w:tcW w:type="dxa" w:w="5040"/>
            <w:vAlign w:val="center"/>
          </w:tcPr>
          <w:p>
            <w:pPr>
              <w:spacing w:after="0"/>
            </w:pPr>
            <w:r>
              <w:rPr>
                <w:rFonts w:ascii="Times New Roman" w:hAnsi="Times New Roman"/>
                <w:sz w:val="21"/>
              </w:rPr>
              <w:t>U23AI114</w:t>
            </w:r>
          </w:p>
        </w:tc>
      </w:tr>
      <w:tr>
        <w:tc>
          <w:tcPr>
            <w:tcW w:type="dxa" w:w="5040"/>
            <w:vAlign w:val="center"/>
          </w:tcPr>
          <w:p>
            <w:pPr>
              <w:spacing w:after="0"/>
            </w:pPr>
            <w:r>
              <w:rPr>
                <w:rFonts w:ascii="Times New Roman" w:hAnsi="Times New Roman"/>
                <w:sz w:val="21"/>
              </w:rPr>
              <w:t>Experiment</w:t>
            </w:r>
          </w:p>
        </w:tc>
        <w:tc>
          <w:tcPr>
            <w:tcW w:type="dxa" w:w="5040"/>
            <w:vAlign w:val="center"/>
          </w:tcPr>
          <w:p>
            <w:pPr>
              <w:spacing w:after="0"/>
            </w:pPr>
            <w:r>
              <w:rPr>
                <w:rFonts w:ascii="Times New Roman" w:hAnsi="Times New Roman"/>
                <w:sz w:val="21"/>
              </w:rPr>
              <w:t>3 – Agent Architectures: BDI Deliberation Cycle</w:t>
            </w:r>
          </w:p>
        </w:tc>
      </w:tr>
      <w:tr>
        <w:tc>
          <w:tcPr>
            <w:tcW w:type="dxa" w:w="5040"/>
            <w:vAlign w:val="center"/>
          </w:tcPr>
          <w:p>
            <w:pPr>
              <w:spacing w:after="0"/>
            </w:pPr>
            <w:r>
              <w:rPr>
                <w:rFonts w:ascii="Times New Roman" w:hAnsi="Times New Roman"/>
                <w:sz w:val="21"/>
              </w:rPr>
              <w:t>Environment</w:t>
            </w:r>
          </w:p>
        </w:tc>
        <w:tc>
          <w:tcPr>
            <w:tcW w:type="dxa" w:w="5040"/>
            <w:vAlign w:val="center"/>
          </w:tcPr>
          <w:p>
            <w:pPr>
              <w:spacing w:after="0"/>
            </w:pPr>
            <w:r>
              <w:rPr>
                <w:rFonts w:ascii="Times New Roman" w:hAnsi="Times New Roman"/>
                <w:sz w:val="21"/>
              </w:rPr>
              <w:t>Tileworld / Resource-Bounded Tileworld</w:t>
            </w:r>
          </w:p>
        </w:tc>
      </w:tr>
    </w:tbl>
    <w:p/>
    <w:p>
      <w:r>
        <w:rPr>
          <w:rFonts w:ascii="Times New Roman" w:hAnsi="Times New Roman"/>
          <w:b/>
          <w:sz w:val="26"/>
        </w:rPr>
        <w:t>1. Objective</w:t>
      </w:r>
    </w:p>
    <w:p>
      <w:r>
        <w:t>To implement and study the Belief–Desire–Intention (BDI) agent architecture in a dynamic Tileworld environment. The experiment demonstrates belief revision, option generation, intention filtering, planning, execution, achievement, intention reconsideration, and the effect of the reconsideration parameter γ. A resource-bounded version is also evaluated using a battery constraint.</w:t>
      </w:r>
    </w:p>
    <w:p>
      <w:r>
        <w:rPr>
          <w:rFonts w:ascii="Times New Roman" w:hAnsi="Times New Roman"/>
          <w:b/>
          <w:sz w:val="26"/>
        </w:rPr>
        <w:t>2. BDI Architecture</w:t>
      </w:r>
    </w:p>
    <w:p>
      <w:r>
        <w:t>The BDI architecture models an intelligent agent using three central mental states: Beliefs, Desires and Intentions.</w:t>
      </w:r>
    </w:p>
    <w:p>
      <w:pPr>
        <w:pStyle w:val="ListBullet"/>
        <w:spacing w:after="40"/>
      </w:pPr>
      <w:r>
        <w:t>Beliefs: the agent's current information about the environment. In this experiment, beliefs are the holes currently perceived in the Tileworld.</w:t>
      </w:r>
    </w:p>
    <w:p>
      <w:pPr>
        <w:pStyle w:val="ListBullet"/>
        <w:spacing w:after="40"/>
      </w:pPr>
      <w:r>
        <w:t>Desires / Options: possible goals generated from the current beliefs, such as filling an observed hole.</w:t>
      </w:r>
    </w:p>
    <w:p>
      <w:pPr>
        <w:pStyle w:val="ListBullet"/>
        <w:spacing w:after="40"/>
      </w:pPr>
      <w:r>
        <w:t>Filter: selects an appropriate desire and turns it into the agent's current intention.</w:t>
      </w:r>
    </w:p>
    <w:p>
      <w:pPr>
        <w:pStyle w:val="ListBullet"/>
        <w:spacing w:after="40"/>
      </w:pPr>
      <w:r>
        <w:t>Intention: the goal to which the agent commits.</w:t>
      </w:r>
    </w:p>
    <w:p>
      <w:pPr>
        <w:pStyle w:val="ListBullet"/>
        <w:spacing w:after="40"/>
      </w:pPr>
      <w:r>
        <w:t>Plan: a sequence of actions used to achieve the selected intention.</w:t>
      </w:r>
    </w:p>
    <w:p>
      <w:pPr>
        <w:pStyle w:val="ListBullet"/>
        <w:spacing w:after="40"/>
      </w:pPr>
      <w:r>
        <w:t>Reconsideration: after γ actions, the agent checks whether its current intention is still achievable and may keep, drop, or switch the intention.</w:t>
      </w:r>
    </w:p>
    <w:p>
      <w:pPr>
        <w:jc w:val="center"/>
      </w:pPr>
      <w:r>
        <w:rPr>
          <w:b/>
        </w:rPr>
        <w:t>BDI Cycle:  Belief Revision → Options → Filter → Intention → Plan → Execute → Reconsider</w:t>
      </w:r>
    </w:p>
    <w:p>
      <w:r>
        <w:rPr>
          <w:rFonts w:ascii="Times New Roman" w:hAnsi="Times New Roman"/>
          <w:b/>
          <w:sz w:val="26"/>
        </w:rPr>
        <w:t>3. Implementation / Working</w:t>
      </w:r>
    </w:p>
    <w:p>
      <w:r>
        <w:t>The Tileworld contains holes that appear and disappear over time. The agent starts at position (0,0) and uses Manhattan distance to select and reach holes. The main BDI cycle is implemented as follows:</w:t>
      </w:r>
    </w:p>
    <w:p>
      <w:pPr>
        <w:pStyle w:val="ListBullet"/>
        <w:spacing w:after="40"/>
      </w:pPr>
      <w:r>
        <w:t>Belief Revision Function (BRF): obtains the set of currently existing holes.</w:t>
      </w:r>
    </w:p>
    <w:p>
      <w:pPr>
        <w:pStyle w:val="ListBullet"/>
        <w:spacing w:after="40"/>
      </w:pPr>
      <w:r>
        <w:t>Options: treats each currently visible hole as a possible desire.</w:t>
      </w:r>
    </w:p>
    <w:p>
      <w:pPr>
        <w:pStyle w:val="ListBullet"/>
        <w:spacing w:after="40"/>
      </w:pPr>
      <w:r>
        <w:t>Filter: for a single-minded agent, retains the current intention while it remains achievable; otherwise it selects a nearby available hole.</w:t>
      </w:r>
    </w:p>
    <w:p>
      <w:pPr>
        <w:pStyle w:val="ListBullet"/>
        <w:spacing w:after="40"/>
      </w:pPr>
      <w:r>
        <w:t>Plan: generates a shortest Manhattan path from the current position to the intended hole.</w:t>
      </w:r>
    </w:p>
    <w:p>
      <w:pPr>
        <w:pStyle w:val="ListBullet"/>
        <w:spacing w:after="40"/>
      </w:pPr>
      <w:r>
        <w:t>Execute: moves the agent one step along the plan and advances the dynamic world.</w:t>
      </w:r>
    </w:p>
    <w:p>
      <w:pPr>
        <w:pStyle w:val="ListBullet"/>
        <w:spacing w:after="40"/>
      </w:pPr>
      <w:r>
        <w:t>Achieve: when the agent reaches an existing intended hole, the hole is filled.</w:t>
      </w:r>
    </w:p>
    <w:p>
      <w:pPr>
        <w:pStyle w:val="ListBullet"/>
        <w:spacing w:after="40"/>
      </w:pPr>
      <w:r>
        <w:t>Drop: an intention is abandoned if the target disappears or becomes unachievable.</w:t>
      </w:r>
    </w:p>
    <w:p>
      <w:pPr>
        <w:pStyle w:val="ListBullet"/>
        <w:spacing w:after="40"/>
      </w:pPr>
      <w:r>
        <w:t>Switch: during reconsideration, an open-minded agent can replace its current intention with a better available option.</w:t>
      </w:r>
    </w:p>
    <w:p>
      <w:r>
        <w:rPr>
          <w:rFonts w:ascii="Times New Roman" w:hAnsi="Times New Roman"/>
          <w:b/>
          <w:sz w:val="26"/>
        </w:rPr>
        <w:t>4. Demonstration Results</w:t>
      </w:r>
    </w:p>
    <w:p>
      <w:r>
        <w:t>The deterministic demonstration produced successful BDI behaviour and showed commitment and achievement events. A separate deterministic open-minded case demonstrated an intention switch.</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0"/>
            </w:pPr>
            <w:r>
              <w:rPr>
                <w:rFonts w:ascii="Times New Roman" w:hAnsi="Times New Roman"/>
                <w:b/>
                <w:sz w:val="21"/>
              </w:rPr>
              <w:t>Measure</w:t>
            </w:r>
          </w:p>
        </w:tc>
        <w:tc>
          <w:tcPr>
            <w:tcW w:type="dxa" w:w="5040"/>
            <w:shd w:fill="D9EAF7"/>
            <w:vAlign w:val="center"/>
          </w:tcPr>
          <w:p>
            <w:pPr>
              <w:spacing w:after="0"/>
            </w:pPr>
            <w:r>
              <w:rPr>
                <w:rFonts w:ascii="Times New Roman" w:hAnsi="Times New Roman"/>
                <w:b/>
                <w:sz w:val="21"/>
              </w:rPr>
              <w:t>Result</w:t>
            </w:r>
          </w:p>
        </w:tc>
      </w:tr>
      <w:tr>
        <w:tc>
          <w:tcPr>
            <w:tcW w:type="dxa" w:w="5040"/>
            <w:vAlign w:val="center"/>
          </w:tcPr>
          <w:p>
            <w:pPr>
              <w:spacing w:after="0"/>
            </w:pPr>
            <w:r>
              <w:rPr>
                <w:rFonts w:ascii="Times New Roman" w:hAnsi="Times New Roman"/>
                <w:sz w:val="21"/>
              </w:rPr>
              <w:t>Holes appeared</w:t>
            </w:r>
          </w:p>
        </w:tc>
        <w:tc>
          <w:tcPr>
            <w:tcW w:type="dxa" w:w="5040"/>
            <w:vAlign w:val="center"/>
          </w:tcPr>
          <w:p>
            <w:pPr>
              <w:spacing w:after="0"/>
            </w:pPr>
            <w:r>
              <w:rPr>
                <w:rFonts w:ascii="Times New Roman" w:hAnsi="Times New Roman"/>
                <w:sz w:val="21"/>
              </w:rPr>
              <w:t>4</w:t>
            </w:r>
          </w:p>
        </w:tc>
      </w:tr>
      <w:tr>
        <w:tc>
          <w:tcPr>
            <w:tcW w:type="dxa" w:w="5040"/>
            <w:vAlign w:val="center"/>
          </w:tcPr>
          <w:p>
            <w:pPr>
              <w:spacing w:after="0"/>
            </w:pPr>
            <w:r>
              <w:rPr>
                <w:rFonts w:ascii="Times New Roman" w:hAnsi="Times New Roman"/>
                <w:sz w:val="21"/>
              </w:rPr>
              <w:t>Holes filled</w:t>
            </w:r>
          </w:p>
        </w:tc>
        <w:tc>
          <w:tcPr>
            <w:tcW w:type="dxa" w:w="5040"/>
            <w:vAlign w:val="center"/>
          </w:tcPr>
          <w:p>
            <w:pPr>
              <w:spacing w:after="0"/>
            </w:pPr>
            <w:r>
              <w:rPr>
                <w:rFonts w:ascii="Times New Roman" w:hAnsi="Times New Roman"/>
                <w:sz w:val="21"/>
              </w:rPr>
              <w:t>3</w:t>
            </w:r>
          </w:p>
        </w:tc>
      </w:tr>
      <w:tr>
        <w:tc>
          <w:tcPr>
            <w:tcW w:type="dxa" w:w="5040"/>
            <w:vAlign w:val="center"/>
          </w:tcPr>
          <w:p>
            <w:pPr>
              <w:spacing w:after="0"/>
            </w:pPr>
            <w:r>
              <w:rPr>
                <w:rFonts w:ascii="Times New Roman" w:hAnsi="Times New Roman"/>
                <w:sz w:val="21"/>
              </w:rPr>
              <w:t>Effectiveness</w:t>
            </w:r>
          </w:p>
        </w:tc>
        <w:tc>
          <w:tcPr>
            <w:tcW w:type="dxa" w:w="5040"/>
            <w:vAlign w:val="center"/>
          </w:tcPr>
          <w:p>
            <w:pPr>
              <w:spacing w:after="0"/>
            </w:pPr>
            <w:r>
              <w:rPr>
                <w:rFonts w:ascii="Times New Roman" w:hAnsi="Times New Roman"/>
                <w:sz w:val="21"/>
              </w:rPr>
              <w:t>0.7500</w:t>
            </w:r>
          </w:p>
        </w:tc>
      </w:tr>
      <w:tr>
        <w:tc>
          <w:tcPr>
            <w:tcW w:type="dxa" w:w="5040"/>
            <w:vAlign w:val="center"/>
          </w:tcPr>
          <w:p>
            <w:pPr>
              <w:spacing w:after="0"/>
            </w:pPr>
            <w:r>
              <w:rPr>
                <w:rFonts w:ascii="Times New Roman" w:hAnsi="Times New Roman"/>
                <w:sz w:val="21"/>
              </w:rPr>
              <w:t>Deliberations</w:t>
            </w:r>
          </w:p>
        </w:tc>
        <w:tc>
          <w:tcPr>
            <w:tcW w:type="dxa" w:w="5040"/>
            <w:vAlign w:val="center"/>
          </w:tcPr>
          <w:p>
            <w:pPr>
              <w:spacing w:after="0"/>
            </w:pPr>
            <w:r>
              <w:rPr>
                <w:rFonts w:ascii="Times New Roman" w:hAnsi="Times New Roman"/>
                <w:sz w:val="21"/>
              </w:rPr>
              <w:t>66</w:t>
            </w:r>
          </w:p>
        </w:tc>
      </w:tr>
      <w:tr>
        <w:tc>
          <w:tcPr>
            <w:tcW w:type="dxa" w:w="5040"/>
            <w:vAlign w:val="center"/>
          </w:tcPr>
          <w:p>
            <w:pPr>
              <w:spacing w:after="0"/>
            </w:pPr>
            <w:r>
              <w:rPr>
                <w:rFonts w:ascii="Times New Roman" w:hAnsi="Times New Roman"/>
                <w:sz w:val="21"/>
              </w:rPr>
              <w:t>Observed BDI events</w:t>
            </w:r>
          </w:p>
        </w:tc>
        <w:tc>
          <w:tcPr>
            <w:tcW w:type="dxa" w:w="5040"/>
            <w:vAlign w:val="center"/>
          </w:tcPr>
          <w:p>
            <w:pPr>
              <w:spacing w:after="0"/>
            </w:pPr>
            <w:r>
              <w:rPr>
                <w:rFonts w:ascii="Times New Roman" w:hAnsi="Times New Roman"/>
                <w:sz w:val="21"/>
              </w:rPr>
              <w:t>COMMIT, ACHIEVE, SWITCH</w:t>
            </w:r>
          </w:p>
        </w:tc>
      </w:tr>
    </w:tbl>
    <w:p>
      <w:r>
        <w:t>Effectiveness is calculated as: holes filled / holes appeared. For the demonstration, effectiveness = 3 / 4 = 0.7500.</w:t>
      </w:r>
    </w:p>
    <w:p>
      <w:r>
        <w:rPr>
          <w:rFonts w:ascii="Times New Roman" w:hAnsi="Times New Roman"/>
          <w:b/>
          <w:sz w:val="26"/>
        </w:rPr>
        <w:t>5. Event Trace (Representative Output)</w:t>
      </w:r>
    </w:p>
    <w:p>
      <w:r>
        <w:rPr>
          <w:rFonts w:ascii="Courier New" w:hAnsi="Courier New"/>
          <w:sz w:val="18"/>
        </w:rPr>
        <w:t>[agent step 001] COMMIT -&gt; Pos(r=0, c=4)</w:t>
        <w:br/>
      </w:r>
      <w:r>
        <w:rPr>
          <w:rFonts w:ascii="Courier New" w:hAnsi="Courier New"/>
          <w:sz w:val="18"/>
        </w:rPr>
        <w:t>[agent step 004] ACHIEVE -&gt; filled Pos(r=0, c=4)</w:t>
        <w:br/>
      </w:r>
      <w:r>
        <w:rPr>
          <w:rFonts w:ascii="Courier New" w:hAnsi="Courier New"/>
          <w:sz w:val="18"/>
        </w:rPr>
        <w:t>[agent step 005] COMMIT -&gt; Pos(r=7, c=6)</w:t>
        <w:br/>
      </w:r>
      <w:r>
        <w:rPr>
          <w:rFonts w:ascii="Courier New" w:hAnsi="Courier New"/>
          <w:sz w:val="18"/>
        </w:rPr>
        <w:t>[agent step 013] ACHIEVE -&gt; filled Pos(r=7, c=6)</w:t>
        <w:br/>
      </w:r>
      <w:r>
        <w:rPr>
          <w:rFonts w:ascii="Courier New" w:hAnsi="Courier New"/>
          <w:sz w:val="18"/>
        </w:rPr>
        <w:t>[agent step 014] COMMIT -&gt; Pos(r=5, c=8)</w:t>
        <w:br/>
      </w:r>
      <w:r>
        <w:rPr>
          <w:rFonts w:ascii="Courier New" w:hAnsi="Courier New"/>
          <w:sz w:val="18"/>
        </w:rPr>
        <w:t>[agent step 017] ACHIEVE -&gt; filled Pos(r=5, c=8)</w:t>
        <w:br/>
      </w:r>
      <w:r>
        <w:rPr>
          <w:rFonts w:ascii="Courier New" w:hAnsi="Courier New"/>
          <w:sz w:val="18"/>
        </w:rPr>
        <w:t>[agent step 001] SWITCH -&gt; Pos(r=10, c=10) to Pos(r=1, c=1)</w:t>
        <w:br/>
      </w:r>
    </w:p>
    <w:p>
      <w:r>
        <w:t>The trace shows that the agent commits to a target, moves toward it, achieves the target when it is reached, and can switch to a better intention when reconsideration is performed.</w:t>
      </w:r>
    </w:p>
    <w:p>
      <w:r>
        <w:rPr>
          <w:rFonts w:ascii="Times New Roman" w:hAnsi="Times New Roman"/>
          <w:b/>
          <w:sz w:val="26"/>
        </w:rPr>
        <w:t>6. Exercise 1 – Effect of γ and World Speed</w:t>
      </w:r>
    </w:p>
    <w:p>
      <w:r>
        <w:t>The experiment was evaluated using γ = {1, 2, 4, 8, bold} and world speed = {1, 2, 4, 8}. Each configuration was evaluated over 25 random seeds and 600 agent steps.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pPr>
              <w:spacing w:after="0"/>
            </w:pPr>
            <w:r>
              <w:rPr>
                <w:rFonts w:ascii="Times New Roman" w:hAnsi="Times New Roman"/>
                <w:b/>
                <w:sz w:val="21"/>
              </w:rPr>
              <w:t>World Speed</w:t>
            </w:r>
          </w:p>
        </w:tc>
        <w:tc>
          <w:tcPr>
            <w:tcW w:type="dxa" w:w="1680"/>
            <w:shd w:fill="D9EAF7"/>
            <w:vAlign w:val="center"/>
          </w:tcPr>
          <w:p>
            <w:pPr>
              <w:spacing w:after="0"/>
            </w:pPr>
            <w:r>
              <w:rPr>
                <w:rFonts w:ascii="Times New Roman" w:hAnsi="Times New Roman"/>
                <w:b/>
                <w:sz w:val="21"/>
              </w:rPr>
              <w:t>γ = 1</w:t>
            </w:r>
          </w:p>
        </w:tc>
        <w:tc>
          <w:tcPr>
            <w:tcW w:type="dxa" w:w="1680"/>
            <w:shd w:fill="D9EAF7"/>
            <w:vAlign w:val="center"/>
          </w:tcPr>
          <w:p>
            <w:pPr>
              <w:spacing w:after="0"/>
            </w:pPr>
            <w:r>
              <w:rPr>
                <w:rFonts w:ascii="Times New Roman" w:hAnsi="Times New Roman"/>
                <w:b/>
                <w:sz w:val="21"/>
              </w:rPr>
              <w:t>γ = 2</w:t>
            </w:r>
          </w:p>
        </w:tc>
        <w:tc>
          <w:tcPr>
            <w:tcW w:type="dxa" w:w="1680"/>
            <w:shd w:fill="D9EAF7"/>
            <w:vAlign w:val="center"/>
          </w:tcPr>
          <w:p>
            <w:pPr>
              <w:spacing w:after="0"/>
            </w:pPr>
            <w:r>
              <w:rPr>
                <w:rFonts w:ascii="Times New Roman" w:hAnsi="Times New Roman"/>
                <w:b/>
                <w:sz w:val="21"/>
              </w:rPr>
              <w:t>γ = 4</w:t>
            </w:r>
          </w:p>
        </w:tc>
        <w:tc>
          <w:tcPr>
            <w:tcW w:type="dxa" w:w="1680"/>
            <w:shd w:fill="D9EAF7"/>
            <w:vAlign w:val="center"/>
          </w:tcPr>
          <w:p>
            <w:pPr>
              <w:spacing w:after="0"/>
            </w:pPr>
            <w:r>
              <w:rPr>
                <w:rFonts w:ascii="Times New Roman" w:hAnsi="Times New Roman"/>
                <w:b/>
                <w:sz w:val="21"/>
              </w:rPr>
              <w:t>γ = 8</w:t>
            </w:r>
          </w:p>
        </w:tc>
        <w:tc>
          <w:tcPr>
            <w:tcW w:type="dxa" w:w="1680"/>
            <w:shd w:fill="D9EAF7"/>
            <w:vAlign w:val="center"/>
          </w:tcPr>
          <w:p>
            <w:pPr>
              <w:spacing w:after="0"/>
            </w:pPr>
            <w:r>
              <w:rPr>
                <w:rFonts w:ascii="Times New Roman" w:hAnsi="Times New Roman"/>
                <w:b/>
                <w:sz w:val="21"/>
              </w:rPr>
              <w:t>Bold</w:t>
            </w:r>
          </w:p>
        </w:tc>
      </w:tr>
      <w:tr>
        <w:tc>
          <w:tcPr>
            <w:tcW w:type="dxa" w:w="1680"/>
            <w:vAlign w:val="center"/>
          </w:tcPr>
          <w:p>
            <w:pPr>
              <w:spacing w:after="0"/>
            </w:pPr>
            <w:r>
              <w:rPr>
                <w:rFonts w:ascii="Times New Roman" w:hAnsi="Times New Roman"/>
                <w:sz w:val="21"/>
              </w:rPr>
              <w:t>1</w:t>
            </w:r>
          </w:p>
        </w:tc>
        <w:tc>
          <w:tcPr>
            <w:tcW w:type="dxa" w:w="1680"/>
            <w:vAlign w:val="center"/>
          </w:tcPr>
          <w:p>
            <w:pPr>
              <w:spacing w:after="0"/>
            </w:pPr>
            <w:r>
              <w:rPr>
                <w:rFonts w:ascii="Times New Roman" w:hAnsi="Times New Roman"/>
                <w:sz w:val="21"/>
              </w:rPr>
              <w:t>0.7287</w:t>
            </w:r>
          </w:p>
        </w:tc>
        <w:tc>
          <w:tcPr>
            <w:tcW w:type="dxa" w:w="1680"/>
            <w:vAlign w:val="center"/>
          </w:tcPr>
          <w:p>
            <w:pPr>
              <w:spacing w:after="0"/>
            </w:pPr>
            <w:r>
              <w:rPr>
                <w:rFonts w:ascii="Times New Roman" w:hAnsi="Times New Roman"/>
                <w:sz w:val="21"/>
              </w:rPr>
              <w:t>0.8712</w:t>
            </w:r>
          </w:p>
        </w:tc>
        <w:tc>
          <w:tcPr>
            <w:tcW w:type="dxa" w:w="1680"/>
            <w:vAlign w:val="center"/>
          </w:tcPr>
          <w:p>
            <w:pPr>
              <w:spacing w:after="0"/>
            </w:pPr>
            <w:r>
              <w:rPr>
                <w:rFonts w:ascii="Times New Roman" w:hAnsi="Times New Roman"/>
                <w:sz w:val="21"/>
              </w:rPr>
              <w:t>0.9156</w:t>
            </w:r>
          </w:p>
        </w:tc>
        <w:tc>
          <w:tcPr>
            <w:tcW w:type="dxa" w:w="1680"/>
            <w:vAlign w:val="center"/>
          </w:tcPr>
          <w:p>
            <w:pPr>
              <w:spacing w:after="0"/>
            </w:pPr>
            <w:r>
              <w:rPr>
                <w:rFonts w:ascii="Times New Roman" w:hAnsi="Times New Roman"/>
                <w:sz w:val="21"/>
              </w:rPr>
              <w:t>0.9395</w:t>
            </w:r>
          </w:p>
        </w:tc>
        <w:tc>
          <w:tcPr>
            <w:tcW w:type="dxa" w:w="1680"/>
            <w:vAlign w:val="center"/>
          </w:tcPr>
          <w:p>
            <w:pPr>
              <w:spacing w:after="0"/>
            </w:pPr>
            <w:r>
              <w:rPr>
                <w:rFonts w:ascii="Times New Roman" w:hAnsi="Times New Roman"/>
                <w:sz w:val="21"/>
              </w:rPr>
              <w:t>0.9507</w:t>
            </w:r>
          </w:p>
        </w:tc>
      </w:tr>
      <w:tr>
        <w:tc>
          <w:tcPr>
            <w:tcW w:type="dxa" w:w="1680"/>
            <w:vAlign w:val="center"/>
          </w:tcPr>
          <w:p>
            <w:pPr>
              <w:spacing w:after="0"/>
            </w:pPr>
            <w:r>
              <w:rPr>
                <w:rFonts w:ascii="Times New Roman" w:hAnsi="Times New Roman"/>
                <w:sz w:val="21"/>
              </w:rPr>
              <w:t>2</w:t>
            </w:r>
          </w:p>
        </w:tc>
        <w:tc>
          <w:tcPr>
            <w:tcW w:type="dxa" w:w="1680"/>
            <w:vAlign w:val="center"/>
          </w:tcPr>
          <w:p>
            <w:pPr>
              <w:spacing w:after="0"/>
            </w:pPr>
            <w:r>
              <w:rPr>
                <w:rFonts w:ascii="Times New Roman" w:hAnsi="Times New Roman"/>
                <w:sz w:val="21"/>
              </w:rPr>
              <w:t>0.3633</w:t>
            </w:r>
          </w:p>
        </w:tc>
        <w:tc>
          <w:tcPr>
            <w:tcW w:type="dxa" w:w="1680"/>
            <w:vAlign w:val="center"/>
          </w:tcPr>
          <w:p>
            <w:pPr>
              <w:spacing w:after="0"/>
            </w:pPr>
            <w:r>
              <w:rPr>
                <w:rFonts w:ascii="Times New Roman" w:hAnsi="Times New Roman"/>
                <w:sz w:val="21"/>
              </w:rPr>
              <w:t>0.5007</w:t>
            </w:r>
          </w:p>
        </w:tc>
        <w:tc>
          <w:tcPr>
            <w:tcW w:type="dxa" w:w="1680"/>
            <w:vAlign w:val="center"/>
          </w:tcPr>
          <w:p>
            <w:pPr>
              <w:spacing w:after="0"/>
            </w:pPr>
            <w:r>
              <w:rPr>
                <w:rFonts w:ascii="Times New Roman" w:hAnsi="Times New Roman"/>
                <w:sz w:val="21"/>
              </w:rPr>
              <w:t>0.6162</w:t>
            </w:r>
          </w:p>
        </w:tc>
        <w:tc>
          <w:tcPr>
            <w:tcW w:type="dxa" w:w="1680"/>
            <w:vAlign w:val="center"/>
          </w:tcPr>
          <w:p>
            <w:pPr>
              <w:spacing w:after="0"/>
            </w:pPr>
            <w:r>
              <w:rPr>
                <w:rFonts w:ascii="Times New Roman" w:hAnsi="Times New Roman"/>
                <w:sz w:val="21"/>
              </w:rPr>
              <w:t>0.6687</w:t>
            </w:r>
          </w:p>
        </w:tc>
        <w:tc>
          <w:tcPr>
            <w:tcW w:type="dxa" w:w="1680"/>
            <w:vAlign w:val="center"/>
          </w:tcPr>
          <w:p>
            <w:pPr>
              <w:spacing w:after="0"/>
            </w:pPr>
            <w:r>
              <w:rPr>
                <w:rFonts w:ascii="Times New Roman" w:hAnsi="Times New Roman"/>
                <w:sz w:val="21"/>
              </w:rPr>
              <w:t>0.6817</w:t>
            </w:r>
          </w:p>
        </w:tc>
      </w:tr>
      <w:tr>
        <w:tc>
          <w:tcPr>
            <w:tcW w:type="dxa" w:w="1680"/>
            <w:vAlign w:val="center"/>
          </w:tcPr>
          <w:p>
            <w:pPr>
              <w:spacing w:after="0"/>
            </w:pPr>
            <w:r>
              <w:rPr>
                <w:rFonts w:ascii="Times New Roman" w:hAnsi="Times New Roman"/>
                <w:sz w:val="21"/>
              </w:rPr>
              <w:t>4</w:t>
            </w:r>
          </w:p>
        </w:tc>
        <w:tc>
          <w:tcPr>
            <w:tcW w:type="dxa" w:w="1680"/>
            <w:vAlign w:val="center"/>
          </w:tcPr>
          <w:p>
            <w:pPr>
              <w:spacing w:after="0"/>
            </w:pPr>
            <w:r>
              <w:rPr>
                <w:rFonts w:ascii="Times New Roman" w:hAnsi="Times New Roman"/>
                <w:sz w:val="21"/>
              </w:rPr>
              <w:t>0.1241</w:t>
            </w:r>
          </w:p>
        </w:tc>
        <w:tc>
          <w:tcPr>
            <w:tcW w:type="dxa" w:w="1680"/>
            <w:vAlign w:val="center"/>
          </w:tcPr>
          <w:p>
            <w:pPr>
              <w:spacing w:after="0"/>
            </w:pPr>
            <w:r>
              <w:rPr>
                <w:rFonts w:ascii="Times New Roman" w:hAnsi="Times New Roman"/>
                <w:sz w:val="21"/>
              </w:rPr>
              <w:t>0.1845</w:t>
            </w:r>
          </w:p>
        </w:tc>
        <w:tc>
          <w:tcPr>
            <w:tcW w:type="dxa" w:w="1680"/>
            <w:vAlign w:val="center"/>
          </w:tcPr>
          <w:p>
            <w:pPr>
              <w:spacing w:after="0"/>
            </w:pPr>
            <w:r>
              <w:rPr>
                <w:rFonts w:ascii="Times New Roman" w:hAnsi="Times New Roman"/>
                <w:sz w:val="21"/>
              </w:rPr>
              <w:t>0.2247</w:t>
            </w:r>
          </w:p>
        </w:tc>
        <w:tc>
          <w:tcPr>
            <w:tcW w:type="dxa" w:w="1680"/>
            <w:vAlign w:val="center"/>
          </w:tcPr>
          <w:p>
            <w:pPr>
              <w:spacing w:after="0"/>
            </w:pPr>
            <w:r>
              <w:rPr>
                <w:rFonts w:ascii="Times New Roman" w:hAnsi="Times New Roman"/>
                <w:sz w:val="21"/>
              </w:rPr>
              <w:t>0.2503</w:t>
            </w:r>
          </w:p>
        </w:tc>
        <w:tc>
          <w:tcPr>
            <w:tcW w:type="dxa" w:w="1680"/>
            <w:vAlign w:val="center"/>
          </w:tcPr>
          <w:p>
            <w:pPr>
              <w:spacing w:after="0"/>
            </w:pPr>
            <w:r>
              <w:rPr>
                <w:rFonts w:ascii="Times New Roman" w:hAnsi="Times New Roman"/>
                <w:sz w:val="21"/>
              </w:rPr>
              <w:t>0.2306</w:t>
            </w:r>
          </w:p>
        </w:tc>
      </w:tr>
      <w:tr>
        <w:tc>
          <w:tcPr>
            <w:tcW w:type="dxa" w:w="1680"/>
            <w:vAlign w:val="center"/>
          </w:tcPr>
          <w:p>
            <w:pPr>
              <w:spacing w:after="0"/>
            </w:pPr>
            <w:r>
              <w:rPr>
                <w:rFonts w:ascii="Times New Roman" w:hAnsi="Times New Roman"/>
                <w:sz w:val="21"/>
              </w:rPr>
              <w:t>8</w:t>
            </w:r>
          </w:p>
        </w:tc>
        <w:tc>
          <w:tcPr>
            <w:tcW w:type="dxa" w:w="1680"/>
            <w:vAlign w:val="center"/>
          </w:tcPr>
          <w:p>
            <w:pPr>
              <w:spacing w:after="0"/>
            </w:pPr>
            <w:r>
              <w:rPr>
                <w:rFonts w:ascii="Times New Roman" w:hAnsi="Times New Roman"/>
                <w:sz w:val="21"/>
              </w:rPr>
              <w:t>0.0370</w:t>
            </w:r>
          </w:p>
        </w:tc>
        <w:tc>
          <w:tcPr>
            <w:tcW w:type="dxa" w:w="1680"/>
            <w:vAlign w:val="center"/>
          </w:tcPr>
          <w:p>
            <w:pPr>
              <w:spacing w:after="0"/>
            </w:pPr>
            <w:r>
              <w:rPr>
                <w:rFonts w:ascii="Times New Roman" w:hAnsi="Times New Roman"/>
                <w:sz w:val="21"/>
              </w:rPr>
              <w:t>0.0579</w:t>
            </w:r>
          </w:p>
        </w:tc>
        <w:tc>
          <w:tcPr>
            <w:tcW w:type="dxa" w:w="1680"/>
            <w:vAlign w:val="center"/>
          </w:tcPr>
          <w:p>
            <w:pPr>
              <w:spacing w:after="0"/>
            </w:pPr>
            <w:r>
              <w:rPr>
                <w:rFonts w:ascii="Times New Roman" w:hAnsi="Times New Roman"/>
                <w:sz w:val="21"/>
              </w:rPr>
              <w:t>0.0679</w:t>
            </w:r>
          </w:p>
        </w:tc>
        <w:tc>
          <w:tcPr>
            <w:tcW w:type="dxa" w:w="1680"/>
            <w:vAlign w:val="center"/>
          </w:tcPr>
          <w:p>
            <w:pPr>
              <w:spacing w:after="0"/>
            </w:pPr>
            <w:r>
              <w:rPr>
                <w:rFonts w:ascii="Times New Roman" w:hAnsi="Times New Roman"/>
                <w:sz w:val="21"/>
              </w:rPr>
              <w:t>0.0580</w:t>
            </w:r>
          </w:p>
        </w:tc>
        <w:tc>
          <w:tcPr>
            <w:tcW w:type="dxa" w:w="1680"/>
            <w:vAlign w:val="center"/>
          </w:tcPr>
          <w:p>
            <w:pPr>
              <w:spacing w:after="0"/>
            </w:pPr>
            <w:r>
              <w:rPr>
                <w:rFonts w:ascii="Times New Roman" w:hAnsi="Times New Roman"/>
                <w:sz w:val="21"/>
              </w:rPr>
              <w:t>0.0482</w:t>
            </w:r>
          </w:p>
        </w:tc>
      </w:tr>
    </w:tbl>
    <w:p/>
    <w:p>
      <w:r>
        <w:t>Best γ at each world speed:</w:t>
      </w:r>
    </w:p>
    <w:p>
      <w:pPr>
        <w:pStyle w:val="ListBullet"/>
        <w:spacing w:after="40"/>
      </w:pPr>
      <w:r>
        <w:t>World speed 1: Bold, effectiveness = 0.9507</w:t>
      </w:r>
    </w:p>
    <w:p>
      <w:pPr>
        <w:pStyle w:val="ListBullet"/>
        <w:spacing w:after="40"/>
      </w:pPr>
      <w:r>
        <w:t>World speed 2: Bold, effectiveness = 0.6817</w:t>
      </w:r>
    </w:p>
    <w:p>
      <w:pPr>
        <w:pStyle w:val="ListBullet"/>
        <w:spacing w:after="40"/>
      </w:pPr>
      <w:r>
        <w:t>World speed 4: γ = 8, effectiveness = 0.2503</w:t>
      </w:r>
    </w:p>
    <w:p>
      <w:pPr>
        <w:pStyle w:val="ListBullet"/>
        <w:spacing w:after="40"/>
      </w:pPr>
      <w:r>
        <w:t>World speed 8: γ = 4, effectiveness = 0.0679</w:t>
      </w:r>
    </w:p>
    <w:p>
      <w:r>
        <w:t>Result interpretation: At low world speed, the environment changes slowly, so strong commitment (large γ or bold behaviour) performs well. As world speed increases, the environment becomes more dynamic and stale intentions become more costly. Moderate reconsideration therefore becomes preferable.</w:t>
      </w:r>
    </w:p>
    <w:p>
      <w:r>
        <w:rPr>
          <w:rFonts w:ascii="Times New Roman" w:hAnsi="Times New Roman"/>
          <w:b/>
          <w:sz w:val="26"/>
        </w:rPr>
        <w:t>7. Exercise 2 – Resource-Bounded Filter</w:t>
      </w:r>
    </w:p>
    <w:p>
      <w:r>
        <w:t>A battery capacity of 40 was introduced. Before selecting a fill-hole intention, the resource-aware agent checks whether the available battery is sufficient to reach the hole and return to the charger.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after="0"/>
            </w:pPr>
            <w:r>
              <w:rPr>
                <w:rFonts w:ascii="Times New Roman" w:hAnsi="Times New Roman"/>
                <w:b/>
                <w:sz w:val="21"/>
              </w:rPr>
              <w:t>Agent</w:t>
            </w:r>
          </w:p>
        </w:tc>
        <w:tc>
          <w:tcPr>
            <w:tcW w:type="dxa" w:w="3360"/>
            <w:shd w:fill="D9EAF7"/>
            <w:vAlign w:val="center"/>
          </w:tcPr>
          <w:p>
            <w:pPr>
              <w:spacing w:after="0"/>
            </w:pPr>
            <w:r>
              <w:rPr>
                <w:rFonts w:ascii="Times New Roman" w:hAnsi="Times New Roman"/>
                <w:b/>
                <w:sz w:val="21"/>
              </w:rPr>
              <w:t>Average Holes Filled</w:t>
            </w:r>
          </w:p>
        </w:tc>
        <w:tc>
          <w:tcPr>
            <w:tcW w:type="dxa" w:w="3360"/>
            <w:shd w:fill="D9EAF7"/>
            <w:vAlign w:val="center"/>
          </w:tcPr>
          <w:p>
            <w:pPr>
              <w:spacing w:after="0"/>
            </w:pPr>
            <w:r>
              <w:rPr>
                <w:rFonts w:ascii="Times New Roman" w:hAnsi="Times New Roman"/>
                <w:b/>
                <w:sz w:val="21"/>
              </w:rPr>
              <w:t>Average Stranded Steps</w:t>
            </w:r>
          </w:p>
        </w:tc>
      </w:tr>
      <w:tr>
        <w:tc>
          <w:tcPr>
            <w:tcW w:type="dxa" w:w="3360"/>
            <w:vAlign w:val="center"/>
          </w:tcPr>
          <w:p>
            <w:pPr>
              <w:spacing w:after="0"/>
            </w:pPr>
            <w:r>
              <w:rPr>
                <w:rFonts w:ascii="Times New Roman" w:hAnsi="Times New Roman"/>
                <w:sz w:val="21"/>
              </w:rPr>
              <w:t>Resource-aware BDI</w:t>
            </w:r>
          </w:p>
        </w:tc>
        <w:tc>
          <w:tcPr>
            <w:tcW w:type="dxa" w:w="3360"/>
            <w:vAlign w:val="center"/>
          </w:tcPr>
          <w:p>
            <w:pPr>
              <w:spacing w:after="0"/>
            </w:pPr>
            <w:r>
              <w:rPr>
                <w:rFonts w:ascii="Times New Roman" w:hAnsi="Times New Roman"/>
                <w:sz w:val="21"/>
              </w:rPr>
              <w:t>30.40</w:t>
            </w:r>
          </w:p>
        </w:tc>
        <w:tc>
          <w:tcPr>
            <w:tcW w:type="dxa" w:w="3360"/>
            <w:vAlign w:val="center"/>
          </w:tcPr>
          <w:p>
            <w:pPr>
              <w:spacing w:after="0"/>
            </w:pPr>
            <w:r>
              <w:rPr>
                <w:rFonts w:ascii="Times New Roman" w:hAnsi="Times New Roman"/>
                <w:sz w:val="21"/>
              </w:rPr>
              <w:t>4.20</w:t>
            </w:r>
          </w:p>
        </w:tc>
      </w:tr>
      <w:tr>
        <w:tc>
          <w:tcPr>
            <w:tcW w:type="dxa" w:w="3360"/>
            <w:vAlign w:val="center"/>
          </w:tcPr>
          <w:p>
            <w:pPr>
              <w:spacing w:after="0"/>
            </w:pPr>
            <w:r>
              <w:rPr>
                <w:rFonts w:ascii="Times New Roman" w:hAnsi="Times New Roman"/>
                <w:sz w:val="21"/>
              </w:rPr>
              <w:t>Battery-blind</w:t>
            </w:r>
          </w:p>
        </w:tc>
        <w:tc>
          <w:tcPr>
            <w:tcW w:type="dxa" w:w="3360"/>
            <w:vAlign w:val="center"/>
          </w:tcPr>
          <w:p>
            <w:pPr>
              <w:spacing w:after="0"/>
            </w:pPr>
            <w:r>
              <w:rPr>
                <w:rFonts w:ascii="Times New Roman" w:hAnsi="Times New Roman"/>
                <w:sz w:val="21"/>
              </w:rPr>
              <w:t>3.96</w:t>
            </w:r>
          </w:p>
        </w:tc>
        <w:tc>
          <w:tcPr>
            <w:tcW w:type="dxa" w:w="3360"/>
            <w:vAlign w:val="center"/>
          </w:tcPr>
          <w:p>
            <w:pPr>
              <w:spacing w:after="0"/>
            </w:pPr>
            <w:r>
              <w:rPr>
                <w:rFonts w:ascii="Times New Roman" w:hAnsi="Times New Roman"/>
                <w:sz w:val="21"/>
              </w:rPr>
              <w:t>529.64</w:t>
            </w:r>
          </w:p>
        </w:tc>
      </w:tr>
    </w:tbl>
    <w:p>
      <w:r>
        <w:t>The resource-aware filter rejects a fill-hole intention when the battery is insufficient for the trip to the hole plus the return trip to the charger. When no feasible hole is available, the agent selects the recharge behaviour.</w:t>
      </w:r>
    </w:p>
    <w:p>
      <w:r>
        <w:rPr>
          <w:rFonts w:ascii="Times New Roman" w:hAnsi="Times New Roman"/>
          <w:b/>
          <w:sz w:val="26"/>
        </w:rPr>
        <w:t>8. Conclusion</w:t>
      </w:r>
    </w:p>
    <w:p>
      <w:r>
        <w:t>The experiment successfully demonstrated the BDI agent architecture in a dynamic Tileworld environment. The agent maintained beliefs about the current world, generated possible goals, filtered them into intentions, planned paths, executed actions and reconsidered its commitments. The demonstration achieved an effectiveness of 0.7500, with 3 of 4 observed holes filled.</w:t>
      </w:r>
    </w:p>
    <w:p>
      <w:r>
        <w:t>The γ experiment showed that the appropriate level of commitment depends on environmental dynamism. Bold behaviour gave the best result in the slower worlds, while reconsideration became more valuable as world speed increased. At speed 4, γ = 8 was best, and at speed 8, γ = 4 was best among the tested settings.</w:t>
      </w:r>
    </w:p>
    <w:p>
      <w:r>
        <w:t>The resource-bounded experiment further showed the importance of incorporating resource constraints during deliberation. The resource-aware BDI agent filled far more holes (30.40 on average) and spent far fewer steps stranded (4.20) than the battery-blind agent, which filled 3.96 holes and was stranded for 529.64 steps on average. Therefore, the battery feasibility condition belongs in the FILTER/DELIBERATION component rather than in the path planner.</w:t>
      </w:r>
    </w:p>
    <w:p>
      <w:r>
        <w:rPr>
          <w:rFonts w:ascii="Times New Roman" w:hAnsi="Times New Roman"/>
          <w:b/>
          <w:sz w:val="26"/>
        </w:rPr>
        <w:t>9. Final Result Summary</w:t>
      </w:r>
    </w:p>
    <w:p>
      <w:pPr>
        <w:pStyle w:val="ListBullet"/>
        <w:spacing w:after="40"/>
      </w:pPr>
      <w:r>
        <w:t>BDI cycle implemented successfully.</w:t>
      </w:r>
    </w:p>
    <w:p>
      <w:pPr>
        <w:pStyle w:val="ListBullet"/>
        <w:spacing w:after="40"/>
      </w:pPr>
      <w:r>
        <w:t>Demonstration effectiveness: 0.7500.</w:t>
      </w:r>
    </w:p>
    <w:p>
      <w:pPr>
        <w:pStyle w:val="ListBullet"/>
        <w:spacing w:after="40"/>
      </w:pPr>
      <w:r>
        <w:t>COMMIT and ACHIEVE events observed in the main trace.</w:t>
      </w:r>
    </w:p>
    <w:p>
      <w:pPr>
        <w:pStyle w:val="ListBullet"/>
        <w:spacing w:after="40"/>
      </w:pPr>
      <w:r>
        <w:t>SWITCH demonstrated using an open-minded reconsideration case.</w:t>
      </w:r>
    </w:p>
    <w:p>
      <w:pPr>
        <w:pStyle w:val="ListBullet"/>
        <w:spacing w:after="40"/>
      </w:pPr>
      <w:r>
        <w:t>γ × world-speed experiment completed for 25 seeds × 600 steps.</w:t>
      </w:r>
    </w:p>
    <w:p>
      <w:pPr>
        <w:pStyle w:val="ListBullet"/>
        <w:spacing w:after="40"/>
      </w:pPr>
      <w:r>
        <w:t>Resource-bounded comparison completed with battery capacity = 40.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