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E4A3F"/>
          <w:sz w:val="44"/>
        </w:rPr>
        <w:t>AI-Based Wood Quality Assessment</w:t>
      </w:r>
    </w:p>
    <w:p>
      <w:pPr>
        <w:jc w:val="center"/>
      </w:pPr>
      <w:r>
        <w:rPr>
          <w:sz w:val="26"/>
        </w:rPr>
        <w:t>Project status, phase by phase, and the mathematical model for accuracy</w:t>
      </w:r>
    </w:p>
    <w:p>
      <w:pPr>
        <w:jc w:val="center"/>
      </w:pPr>
      <w:r>
        <w:rPr>
          <w:i w:val="0"/>
          <w:sz w:val="20"/>
        </w:rPr>
        <w:t>Major Project, Dept. of CSBS, Dayananda Sagar College of Engineering, AY 2026-27 · Guide: Mrs. Aparna H D</w:t>
      </w:r>
    </w:p>
    <w:p>
      <w:pPr>
        <w:jc w:val="center"/>
      </w:pPr>
      <w:r>
        <w:rPr>
          <w:i w:val="0"/>
          <w:sz w:val="20"/>
        </w:rPr>
        <w:t>Team 4: Gurugubelli Gayatri (1DS23CB014), Prakyat Pramod Shetty (1DS23CB033), Saiprasad Rao (1DS23CB041), Yasti Anil Kotak (1DS23CB063) · 14 October 2026</w:t>
      </w:r>
    </w:p>
    <w:p>
      <w:pPr>
        <w:pStyle w:val="Heading1"/>
      </w:pPr>
      <w:r>
        <w:t>1. Summary</w:t>
      </w:r>
    </w:p>
    <w:p>
      <w:r>
        <w:rPr>
          <w:i w:val="0"/>
        </w:rPr>
        <w:t>The project is complete. Everything proposed at the 50 % review has been implemented and measured on 12 physical boards that were never used for training or for any choice of settings. The final review is on 24 October 2026.</w:t>
      </w:r>
    </w:p>
    <w:p>
      <w:r>
        <w:rPr>
          <w:b/>
        </w:rPr>
        <w:t xml:space="preserve">At the 50 % review </w:t>
      </w:r>
      <w:r>
        <w:rPr>
          <w:i w:val="0"/>
        </w:rPr>
      </w:r>
      <w:r>
        <w:t>both detectors were stuck at 63-65 mAP50 over 8 defect classes, and the larger model did not help. The guide suggested a mathematical model to improve accuracy.</w:t>
      </w:r>
    </w:p>
    <w:p>
      <w:r>
        <w:rPr>
          <w:b/>
        </w:rPr>
        <w:t xml:space="preserve">Since then </w:t>
      </w:r>
      <w:r>
        <w:rPr>
          <w:i w:val="0"/>
        </w:rPr>
      </w:r>
      <w:r>
        <w:t>we built that model (class balancing, weighted box fusion of detectors, Wise-IoU loss, per-class thresholds and statistical validation). The deployed detector raises test mAP50 from 69.2 to 74.7 on the four main defect classes, a statistically significant gain. We also implemented the guide's Board Recoverability Index (BRI) for grading, adapted it to our images and validated it.</w:t>
      </w:r>
    </w:p>
    <w:tbl>
      <w:tblPr>
        <w:tblStyle w:val="TableGrid"/>
        <w:tblW w:type="auto" w:w="0"/>
        <w:jc w:val="center"/>
        <w:tblLook w:firstColumn="1" w:firstRow="1" w:lastColumn="0" w:lastRow="0" w:noHBand="0" w:noVBand="1" w:val="04A0"/>
      </w:tblPr>
      <w:tblGrid>
        <w:gridCol w:w="4706"/>
        <w:gridCol w:w="4706"/>
      </w:tblGrid>
      <w:tr>
        <w:tc>
          <w:tcPr>
            <w:tcW w:type="dxa" w:w="4252"/>
            <w:shd w:val="clear" w:color="auto" w:fill="3E4A3F"/>
          </w:tcPr>
          <w:p>
            <w:pPr>
              <w:spacing w:after="0"/>
            </w:pPr>
            <w:r/>
            <w:r>
              <w:rPr>
                <w:b/>
                <w:color w:val="FFFFFF"/>
                <w:sz w:val="19"/>
              </w:rPr>
              <w:t>Item</w:t>
            </w:r>
          </w:p>
        </w:tc>
        <w:tc>
          <w:tcPr>
            <w:tcW w:type="dxa" w:w="5102"/>
            <w:shd w:val="clear" w:color="auto" w:fill="3E4A3F"/>
          </w:tcPr>
          <w:p>
            <w:pPr>
              <w:spacing w:after="0"/>
            </w:pPr>
            <w:r/>
            <w:r>
              <w:rPr>
                <w:b/>
                <w:color w:val="FFFFFF"/>
                <w:sz w:val="19"/>
              </w:rPr>
              <w:t>Result on the 12 unseen test boards</w:t>
            </w:r>
          </w:p>
        </w:tc>
      </w:tr>
      <w:tr>
        <w:tc>
          <w:tcPr>
            <w:tcW w:type="dxa" w:w="4252"/>
          </w:tcPr>
          <w:p>
            <w:pPr>
              <w:spacing w:after="0"/>
            </w:pPr>
            <w:r/>
            <w:r>
              <w:rPr>
                <w:sz w:val="19"/>
              </w:rPr>
              <w:t>Detection, 8 classes (50 % review)</w:t>
            </w:r>
          </w:p>
        </w:tc>
        <w:tc>
          <w:tcPr>
            <w:tcW w:type="dxa" w:w="5102"/>
          </w:tcPr>
          <w:p>
            <w:pPr>
              <w:spacing w:after="0"/>
              <w:jc w:val="center"/>
            </w:pPr>
            <w:r/>
            <w:r>
              <w:rPr>
                <w:sz w:val="19"/>
              </w:rPr>
              <w:t>YOLO11s 64.6 mAP50, YOLO11m 63.0 mAP50</w:t>
            </w:r>
          </w:p>
        </w:tc>
      </w:tr>
      <w:tr>
        <w:tc>
          <w:tcPr>
            <w:tcW w:type="dxa" w:w="4252"/>
          </w:tcPr>
          <w:p>
            <w:pPr>
              <w:spacing w:after="0"/>
            </w:pPr>
            <w:r/>
            <w:r>
              <w:rPr>
                <w:sz w:val="19"/>
              </w:rPr>
              <w:t>Best single model, 4 main classes</w:t>
            </w:r>
          </w:p>
        </w:tc>
        <w:tc>
          <w:tcPr>
            <w:tcW w:type="dxa" w:w="5102"/>
          </w:tcPr>
          <w:p>
            <w:pPr>
              <w:spacing w:after="0"/>
              <w:jc w:val="center"/>
            </w:pPr>
            <w:r/>
            <w:r>
              <w:rPr>
                <w:sz w:val="19"/>
              </w:rPr>
              <w:t>69.2 mAP50, 33.3 mAP50-95</w:t>
            </w:r>
          </w:p>
        </w:tc>
      </w:tr>
      <w:tr>
        <w:tc>
          <w:tcPr>
            <w:tcW w:type="dxa" w:w="4252"/>
            <w:shd w:val="clear" w:color="auto" w:fill="E8F0E3"/>
          </w:tcPr>
          <w:p>
            <w:pPr>
              <w:spacing w:after="0"/>
            </w:pPr>
            <w:r/>
            <w:r>
              <w:rPr>
                <w:b/>
                <w:sz w:val="19"/>
              </w:rPr>
              <w:t>Deployed detector (fusion of four 4-class YOLO11s models)</w:t>
            </w:r>
          </w:p>
        </w:tc>
        <w:tc>
          <w:tcPr>
            <w:tcW w:type="dxa" w:w="5102"/>
            <w:shd w:val="clear" w:color="auto" w:fill="E8F0E3"/>
          </w:tcPr>
          <w:p>
            <w:pPr>
              <w:spacing w:after="0"/>
              <w:jc w:val="center"/>
            </w:pPr>
            <w:r/>
            <w:r>
              <w:rPr>
                <w:b/>
                <w:sz w:val="19"/>
              </w:rPr>
              <w:t>74.7 mAP50, 36.7 mAP50-95</w:t>
            </w:r>
          </w:p>
        </w:tc>
      </w:tr>
      <w:tr>
        <w:tc>
          <w:tcPr>
            <w:tcW w:type="dxa" w:w="4252"/>
            <w:shd w:val="clear" w:color="auto" w:fill="E8F0E3"/>
          </w:tcPr>
          <w:p>
            <w:pPr>
              <w:spacing w:after="0"/>
            </w:pPr>
            <w:r/>
            <w:r>
              <w:rPr>
                <w:b/>
                <w:sz w:val="19"/>
              </w:rPr>
              <w:t>Gain from the mathematical model (95 % interval)</w:t>
            </w:r>
          </w:p>
        </w:tc>
        <w:tc>
          <w:tcPr>
            <w:tcW w:type="dxa" w:w="5102"/>
            <w:shd w:val="clear" w:color="auto" w:fill="E8F0E3"/>
          </w:tcPr>
          <w:p>
            <w:pPr>
              <w:spacing w:after="0"/>
              <w:jc w:val="center"/>
            </w:pPr>
            <w:r/>
            <w:r>
              <w:rPr>
                <w:b/>
                <w:sz w:val="19"/>
              </w:rPr>
              <w:t>+2.7 to +7.1 mAP50; better on 10 of 12 boards (Wilcoxon p = 0.042)</w:t>
            </w:r>
          </w:p>
        </w:tc>
      </w:tr>
      <w:tr>
        <w:tc>
          <w:tcPr>
            <w:tcW w:type="dxa" w:w="4252"/>
          </w:tcPr>
          <w:p>
            <w:pPr>
              <w:spacing w:after="0"/>
            </w:pPr>
            <w:r/>
            <w:r>
              <w:rPr>
                <w:sz w:val="19"/>
              </w:rPr>
              <w:t>Grading (BRI) vs grades from the annotations</w:t>
            </w:r>
          </w:p>
        </w:tc>
        <w:tc>
          <w:tcPr>
            <w:tcW w:type="dxa" w:w="5102"/>
          </w:tcPr>
          <w:p>
            <w:pPr>
              <w:spacing w:after="0"/>
              <w:jc w:val="center"/>
            </w:pPr>
            <w:r/>
            <w:r>
              <w:rPr>
                <w:sz w:val="19"/>
              </w:rPr>
              <w:t>weighted kappa 0.83; 83 % of boards graded exactly</w:t>
            </w:r>
          </w:p>
        </w:tc>
      </w:tr>
      <w:tr>
        <w:tc>
          <w:tcPr>
            <w:tcW w:type="dxa" w:w="4252"/>
          </w:tcPr>
          <w:p>
            <w:pPr>
              <w:spacing w:after="0"/>
            </w:pPr>
            <w:r/>
            <w:r>
              <w:rPr>
                <w:sz w:val="19"/>
              </w:rPr>
              <w:t>Application</w:t>
            </w:r>
          </w:p>
        </w:tc>
        <w:tc>
          <w:tcPr>
            <w:tcW w:type="dxa" w:w="5102"/>
          </w:tcPr>
          <w:p>
            <w:pPr>
              <w:spacing w:after="0"/>
              <w:jc w:val="center"/>
            </w:pPr>
            <w:r/>
            <w:r>
              <w:rPr>
                <w:sz w:val="19"/>
              </w:rPr>
              <w:t>Web app: defects, heatmap, grade A / B / C / Reject, recoverable area, value estimate</w:t>
            </w:r>
          </w:p>
        </w:tc>
      </w:tr>
    </w:tbl>
    <w:p>
      <w:pPr>
        <w:spacing w:after="40"/>
      </w:pPr>
    </w:p>
    <w:p>
      <w:pPr>
        <w:pStyle w:val="Heading1"/>
      </w:pPr>
      <w:r>
        <w:t>2. Phase 0: the starting point (before September)</w:t>
      </w:r>
    </w:p>
    <w:p>
      <w:r>
        <w:rPr>
          <w:i w:val="0"/>
        </w:rPr>
        <w:t>The team's first model was YOLO11s trained on square 640-px images for 83 epochs on a laptop CPU. It reported 62.2 mAP50 on its test set. Checking that pipeline before building on it showed three problems:</w:t>
      </w:r>
    </w:p>
    <w:p>
      <w:pPr>
        <w:pStyle w:val="ListNumber"/>
      </w:pPr>
      <w:r>
        <w:rPr>
          <w:b/>
        </w:rPr>
        <w:t xml:space="preserve">Board leakage. </w:t>
      </w:r>
      <w:r>
        <w:rPr>
          <w:i w:val="0"/>
        </w:rPr>
        <w:t>The data was split image by image. Each physical board is cut into about 49 images, so the same 81 boards appeared in training, validation and test. The test score measured memory of boards, not generalisation.</w:t>
      </w:r>
    </w:p>
    <w:p>
      <w:pPr>
        <w:pStyle w:val="ListNumber"/>
      </w:pPr>
      <w:r>
        <w:rPr>
          <w:b/>
        </w:rPr>
        <w:t xml:space="preserve">Wrong class names. </w:t>
      </w:r>
      <w:r>
        <w:rPr>
          <w:i w:val="0"/>
        </w:rPr>
        <w:t>The class names in the configuration (Crack, Knot, Hole, Stain, Split, Warp, Decay, Scratch) were not the dataset's classes. The real classes are Quartzity, Live_Knot, Marrow, Resin, Dead_Knot, Knot_with_crack, Knot_missing and Crack.</w:t>
      </w:r>
    </w:p>
    <w:p>
      <w:pPr>
        <w:pStyle w:val="ListNumber"/>
      </w:pPr>
      <w:r>
        <w:rPr>
          <w:b/>
        </w:rPr>
        <w:t xml:space="preserve">Square input. </w:t>
      </w:r>
      <w:r>
        <w:rPr>
          <w:i w:val="0"/>
        </w:rPr>
        <w:t>The images are 2800 x 1024 strips. Squeezing them into a 640 x 640 square wasted 63 % of the input on padding and shrank thin defects such as cracks.</w:t>
      </w:r>
    </w:p>
    <w:p>
      <w:r>
        <w:rPr>
          <w:i w:val="0"/>
        </w:rPr>
        <w:t>So the 62.2 was not a usable baseline, and the first task was to rebuild the data pipeline.</w:t>
      </w:r>
    </w:p>
    <w:p>
      <w:pPr>
        <w:pStyle w:val="Heading1"/>
      </w:pPr>
      <w:r>
        <w:t>3. Phase 1: up to the 50 % review (16 September)</w:t>
      </w:r>
    </w:p>
    <w:p>
      <w:pPr>
        <w:pStyle w:val="Heading2"/>
      </w:pPr>
      <w:r>
        <w:t>3.1 What we did</w:t>
      </w:r>
    </w:p>
    <w:p>
      <w:pPr>
        <w:pStyle w:val="ListBullet"/>
      </w:pPr>
      <w:r>
        <w:rPr>
          <w:b/>
        </w:rPr>
        <w:t xml:space="preserve">Dataset. </w:t>
      </w:r>
      <w:r>
        <w:rPr>
          <w:i w:val="0"/>
        </w:rPr>
        <w:t>4,000 line-scan images of sawn timber (Kodytek et al., 2022), 8 classes, 9,053 boxes after removing 158 zero-size labels.</w:t>
      </w:r>
    </w:p>
    <w:p>
      <w:pPr>
        <w:pStyle w:val="ListBullet"/>
      </w:pPr>
      <w:r>
        <w:rPr>
          <w:b/>
        </w:rPr>
        <w:t xml:space="preserve">Leakage-free split. </w:t>
      </w:r>
      <w:r>
        <w:rPr>
          <w:i w:val="0"/>
        </w:rPr>
        <w:t>Split by physical board: 52 boards for training, 17 for validation, 12 for test, zero overlap (checked by the script).</w:t>
      </w:r>
    </w:p>
    <w:p>
      <w:pPr>
        <w:pStyle w:val="ListBullet"/>
      </w:pPr>
      <w:r>
        <w:rPr>
          <w:b/>
        </w:rPr>
        <w:t xml:space="preserve">Input. </w:t>
      </w:r>
      <w:r>
        <w:rPr>
          <w:i w:val="0"/>
        </w:rPr>
        <w:t>Rectangular 1024-px input (1024 x 384 effective), no padding; augmentation that respects the grain direction (no rotation, no vertical flip).</w:t>
      </w:r>
    </w:p>
    <w:p>
      <w:pPr>
        <w:pStyle w:val="ListBullet"/>
      </w:pPr>
      <w:r>
        <w:rPr>
          <w:b/>
        </w:rPr>
        <w:t xml:space="preserve">Models. </w:t>
      </w:r>
      <w:r>
        <w:rPr>
          <w:i w:val="0"/>
        </w:rPr>
        <w:t>YOLO11m (20.0 M parameters) and YOLO11s (9.4 M), fine-tuned from COCO with one identical recipe on a Kaggle Tesla T4 GPU. Each model was evaluated on the test boards exactly once.</w:t>
      </w:r>
    </w:p>
    <w:p>
      <w:pPr>
        <w:pStyle w:val="ListBullet"/>
      </w:pPr>
      <w:r>
        <w:rPr>
          <w:b/>
        </w:rPr>
        <w:t xml:space="preserve">Demo. </w:t>
      </w:r>
      <w:r>
        <w:rPr>
          <w:i w:val="0"/>
        </w:rPr>
        <w:t>A web application showing boxes, a heatmap, per-class statistics and a JSON report.</w:t>
      </w:r>
    </w:p>
    <w:p>
      <w:pPr>
        <w:pStyle w:val="Heading2"/>
      </w:pPr>
      <w:r>
        <w:t>3.2 Results and the accuracy problem</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2041"/>
            <w:shd w:val="clear" w:color="auto" w:fill="3E4A3F"/>
          </w:tcPr>
          <w:p>
            <w:pPr>
              <w:spacing w:after="0"/>
            </w:pPr>
            <w:r/>
            <w:r>
              <w:rPr>
                <w:b/>
                <w:color w:val="FFFFFF"/>
                <w:sz w:val="19"/>
              </w:rPr>
              <w:t>Model (8 classes)</w:t>
            </w:r>
          </w:p>
        </w:tc>
        <w:tc>
          <w:tcPr>
            <w:tcW w:type="dxa" w:w="1134"/>
            <w:shd w:val="clear" w:color="auto" w:fill="3E4A3F"/>
          </w:tcPr>
          <w:p>
            <w:pPr>
              <w:spacing w:after="0"/>
            </w:pPr>
            <w:r/>
            <w:r>
              <w:rPr>
                <w:b/>
                <w:color w:val="FFFFFF"/>
                <w:sz w:val="19"/>
              </w:rPr>
              <w:t>Precision</w:t>
            </w:r>
          </w:p>
        </w:tc>
        <w:tc>
          <w:tcPr>
            <w:tcW w:type="dxa" w:w="1134"/>
            <w:shd w:val="clear" w:color="auto" w:fill="3E4A3F"/>
          </w:tcPr>
          <w:p>
            <w:pPr>
              <w:spacing w:after="0"/>
            </w:pPr>
            <w:r/>
            <w:r>
              <w:rPr>
                <w:b/>
                <w:color w:val="FFFFFF"/>
                <w:sz w:val="19"/>
              </w:rPr>
              <w:t>Recall</w:t>
            </w:r>
          </w:p>
        </w:tc>
        <w:tc>
          <w:tcPr>
            <w:tcW w:type="dxa" w:w="907"/>
            <w:shd w:val="clear" w:color="auto" w:fill="3E4A3F"/>
          </w:tcPr>
          <w:p>
            <w:pPr>
              <w:spacing w:after="0"/>
            </w:pPr>
            <w:r/>
            <w:r>
              <w:rPr>
                <w:b/>
                <w:color w:val="FFFFFF"/>
                <w:sz w:val="19"/>
              </w:rPr>
              <w:t>F1</w:t>
            </w:r>
          </w:p>
        </w:tc>
        <w:tc>
          <w:tcPr>
            <w:tcW w:type="dxa" w:w="1020"/>
            <w:shd w:val="clear" w:color="auto" w:fill="3E4A3F"/>
          </w:tcPr>
          <w:p>
            <w:pPr>
              <w:spacing w:after="0"/>
            </w:pPr>
            <w:r/>
            <w:r>
              <w:rPr>
                <w:b/>
                <w:color w:val="FFFFFF"/>
                <w:sz w:val="19"/>
              </w:rPr>
              <w:t>mAP50</w:t>
            </w:r>
          </w:p>
        </w:tc>
        <w:tc>
          <w:tcPr>
            <w:tcW w:type="dxa" w:w="1247"/>
            <w:shd w:val="clear" w:color="auto" w:fill="3E4A3F"/>
          </w:tcPr>
          <w:p>
            <w:pPr>
              <w:spacing w:after="0"/>
            </w:pPr>
            <w:r/>
            <w:r>
              <w:rPr>
                <w:b/>
                <w:color w:val="FFFFFF"/>
                <w:sz w:val="19"/>
              </w:rPr>
              <w:t>mAP50-95</w:t>
            </w:r>
          </w:p>
        </w:tc>
        <w:tc>
          <w:tcPr>
            <w:tcW w:type="dxa" w:w="1474"/>
            <w:shd w:val="clear" w:color="auto" w:fill="3E4A3F"/>
          </w:tcPr>
          <w:p>
            <w:pPr>
              <w:spacing w:after="0"/>
            </w:pPr>
            <w:r/>
            <w:r>
              <w:rPr>
                <w:b/>
                <w:color w:val="FFFFFF"/>
                <w:sz w:val="19"/>
              </w:rPr>
              <w:t>ms / image (T4)</w:t>
            </w:r>
          </w:p>
        </w:tc>
      </w:tr>
      <w:tr>
        <w:tc>
          <w:tcPr>
            <w:tcW w:type="dxa" w:w="2041"/>
          </w:tcPr>
          <w:p>
            <w:pPr>
              <w:spacing w:after="0"/>
            </w:pPr>
            <w:r/>
            <w:r>
              <w:rPr>
                <w:sz w:val="19"/>
              </w:rPr>
              <w:t>YOLO11m</w:t>
            </w:r>
          </w:p>
        </w:tc>
        <w:tc>
          <w:tcPr>
            <w:tcW w:type="dxa" w:w="1134"/>
          </w:tcPr>
          <w:p>
            <w:pPr>
              <w:spacing w:after="0"/>
              <w:jc w:val="center"/>
            </w:pPr>
            <w:r/>
            <w:r>
              <w:rPr>
                <w:sz w:val="19"/>
              </w:rPr>
              <w:t>63.4</w:t>
            </w:r>
          </w:p>
        </w:tc>
        <w:tc>
          <w:tcPr>
            <w:tcW w:type="dxa" w:w="1134"/>
          </w:tcPr>
          <w:p>
            <w:pPr>
              <w:spacing w:after="0"/>
              <w:jc w:val="center"/>
            </w:pPr>
            <w:r/>
            <w:r>
              <w:rPr>
                <w:sz w:val="19"/>
              </w:rPr>
              <w:t>66.2</w:t>
            </w:r>
          </w:p>
        </w:tc>
        <w:tc>
          <w:tcPr>
            <w:tcW w:type="dxa" w:w="907"/>
          </w:tcPr>
          <w:p>
            <w:pPr>
              <w:spacing w:after="0"/>
              <w:jc w:val="center"/>
            </w:pPr>
            <w:r/>
            <w:r>
              <w:rPr>
                <w:sz w:val="19"/>
              </w:rPr>
              <w:t>64.7</w:t>
            </w:r>
          </w:p>
        </w:tc>
        <w:tc>
          <w:tcPr>
            <w:tcW w:type="dxa" w:w="1020"/>
          </w:tcPr>
          <w:p>
            <w:pPr>
              <w:spacing w:after="0"/>
              <w:jc w:val="center"/>
            </w:pPr>
            <w:r/>
            <w:r>
              <w:rPr>
                <w:sz w:val="19"/>
              </w:rPr>
              <w:t>63.0</w:t>
            </w:r>
          </w:p>
        </w:tc>
        <w:tc>
          <w:tcPr>
            <w:tcW w:type="dxa" w:w="1247"/>
          </w:tcPr>
          <w:p>
            <w:pPr>
              <w:spacing w:after="0"/>
              <w:jc w:val="center"/>
            </w:pPr>
            <w:r/>
            <w:r>
              <w:rPr>
                <w:sz w:val="19"/>
              </w:rPr>
              <w:t>34.0</w:t>
            </w:r>
          </w:p>
        </w:tc>
        <w:tc>
          <w:tcPr>
            <w:tcW w:type="dxa" w:w="1474"/>
          </w:tcPr>
          <w:p>
            <w:pPr>
              <w:spacing w:after="0"/>
              <w:jc w:val="center"/>
            </w:pPr>
            <w:r/>
            <w:r>
              <w:rPr>
                <w:sz w:val="19"/>
              </w:rPr>
              <w:t>33.2</w:t>
            </w:r>
          </w:p>
        </w:tc>
      </w:tr>
      <w:tr>
        <w:tc>
          <w:tcPr>
            <w:tcW w:type="dxa" w:w="2041"/>
          </w:tcPr>
          <w:p>
            <w:pPr>
              <w:spacing w:after="0"/>
            </w:pPr>
            <w:r/>
            <w:r>
              <w:rPr>
                <w:sz w:val="19"/>
              </w:rPr>
              <w:t>YOLO11s</w:t>
            </w:r>
          </w:p>
        </w:tc>
        <w:tc>
          <w:tcPr>
            <w:tcW w:type="dxa" w:w="1134"/>
          </w:tcPr>
          <w:p>
            <w:pPr>
              <w:spacing w:after="0"/>
              <w:jc w:val="center"/>
            </w:pPr>
            <w:r/>
            <w:r>
              <w:rPr>
                <w:sz w:val="19"/>
              </w:rPr>
              <w:t>71.0</w:t>
            </w:r>
          </w:p>
        </w:tc>
        <w:tc>
          <w:tcPr>
            <w:tcW w:type="dxa" w:w="1134"/>
          </w:tcPr>
          <w:p>
            <w:pPr>
              <w:spacing w:after="0"/>
              <w:jc w:val="center"/>
            </w:pPr>
            <w:r/>
            <w:r>
              <w:rPr>
                <w:sz w:val="19"/>
              </w:rPr>
              <w:t>64.1</w:t>
            </w:r>
          </w:p>
        </w:tc>
        <w:tc>
          <w:tcPr>
            <w:tcW w:type="dxa" w:w="907"/>
          </w:tcPr>
          <w:p>
            <w:pPr>
              <w:spacing w:after="0"/>
              <w:jc w:val="center"/>
            </w:pPr>
            <w:r/>
            <w:r>
              <w:rPr>
                <w:sz w:val="19"/>
              </w:rPr>
              <w:t>67.4</w:t>
            </w:r>
          </w:p>
        </w:tc>
        <w:tc>
          <w:tcPr>
            <w:tcW w:type="dxa" w:w="1020"/>
          </w:tcPr>
          <w:p>
            <w:pPr>
              <w:spacing w:after="0"/>
              <w:jc w:val="center"/>
            </w:pPr>
            <w:r/>
            <w:r>
              <w:rPr>
                <w:sz w:val="19"/>
              </w:rPr>
              <w:t>64.6</w:t>
            </w:r>
          </w:p>
        </w:tc>
        <w:tc>
          <w:tcPr>
            <w:tcW w:type="dxa" w:w="1247"/>
          </w:tcPr>
          <w:p>
            <w:pPr>
              <w:spacing w:after="0"/>
              <w:jc w:val="center"/>
            </w:pPr>
            <w:r/>
            <w:r>
              <w:rPr>
                <w:sz w:val="19"/>
              </w:rPr>
              <w:t>33.4</w:t>
            </w:r>
          </w:p>
        </w:tc>
        <w:tc>
          <w:tcPr>
            <w:tcW w:type="dxa" w:w="1474"/>
          </w:tcPr>
          <w:p>
            <w:pPr>
              <w:spacing w:after="0"/>
              <w:jc w:val="center"/>
            </w:pPr>
            <w:r/>
            <w:r>
              <w:rPr>
                <w:sz w:val="19"/>
              </w:rPr>
              <w:t>11.7</w:t>
            </w:r>
          </w:p>
        </w:tc>
      </w:tr>
    </w:tbl>
    <w:p>
      <w:pPr>
        <w:spacing w:after="40"/>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268"/>
            <w:shd w:val="clear" w:color="auto" w:fill="3E4A3F"/>
          </w:tcPr>
          <w:p>
            <w:pPr>
              <w:spacing w:after="0"/>
            </w:pPr>
            <w:r/>
            <w:r>
              <w:rPr>
                <w:b/>
                <w:color w:val="FFFFFF"/>
                <w:sz w:val="19"/>
              </w:rPr>
              <w:t>Class</w:t>
            </w:r>
          </w:p>
        </w:tc>
        <w:tc>
          <w:tcPr>
            <w:tcW w:type="dxa" w:w="1417"/>
            <w:shd w:val="clear" w:color="auto" w:fill="3E4A3F"/>
          </w:tcPr>
          <w:p>
            <w:pPr>
              <w:spacing w:after="0"/>
            </w:pPr>
            <w:r/>
            <w:r>
              <w:rPr>
                <w:b/>
                <w:color w:val="FFFFFF"/>
                <w:sz w:val="19"/>
              </w:rPr>
              <w:t>Test boxes</w:t>
            </w:r>
          </w:p>
        </w:tc>
        <w:tc>
          <w:tcPr>
            <w:tcW w:type="dxa" w:w="1701"/>
            <w:shd w:val="clear" w:color="auto" w:fill="3E4A3F"/>
          </w:tcPr>
          <w:p>
            <w:pPr>
              <w:spacing w:after="0"/>
            </w:pPr>
            <w:r/>
            <w:r>
              <w:rPr>
                <w:b/>
                <w:color w:val="FFFFFF"/>
                <w:sz w:val="19"/>
              </w:rPr>
              <w:t>YOLO11m mAP50</w:t>
            </w:r>
          </w:p>
        </w:tc>
        <w:tc>
          <w:tcPr>
            <w:tcW w:type="dxa" w:w="1701"/>
            <w:shd w:val="clear" w:color="auto" w:fill="3E4A3F"/>
          </w:tcPr>
          <w:p>
            <w:pPr>
              <w:spacing w:after="0"/>
            </w:pPr>
            <w:r/>
            <w:r>
              <w:rPr>
                <w:b/>
                <w:color w:val="FFFFFF"/>
                <w:sz w:val="19"/>
              </w:rPr>
              <w:t>YOLO11s mAP50</w:t>
            </w:r>
          </w:p>
        </w:tc>
      </w:tr>
      <w:tr>
        <w:tc>
          <w:tcPr>
            <w:tcW w:type="dxa" w:w="2268"/>
          </w:tcPr>
          <w:p>
            <w:pPr>
              <w:spacing w:after="0"/>
            </w:pPr>
            <w:r/>
            <w:r>
              <w:rPr>
                <w:sz w:val="19"/>
              </w:rPr>
              <w:t>Dead_Knot</w:t>
            </w:r>
          </w:p>
        </w:tc>
        <w:tc>
          <w:tcPr>
            <w:tcW w:type="dxa" w:w="1417"/>
          </w:tcPr>
          <w:p>
            <w:pPr>
              <w:spacing w:after="0"/>
              <w:jc w:val="center"/>
            </w:pPr>
            <w:r/>
            <w:r>
              <w:rPr>
                <w:sz w:val="19"/>
              </w:rPr>
              <w:t>343</w:t>
            </w:r>
          </w:p>
        </w:tc>
        <w:tc>
          <w:tcPr>
            <w:tcW w:type="dxa" w:w="1701"/>
          </w:tcPr>
          <w:p>
            <w:pPr>
              <w:spacing w:after="0"/>
              <w:jc w:val="center"/>
            </w:pPr>
            <w:r/>
            <w:r>
              <w:rPr>
                <w:sz w:val="19"/>
              </w:rPr>
              <w:t>86.8</w:t>
            </w:r>
          </w:p>
        </w:tc>
        <w:tc>
          <w:tcPr>
            <w:tcW w:type="dxa" w:w="1701"/>
          </w:tcPr>
          <w:p>
            <w:pPr>
              <w:spacing w:after="0"/>
              <w:jc w:val="center"/>
            </w:pPr>
            <w:r/>
            <w:r>
              <w:rPr>
                <w:sz w:val="19"/>
              </w:rPr>
              <w:t>89.1</w:t>
            </w:r>
          </w:p>
        </w:tc>
      </w:tr>
      <w:tr>
        <w:tc>
          <w:tcPr>
            <w:tcW w:type="dxa" w:w="2268"/>
          </w:tcPr>
          <w:p>
            <w:pPr>
              <w:spacing w:after="0"/>
            </w:pPr>
            <w:r/>
            <w:r>
              <w:rPr>
                <w:sz w:val="19"/>
              </w:rPr>
              <w:t>Marrow</w:t>
            </w:r>
          </w:p>
        </w:tc>
        <w:tc>
          <w:tcPr>
            <w:tcW w:type="dxa" w:w="1417"/>
          </w:tcPr>
          <w:p>
            <w:pPr>
              <w:spacing w:after="0"/>
              <w:jc w:val="center"/>
            </w:pPr>
            <w:r/>
            <w:r>
              <w:rPr>
                <w:sz w:val="19"/>
              </w:rPr>
              <w:t>46</w:t>
            </w:r>
          </w:p>
        </w:tc>
        <w:tc>
          <w:tcPr>
            <w:tcW w:type="dxa" w:w="1701"/>
          </w:tcPr>
          <w:p>
            <w:pPr>
              <w:spacing w:after="0"/>
              <w:jc w:val="center"/>
            </w:pPr>
            <w:r/>
            <w:r>
              <w:rPr>
                <w:sz w:val="19"/>
              </w:rPr>
              <w:t>85.8</w:t>
            </w:r>
          </w:p>
        </w:tc>
        <w:tc>
          <w:tcPr>
            <w:tcW w:type="dxa" w:w="1701"/>
          </w:tcPr>
          <w:p>
            <w:pPr>
              <w:spacing w:after="0"/>
              <w:jc w:val="center"/>
            </w:pPr>
            <w:r/>
            <w:r>
              <w:rPr>
                <w:sz w:val="19"/>
              </w:rPr>
              <w:t>87.7</w:t>
            </w:r>
          </w:p>
        </w:tc>
      </w:tr>
      <w:tr>
        <w:tc>
          <w:tcPr>
            <w:tcW w:type="dxa" w:w="2268"/>
          </w:tcPr>
          <w:p>
            <w:pPr>
              <w:spacing w:after="0"/>
            </w:pPr>
            <w:r/>
            <w:r>
              <w:rPr>
                <w:sz w:val="19"/>
              </w:rPr>
              <w:t>Live_Knot</w:t>
            </w:r>
          </w:p>
        </w:tc>
        <w:tc>
          <w:tcPr>
            <w:tcW w:type="dxa" w:w="1417"/>
          </w:tcPr>
          <w:p>
            <w:pPr>
              <w:spacing w:after="0"/>
              <w:jc w:val="center"/>
            </w:pPr>
            <w:r/>
            <w:r>
              <w:rPr>
                <w:sz w:val="19"/>
              </w:rPr>
              <w:t>406</w:t>
            </w:r>
          </w:p>
        </w:tc>
        <w:tc>
          <w:tcPr>
            <w:tcW w:type="dxa" w:w="1701"/>
          </w:tcPr>
          <w:p>
            <w:pPr>
              <w:spacing w:after="0"/>
              <w:jc w:val="center"/>
            </w:pPr>
            <w:r/>
            <w:r>
              <w:rPr>
                <w:sz w:val="19"/>
              </w:rPr>
              <w:t>74.8</w:t>
            </w:r>
          </w:p>
        </w:tc>
        <w:tc>
          <w:tcPr>
            <w:tcW w:type="dxa" w:w="1701"/>
          </w:tcPr>
          <w:p>
            <w:pPr>
              <w:spacing w:after="0"/>
              <w:jc w:val="center"/>
            </w:pPr>
            <w:r/>
            <w:r>
              <w:rPr>
                <w:sz w:val="19"/>
              </w:rPr>
              <w:t>75.8</w:t>
            </w:r>
          </w:p>
        </w:tc>
      </w:tr>
      <w:tr>
        <w:tc>
          <w:tcPr>
            <w:tcW w:type="dxa" w:w="2268"/>
          </w:tcPr>
          <w:p>
            <w:pPr>
              <w:spacing w:after="0"/>
            </w:pPr>
            <w:r/>
            <w:r>
              <w:rPr>
                <w:sz w:val="19"/>
              </w:rPr>
              <w:t>Knot_missing</w:t>
            </w:r>
          </w:p>
        </w:tc>
        <w:tc>
          <w:tcPr>
            <w:tcW w:type="dxa" w:w="1417"/>
          </w:tcPr>
          <w:p>
            <w:pPr>
              <w:spacing w:after="0"/>
              <w:jc w:val="center"/>
            </w:pPr>
            <w:r/>
            <w:r>
              <w:rPr>
                <w:sz w:val="19"/>
              </w:rPr>
              <w:t>24</w:t>
            </w:r>
          </w:p>
        </w:tc>
        <w:tc>
          <w:tcPr>
            <w:tcW w:type="dxa" w:w="1701"/>
          </w:tcPr>
          <w:p>
            <w:pPr>
              <w:spacing w:after="0"/>
              <w:jc w:val="center"/>
            </w:pPr>
            <w:r/>
            <w:r>
              <w:rPr>
                <w:sz w:val="19"/>
              </w:rPr>
              <w:t>62.7</w:t>
            </w:r>
          </w:p>
        </w:tc>
        <w:tc>
          <w:tcPr>
            <w:tcW w:type="dxa" w:w="1701"/>
          </w:tcPr>
          <w:p>
            <w:pPr>
              <w:spacing w:after="0"/>
              <w:jc w:val="center"/>
            </w:pPr>
            <w:r/>
            <w:r>
              <w:rPr>
                <w:sz w:val="19"/>
              </w:rPr>
              <w:t>69.6</w:t>
            </w:r>
          </w:p>
        </w:tc>
      </w:tr>
      <w:tr>
        <w:tc>
          <w:tcPr>
            <w:tcW w:type="dxa" w:w="2268"/>
          </w:tcPr>
          <w:p>
            <w:pPr>
              <w:spacing w:after="0"/>
            </w:pPr>
            <w:r/>
            <w:r>
              <w:rPr>
                <w:sz w:val="19"/>
              </w:rPr>
              <w:t>Knot_with_crack</w:t>
            </w:r>
          </w:p>
        </w:tc>
        <w:tc>
          <w:tcPr>
            <w:tcW w:type="dxa" w:w="1417"/>
          </w:tcPr>
          <w:p>
            <w:pPr>
              <w:spacing w:after="0"/>
              <w:jc w:val="center"/>
            </w:pPr>
            <w:r/>
            <w:r>
              <w:rPr>
                <w:sz w:val="19"/>
              </w:rPr>
              <w:t>30</w:t>
            </w:r>
          </w:p>
        </w:tc>
        <w:tc>
          <w:tcPr>
            <w:tcW w:type="dxa" w:w="1701"/>
          </w:tcPr>
          <w:p>
            <w:pPr>
              <w:spacing w:after="0"/>
              <w:jc w:val="center"/>
            </w:pPr>
            <w:r/>
            <w:r>
              <w:rPr>
                <w:sz w:val="19"/>
              </w:rPr>
              <w:t>61.7</w:t>
            </w:r>
          </w:p>
        </w:tc>
        <w:tc>
          <w:tcPr>
            <w:tcW w:type="dxa" w:w="1701"/>
          </w:tcPr>
          <w:p>
            <w:pPr>
              <w:spacing w:after="0"/>
              <w:jc w:val="center"/>
            </w:pPr>
            <w:r/>
            <w:r>
              <w:rPr>
                <w:sz w:val="19"/>
              </w:rPr>
              <w:t>67.5</w:t>
            </w:r>
          </w:p>
        </w:tc>
      </w:tr>
      <w:tr>
        <w:tc>
          <w:tcPr>
            <w:tcW w:type="dxa" w:w="2268"/>
          </w:tcPr>
          <w:p>
            <w:pPr>
              <w:spacing w:after="0"/>
            </w:pPr>
            <w:r/>
            <w:r>
              <w:rPr>
                <w:sz w:val="19"/>
              </w:rPr>
              <w:t>Resin</w:t>
            </w:r>
          </w:p>
        </w:tc>
        <w:tc>
          <w:tcPr>
            <w:tcW w:type="dxa" w:w="1417"/>
          </w:tcPr>
          <w:p>
            <w:pPr>
              <w:spacing w:after="0"/>
              <w:jc w:val="center"/>
            </w:pPr>
            <w:r/>
            <w:r>
              <w:rPr>
                <w:sz w:val="19"/>
              </w:rPr>
              <w:t>69</w:t>
            </w:r>
          </w:p>
        </w:tc>
        <w:tc>
          <w:tcPr>
            <w:tcW w:type="dxa" w:w="1701"/>
          </w:tcPr>
          <w:p>
            <w:pPr>
              <w:spacing w:after="0"/>
              <w:jc w:val="center"/>
            </w:pPr>
            <w:r/>
            <w:r>
              <w:rPr>
                <w:sz w:val="19"/>
              </w:rPr>
              <w:t>59.5</w:t>
            </w:r>
          </w:p>
        </w:tc>
        <w:tc>
          <w:tcPr>
            <w:tcW w:type="dxa" w:w="1701"/>
          </w:tcPr>
          <w:p>
            <w:pPr>
              <w:spacing w:after="0"/>
              <w:jc w:val="center"/>
            </w:pPr>
            <w:r/>
            <w:r>
              <w:rPr>
                <w:sz w:val="19"/>
              </w:rPr>
              <w:t>60.4</w:t>
            </w:r>
          </w:p>
        </w:tc>
      </w:tr>
      <w:tr>
        <w:tc>
          <w:tcPr>
            <w:tcW w:type="dxa" w:w="2268"/>
          </w:tcPr>
          <w:p>
            <w:pPr>
              <w:spacing w:after="0"/>
            </w:pPr>
            <w:r/>
            <w:r>
              <w:rPr>
                <w:sz w:val="19"/>
              </w:rPr>
              <w:t>Crack</w:t>
            </w:r>
          </w:p>
        </w:tc>
        <w:tc>
          <w:tcPr>
            <w:tcW w:type="dxa" w:w="1417"/>
          </w:tcPr>
          <w:p>
            <w:pPr>
              <w:spacing w:after="0"/>
              <w:jc w:val="center"/>
            </w:pPr>
            <w:r/>
            <w:r>
              <w:rPr>
                <w:sz w:val="19"/>
              </w:rPr>
              <w:t>95</w:t>
            </w:r>
          </w:p>
        </w:tc>
        <w:tc>
          <w:tcPr>
            <w:tcW w:type="dxa" w:w="1701"/>
          </w:tcPr>
          <w:p>
            <w:pPr>
              <w:spacing w:after="0"/>
              <w:jc w:val="center"/>
            </w:pPr>
            <w:r/>
            <w:r>
              <w:rPr>
                <w:sz w:val="19"/>
              </w:rPr>
              <w:t>57.7</w:t>
            </w:r>
          </w:p>
        </w:tc>
        <w:tc>
          <w:tcPr>
            <w:tcW w:type="dxa" w:w="1701"/>
          </w:tcPr>
          <w:p>
            <w:pPr>
              <w:spacing w:after="0"/>
              <w:jc w:val="center"/>
            </w:pPr>
            <w:r/>
            <w:r>
              <w:rPr>
                <w:sz w:val="19"/>
              </w:rPr>
              <w:t>53.0</w:t>
            </w:r>
          </w:p>
        </w:tc>
      </w:tr>
      <w:tr>
        <w:tc>
          <w:tcPr>
            <w:tcW w:type="dxa" w:w="2268"/>
          </w:tcPr>
          <w:p>
            <w:pPr>
              <w:spacing w:after="0"/>
            </w:pPr>
            <w:r/>
            <w:r>
              <w:rPr>
                <w:sz w:val="19"/>
              </w:rPr>
              <w:t>Quartzity</w:t>
            </w:r>
          </w:p>
        </w:tc>
        <w:tc>
          <w:tcPr>
            <w:tcW w:type="dxa" w:w="1417"/>
          </w:tcPr>
          <w:p>
            <w:pPr>
              <w:spacing w:after="0"/>
              <w:jc w:val="center"/>
            </w:pPr>
            <w:r/>
            <w:r>
              <w:rPr>
                <w:sz w:val="19"/>
              </w:rPr>
              <w:t>10</w:t>
            </w:r>
          </w:p>
        </w:tc>
        <w:tc>
          <w:tcPr>
            <w:tcW w:type="dxa" w:w="1701"/>
          </w:tcPr>
          <w:p>
            <w:pPr>
              <w:spacing w:after="0"/>
              <w:jc w:val="center"/>
            </w:pPr>
            <w:r/>
            <w:r>
              <w:rPr>
                <w:sz w:val="19"/>
              </w:rPr>
              <w:t>15.4</w:t>
            </w:r>
          </w:p>
        </w:tc>
        <w:tc>
          <w:tcPr>
            <w:tcW w:type="dxa" w:w="1701"/>
          </w:tcPr>
          <w:p>
            <w:pPr>
              <w:spacing w:after="0"/>
              <w:jc w:val="center"/>
            </w:pPr>
            <w:r/>
            <w:r>
              <w:rPr>
                <w:sz w:val="19"/>
              </w:rPr>
              <w:t>13.4</w:t>
            </w:r>
          </w:p>
        </w:tc>
      </w:tr>
    </w:tbl>
    <w:p>
      <w:pPr>
        <w:spacing w:after="40"/>
      </w:pPr>
    </w:p>
    <w:p>
      <w:r>
        <w:rPr>
          <w:i w:val="0"/>
        </w:rPr>
        <w:t>The two models were tied, so a bigger network was not the answer. The score was held down by the data: Quartzity (125 training boxes) was not learned at all (13-15 mAP50), Crack is thin and faint (53-58), and the rare knot types were confused with each other. The training set is 37:1 imbalanced (2,899 Live_Knot boxes against 78 Knot_missing). This is the accuracy issue that led the guide to suggest a mathematical model.</w:t>
      </w:r>
    </w:p>
    <w:p>
      <w:pPr>
        <w:pStyle w:val="Heading1"/>
      </w:pPr>
      <w:r>
        <w:t>4. Phase 2: from 50 % to completion (17 September - 8 October)</w:t>
      </w:r>
    </w:p>
    <w:p>
      <w:r>
        <w:rPr>
          <w:i w:val="0"/>
        </w:rPr>
        <w:t>Every item promised at the 50 % review was implemented. Each choice was made on the 17 validation boards and each candidate final model was tested once, so the test numbers are honest.</w:t>
      </w:r>
    </w:p>
    <w:tbl>
      <w:tblPr>
        <w:tblStyle w:val="TableGrid"/>
        <w:tblW w:type="auto" w:w="0"/>
        <w:jc w:val="center"/>
        <w:tblLook w:firstColumn="1" w:firstRow="1" w:lastColumn="0" w:lastRow="0" w:noHBand="0" w:noVBand="1" w:val="04A0"/>
      </w:tblPr>
      <w:tblGrid>
        <w:gridCol w:w="3137"/>
        <w:gridCol w:w="3137"/>
        <w:gridCol w:w="3137"/>
      </w:tblGrid>
      <w:tr>
        <w:tc>
          <w:tcPr>
            <w:tcW w:type="dxa" w:w="2551"/>
            <w:shd w:val="clear" w:color="auto" w:fill="3E4A3F"/>
          </w:tcPr>
          <w:p>
            <w:pPr>
              <w:spacing w:after="0"/>
            </w:pPr>
            <w:r/>
            <w:r>
              <w:rPr>
                <w:b/>
                <w:color w:val="FFFFFF"/>
                <w:sz w:val="18"/>
              </w:rPr>
              <w:t>Promised at 50 %</w:t>
            </w:r>
          </w:p>
        </w:tc>
        <w:tc>
          <w:tcPr>
            <w:tcW w:type="dxa" w:w="3685"/>
            <w:shd w:val="clear" w:color="auto" w:fill="3E4A3F"/>
          </w:tcPr>
          <w:p>
            <w:pPr>
              <w:spacing w:after="0"/>
            </w:pPr>
            <w:r/>
            <w:r>
              <w:rPr>
                <w:b/>
                <w:color w:val="FFFFFF"/>
                <w:sz w:val="18"/>
              </w:rPr>
              <w:t>What we did</w:t>
            </w:r>
          </w:p>
        </w:tc>
        <w:tc>
          <w:tcPr>
            <w:tcW w:type="dxa" w:w="3118"/>
            <w:shd w:val="clear" w:color="auto" w:fill="3E4A3F"/>
          </w:tcPr>
          <w:p>
            <w:pPr>
              <w:spacing w:after="0"/>
            </w:pPr>
            <w:r/>
            <w:r>
              <w:rPr>
                <w:b/>
                <w:color w:val="FFFFFF"/>
                <w:sz w:val="18"/>
              </w:rPr>
              <w:t>Outcome</w:t>
            </w:r>
          </w:p>
        </w:tc>
      </w:tr>
      <w:tr>
        <w:tc>
          <w:tcPr>
            <w:tcW w:type="dxa" w:w="2551"/>
          </w:tcPr>
          <w:p>
            <w:pPr>
              <w:spacing w:after="0"/>
            </w:pPr>
            <w:r/>
            <w:r>
              <w:rPr>
                <w:sz w:val="18"/>
              </w:rPr>
              <w:t>More samples for rare classes</w:t>
            </w:r>
          </w:p>
        </w:tc>
        <w:tc>
          <w:tcPr>
            <w:tcW w:type="dxa" w:w="3685"/>
          </w:tcPr>
          <w:p>
            <w:pPr>
              <w:spacing w:after="0"/>
              <w:jc w:val="center"/>
            </w:pPr>
            <w:r/>
            <w:r>
              <w:rPr>
                <w:sz w:val="18"/>
              </w:rPr>
              <w:t>Kept the 4 most frequent classes; copy-paste balancing of real defect crops</w:t>
            </w:r>
          </w:p>
        </w:tc>
        <w:tc>
          <w:tcPr>
            <w:tcW w:type="dxa" w:w="3118"/>
          </w:tcPr>
          <w:p>
            <w:pPr>
              <w:spacing w:after="0"/>
              <w:jc w:val="center"/>
            </w:pPr>
            <w:r/>
            <w:r>
              <w:rPr>
                <w:sz w:val="18"/>
              </w:rPr>
              <w:t>Better on validation, not significant on test</w:t>
            </w:r>
          </w:p>
        </w:tc>
      </w:tr>
      <w:tr>
        <w:tc>
          <w:tcPr>
            <w:tcW w:type="dxa" w:w="2551"/>
          </w:tcPr>
          <w:p>
            <w:pPr>
              <w:spacing w:after="0"/>
            </w:pPr>
            <w:r/>
            <w:r>
              <w:rPr>
                <w:sz w:val="18"/>
              </w:rPr>
              <w:t>Higher-resolution input</w:t>
            </w:r>
          </w:p>
        </w:tc>
        <w:tc>
          <w:tcPr>
            <w:tcW w:type="dxa" w:w="3685"/>
          </w:tcPr>
          <w:p>
            <w:pPr>
              <w:spacing w:after="0"/>
              <w:jc w:val="center"/>
            </w:pPr>
            <w:r/>
            <w:r>
              <w:rPr>
                <w:sz w:val="18"/>
              </w:rPr>
              <w:t>Trained at 1280 px (1280 x 480) as well as 1024 px</w:t>
            </w:r>
          </w:p>
        </w:tc>
        <w:tc>
          <w:tcPr>
            <w:tcW w:type="dxa" w:w="3118"/>
          </w:tcPr>
          <w:p>
            <w:pPr>
              <w:spacing w:after="0"/>
              <w:jc w:val="center"/>
            </w:pPr>
            <w:r/>
            <w:r>
              <w:rPr>
                <w:sz w:val="18"/>
              </w:rPr>
              <w:t>Not better on validation</w:t>
            </w:r>
          </w:p>
        </w:tc>
      </w:tr>
      <w:tr>
        <w:tc>
          <w:tcPr>
            <w:tcW w:type="dxa" w:w="2551"/>
          </w:tcPr>
          <w:p>
            <w:pPr>
              <w:spacing w:after="0"/>
            </w:pPr>
            <w:r/>
            <w:r>
              <w:rPr>
                <w:sz w:val="18"/>
              </w:rPr>
              <w:t>Mathematical model: fusion, Wise-IoU, thresholds, statistics</w:t>
            </w:r>
          </w:p>
        </w:tc>
        <w:tc>
          <w:tcPr>
            <w:tcW w:type="dxa" w:w="3685"/>
          </w:tcPr>
          <w:p>
            <w:pPr>
              <w:spacing w:after="0"/>
              <w:jc w:val="center"/>
            </w:pPr>
            <w:r/>
            <w:r>
              <w:rPr>
                <w:sz w:val="18"/>
              </w:rPr>
              <w:t>Implemented all four (Section 5)</w:t>
            </w:r>
          </w:p>
        </w:tc>
        <w:tc>
          <w:tcPr>
            <w:tcW w:type="dxa" w:w="3118"/>
          </w:tcPr>
          <w:p>
            <w:pPr>
              <w:spacing w:after="0"/>
              <w:jc w:val="center"/>
            </w:pPr>
            <w:r/>
            <w:r>
              <w:rPr>
                <w:sz w:val="18"/>
              </w:rPr>
              <w:t>Fusion adopted: significant gain</w:t>
            </w:r>
          </w:p>
        </w:tc>
      </w:tr>
      <w:tr>
        <w:tc>
          <w:tcPr>
            <w:tcW w:type="dxa" w:w="2551"/>
          </w:tcPr>
          <w:p>
            <w:pPr>
              <w:spacing w:after="0"/>
            </w:pPr>
            <w:r/>
            <w:r>
              <w:rPr>
                <w:sz w:val="18"/>
              </w:rPr>
              <w:t>CWB-style architecture</w:t>
            </w:r>
          </w:p>
        </w:tc>
        <w:tc>
          <w:tcPr>
            <w:tcW w:type="dxa" w:w="3685"/>
          </w:tcPr>
          <w:p>
            <w:pPr>
              <w:spacing w:after="0"/>
              <w:jc w:val="center"/>
            </w:pPr>
            <w:r/>
            <w:r>
              <w:rPr>
                <w:sz w:val="18"/>
              </w:rPr>
              <w:t>Wise-IoU (the CWB loss) implemented and tested</w:t>
            </w:r>
          </w:p>
        </w:tc>
        <w:tc>
          <w:tcPr>
            <w:tcW w:type="dxa" w:w="3118"/>
          </w:tcPr>
          <w:p>
            <w:pPr>
              <w:spacing w:after="0"/>
              <w:jc w:val="center"/>
            </w:pPr>
            <w:r/>
            <w:r>
              <w:rPr>
                <w:sz w:val="18"/>
              </w:rPr>
              <w:t>Not better; CondConv / BiFormer left as future work</w:t>
            </w:r>
          </w:p>
        </w:tc>
      </w:tr>
      <w:tr>
        <w:tc>
          <w:tcPr>
            <w:tcW w:type="dxa" w:w="2551"/>
          </w:tcPr>
          <w:p>
            <w:pPr>
              <w:spacing w:after="0"/>
            </w:pPr>
            <w:r/>
            <w:r>
              <w:rPr>
                <w:sz w:val="18"/>
              </w:rPr>
              <w:t>Image enhancement (CLAHE, denoising)</w:t>
            </w:r>
          </w:p>
        </w:tc>
        <w:tc>
          <w:tcPr>
            <w:tcW w:type="dxa" w:w="3685"/>
          </w:tcPr>
          <w:p>
            <w:pPr>
              <w:spacing w:after="0"/>
              <w:jc w:val="center"/>
            </w:pPr>
            <w:r/>
            <w:r>
              <w:rPr>
                <w:sz w:val="18"/>
              </w:rPr>
              <w:t>Study under 6 imaging conditions on validation</w:t>
            </w:r>
          </w:p>
        </w:tc>
        <w:tc>
          <w:tcPr>
            <w:tcW w:type="dxa" w:w="3118"/>
          </w:tcPr>
          <w:p>
            <w:pPr>
              <w:spacing w:after="0"/>
              <w:jc w:val="center"/>
            </w:pPr>
            <w:r/>
            <w:r>
              <w:rPr>
                <w:sz w:val="18"/>
              </w:rPr>
              <w:t>No gain on normal images (Section 4.3)</w:t>
            </w:r>
          </w:p>
        </w:tc>
      </w:tr>
      <w:tr>
        <w:tc>
          <w:tcPr>
            <w:tcW w:type="dxa" w:w="2551"/>
          </w:tcPr>
          <w:p>
            <w:pPr>
              <w:spacing w:after="0"/>
            </w:pPr>
            <w:r/>
            <w:r>
              <w:rPr>
                <w:sz w:val="18"/>
              </w:rPr>
              <w:t>Recoverability grading rule</w:t>
            </w:r>
          </w:p>
        </w:tc>
        <w:tc>
          <w:tcPr>
            <w:tcW w:type="dxa" w:w="3685"/>
          </w:tcPr>
          <w:p>
            <w:pPr>
              <w:spacing w:after="0"/>
              <w:jc w:val="center"/>
            </w:pPr>
            <w:r/>
            <w:r>
              <w:rPr>
                <w:sz w:val="18"/>
              </w:rPr>
              <w:t>Guide's BRI implemented, adapted and validated (Section 6)</w:t>
            </w:r>
          </w:p>
        </w:tc>
        <w:tc>
          <w:tcPr>
            <w:tcW w:type="dxa" w:w="3118"/>
          </w:tcPr>
          <w:p>
            <w:pPr>
              <w:spacing w:after="0"/>
              <w:jc w:val="center"/>
            </w:pPr>
            <w:r/>
            <w:r>
              <w:rPr>
                <w:sz w:val="18"/>
              </w:rPr>
              <w:t>Weighted kappa 0.83</w:t>
            </w:r>
          </w:p>
        </w:tc>
      </w:tr>
      <w:tr>
        <w:tc>
          <w:tcPr>
            <w:tcW w:type="dxa" w:w="2551"/>
          </w:tcPr>
          <w:p>
            <w:pPr>
              <w:spacing w:after="0"/>
            </w:pPr>
            <w:r/>
            <w:r>
              <w:rPr>
                <w:sz w:val="18"/>
              </w:rPr>
              <w:t>Market-price analytics</w:t>
            </w:r>
          </w:p>
        </w:tc>
        <w:tc>
          <w:tcPr>
            <w:tcW w:type="dxa" w:w="3685"/>
          </w:tcPr>
          <w:p>
            <w:pPr>
              <w:spacing w:after="0"/>
              <w:jc w:val="center"/>
            </w:pPr>
            <w:r/>
            <w:r>
              <w:rPr>
                <w:sz w:val="18"/>
              </w:rPr>
              <w:t>Grade-to-value estimate in the application</w:t>
            </w:r>
          </w:p>
        </w:tc>
        <w:tc>
          <w:tcPr>
            <w:tcW w:type="dxa" w:w="3118"/>
          </w:tcPr>
          <w:p>
            <w:pPr>
              <w:spacing w:after="0"/>
              <w:jc w:val="center"/>
            </w:pPr>
            <w:r/>
            <w:r>
              <w:rPr>
                <w:sz w:val="18"/>
              </w:rPr>
              <w:t>Done (inputs editable)</w:t>
            </w:r>
          </w:p>
        </w:tc>
      </w:tr>
      <w:tr>
        <w:tc>
          <w:tcPr>
            <w:tcW w:type="dxa" w:w="2551"/>
          </w:tcPr>
          <w:p>
            <w:pPr>
              <w:spacing w:after="0"/>
            </w:pPr>
            <w:r/>
            <w:r>
              <w:rPr>
                <w:sz w:val="18"/>
              </w:rPr>
              <w:t>Multi-seed runs</w:t>
            </w:r>
          </w:p>
        </w:tc>
        <w:tc>
          <w:tcPr>
            <w:tcW w:type="dxa" w:w="3685"/>
          </w:tcPr>
          <w:p>
            <w:pPr>
              <w:spacing w:after="0"/>
              <w:jc w:val="center"/>
            </w:pPr>
            <w:r/>
            <w:r>
              <w:rPr>
                <w:sz w:val="18"/>
              </w:rPr>
              <w:t>Final setup repeated with 3 seeds</w:t>
            </w:r>
          </w:p>
        </w:tc>
        <w:tc>
          <w:tcPr>
            <w:tcW w:type="dxa" w:w="3118"/>
          </w:tcPr>
          <w:p>
            <w:pPr>
              <w:spacing w:after="0"/>
              <w:jc w:val="center"/>
            </w:pPr>
            <w:r/>
            <w:r>
              <w:rPr>
                <w:sz w:val="18"/>
              </w:rPr>
              <w:t>Spread 0.8 mAP50</w:t>
            </w:r>
          </w:p>
        </w:tc>
      </w:tr>
      <w:tr>
        <w:tc>
          <w:tcPr>
            <w:tcW w:type="dxa" w:w="2551"/>
          </w:tcPr>
          <w:p>
            <w:pPr>
              <w:spacing w:after="0"/>
            </w:pPr>
            <w:r/>
            <w:r>
              <w:rPr>
                <w:sz w:val="18"/>
              </w:rPr>
              <w:t>Final evaluation and application</w:t>
            </w:r>
          </w:p>
        </w:tc>
        <w:tc>
          <w:tcPr>
            <w:tcW w:type="dxa" w:w="3685"/>
          </w:tcPr>
          <w:p>
            <w:pPr>
              <w:spacing w:after="0"/>
              <w:jc w:val="center"/>
            </w:pPr>
            <w:r/>
            <w:r>
              <w:rPr>
                <w:sz w:val="18"/>
              </w:rPr>
              <w:t>Single-shot test; app with grading and value</w:t>
            </w:r>
          </w:p>
        </w:tc>
        <w:tc>
          <w:tcPr>
            <w:tcW w:type="dxa" w:w="3118"/>
          </w:tcPr>
          <w:p>
            <w:pPr>
              <w:spacing w:after="0"/>
              <w:jc w:val="center"/>
            </w:pPr>
            <w:r/>
            <w:r>
              <w:rPr>
                <w:sz w:val="18"/>
              </w:rPr>
              <w:t>Done; final deck prepared</w:t>
            </w:r>
          </w:p>
        </w:tc>
      </w:tr>
    </w:tbl>
    <w:p>
      <w:pPr>
        <w:spacing w:after="40"/>
      </w:pPr>
    </w:p>
    <w:p>
      <w:pPr>
        <w:pStyle w:val="Heading2"/>
      </w:pPr>
      <w:r>
        <w:t>4.1 Why four classes</w:t>
      </w:r>
    </w:p>
    <w:p>
      <w:r>
        <w:rPr>
          <w:i w:val="0"/>
        </w:rPr>
        <w:t>The final system detects the four defect classes with the most data: Live_Knot, Dead_Knot, Resin and Crack (4,018 / 2,896 / 646 / 512 boxes). Crack, the most severe defect, is kept. The other four classes have too few examples (78-125 training boxes) to learn or to measure reliably on 12 test boards. On these four classes the 8-class YOLO11s scores 69.6 mAP50 on test; that, not 64.6, is the fair starting point for every 4-class comparison.</w:t>
      </w:r>
    </w:p>
    <w:p>
      <w:pPr>
        <w:pStyle w:val="Heading2"/>
      </w:pPr>
      <w:r>
        <w:t>4.2 All runs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252"/>
            <w:shd w:val="clear" w:color="auto" w:fill="3E4A3F"/>
          </w:tcPr>
          <w:p>
            <w:pPr>
              <w:spacing w:after="0"/>
            </w:pPr>
            <w:r/>
            <w:r>
              <w:rPr>
                <w:b/>
                <w:color w:val="FFFFFF"/>
                <w:sz w:val="19"/>
              </w:rPr>
              <w:t>Model (YOLO11s unless stated)</w:t>
            </w:r>
          </w:p>
        </w:tc>
        <w:tc>
          <w:tcPr>
            <w:tcW w:type="dxa" w:w="1587"/>
            <w:shd w:val="clear" w:color="auto" w:fill="3E4A3F"/>
          </w:tcPr>
          <w:p>
            <w:pPr>
              <w:spacing w:after="0"/>
            </w:pPr>
            <w:r/>
            <w:r>
              <w:rPr>
                <w:b/>
                <w:color w:val="FFFFFF"/>
                <w:sz w:val="19"/>
              </w:rPr>
              <w:t>Val mAP50</w:t>
            </w:r>
          </w:p>
        </w:tc>
        <w:tc>
          <w:tcPr>
            <w:tcW w:type="dxa" w:w="1587"/>
            <w:shd w:val="clear" w:color="auto" w:fill="3E4A3F"/>
          </w:tcPr>
          <w:p>
            <w:pPr>
              <w:spacing w:after="0"/>
            </w:pPr>
            <w:r/>
            <w:r>
              <w:rPr>
                <w:b/>
                <w:color w:val="FFFFFF"/>
                <w:sz w:val="19"/>
              </w:rPr>
              <w:t>Test mAP50</w:t>
            </w:r>
          </w:p>
        </w:tc>
        <w:tc>
          <w:tcPr>
            <w:tcW w:type="dxa" w:w="1701"/>
            <w:shd w:val="clear" w:color="auto" w:fill="3E4A3F"/>
          </w:tcPr>
          <w:p>
            <w:pPr>
              <w:spacing w:after="0"/>
            </w:pPr>
            <w:r/>
            <w:r>
              <w:rPr>
                <w:b/>
                <w:color w:val="FFFFFF"/>
                <w:sz w:val="19"/>
              </w:rPr>
              <w:t>Test mAP50-95</w:t>
            </w:r>
          </w:p>
        </w:tc>
      </w:tr>
      <w:tr>
        <w:tc>
          <w:tcPr>
            <w:tcW w:type="dxa" w:w="4252"/>
          </w:tcPr>
          <w:p>
            <w:pPr>
              <w:spacing w:after="0"/>
            </w:pPr>
            <w:r/>
            <w:r>
              <w:rPr>
                <w:sz w:val="19"/>
              </w:rPr>
              <w:t>8-class YOLO11s, scored on the 4 classes</w:t>
            </w:r>
          </w:p>
        </w:tc>
        <w:tc>
          <w:tcPr>
            <w:tcW w:type="dxa" w:w="1587"/>
          </w:tcPr>
          <w:p>
            <w:pPr>
              <w:spacing w:after="0"/>
              <w:jc w:val="center"/>
            </w:pPr>
            <w:r/>
            <w:r>
              <w:rPr>
                <w:sz w:val="19"/>
              </w:rPr>
              <w:t>73.8</w:t>
            </w:r>
          </w:p>
        </w:tc>
        <w:tc>
          <w:tcPr>
            <w:tcW w:type="dxa" w:w="1587"/>
          </w:tcPr>
          <w:p>
            <w:pPr>
              <w:spacing w:after="0"/>
              <w:jc w:val="center"/>
            </w:pPr>
            <w:r/>
            <w:r>
              <w:rPr>
                <w:sz w:val="19"/>
              </w:rPr>
              <w:t>69.6</w:t>
            </w:r>
          </w:p>
        </w:tc>
        <w:tc>
          <w:tcPr>
            <w:tcW w:type="dxa" w:w="1701"/>
          </w:tcPr>
          <w:p>
            <w:pPr>
              <w:spacing w:after="0"/>
              <w:jc w:val="center"/>
            </w:pPr>
            <w:r/>
            <w:r>
              <w:rPr>
                <w:sz w:val="19"/>
              </w:rPr>
              <w:t>32.9</w:t>
            </w:r>
          </w:p>
        </w:tc>
      </w:tr>
      <w:tr>
        <w:tc>
          <w:tcPr>
            <w:tcW w:type="dxa" w:w="4252"/>
          </w:tcPr>
          <w:p>
            <w:pPr>
              <w:spacing w:after="0"/>
            </w:pPr>
            <w:r/>
            <w:r>
              <w:rPr>
                <w:sz w:val="19"/>
              </w:rPr>
              <w:t>4 classes, no balancing, 1024 px</w:t>
            </w:r>
          </w:p>
        </w:tc>
        <w:tc>
          <w:tcPr>
            <w:tcW w:type="dxa" w:w="1587"/>
          </w:tcPr>
          <w:p>
            <w:pPr>
              <w:spacing w:after="0"/>
              <w:jc w:val="center"/>
            </w:pPr>
            <w:r/>
            <w:r>
              <w:rPr>
                <w:sz w:val="19"/>
              </w:rPr>
              <w:t>73.1</w:t>
            </w:r>
          </w:p>
        </w:tc>
        <w:tc>
          <w:tcPr>
            <w:tcW w:type="dxa" w:w="1587"/>
          </w:tcPr>
          <w:p>
            <w:pPr>
              <w:spacing w:after="0"/>
              <w:jc w:val="center"/>
            </w:pPr>
            <w:r/>
            <w:r>
              <w:rPr>
                <w:sz w:val="19"/>
              </w:rPr>
              <w:t>71.7</w:t>
            </w:r>
          </w:p>
        </w:tc>
        <w:tc>
          <w:tcPr>
            <w:tcW w:type="dxa" w:w="1701"/>
          </w:tcPr>
          <w:p>
            <w:pPr>
              <w:spacing w:after="0"/>
              <w:jc w:val="center"/>
            </w:pPr>
            <w:r/>
            <w:r>
              <w:rPr>
                <w:sz w:val="19"/>
              </w:rPr>
              <w:t>33.4</w:t>
            </w:r>
          </w:p>
        </w:tc>
      </w:tr>
      <w:tr>
        <w:tc>
          <w:tcPr>
            <w:tcW w:type="dxa" w:w="4252"/>
          </w:tcPr>
          <w:p>
            <w:pPr>
              <w:spacing w:after="0"/>
            </w:pPr>
            <w:r/>
            <w:r>
              <w:rPr>
                <w:sz w:val="19"/>
              </w:rPr>
              <w:t>4 classes, full balance 1:1</w:t>
            </w:r>
          </w:p>
        </w:tc>
        <w:tc>
          <w:tcPr>
            <w:tcW w:type="dxa" w:w="1587"/>
          </w:tcPr>
          <w:p>
            <w:pPr>
              <w:spacing w:after="0"/>
              <w:jc w:val="center"/>
            </w:pPr>
            <w:r/>
            <w:r>
              <w:rPr>
                <w:sz w:val="19"/>
              </w:rPr>
              <w:t>71.9</w:t>
            </w:r>
          </w:p>
        </w:tc>
        <w:tc>
          <w:tcPr>
            <w:tcW w:type="dxa" w:w="1587"/>
          </w:tcPr>
          <w:p>
            <w:pPr>
              <w:spacing w:after="0"/>
              <w:jc w:val="center"/>
            </w:pPr>
            <w:r/>
            <w:r>
              <w:rPr>
                <w:sz w:val="19"/>
              </w:rPr>
              <w:t>not tested</w:t>
            </w:r>
          </w:p>
        </w:tc>
        <w:tc>
          <w:tcPr>
            <w:tcW w:type="dxa" w:w="1701"/>
          </w:tcPr>
          <w:p>
            <w:pPr>
              <w:spacing w:after="0"/>
              <w:jc w:val="center"/>
            </w:pPr>
            <w:r/>
            <w:r>
              <w:rPr>
                <w:sz w:val="19"/>
              </w:rPr>
              <w:t>-</w:t>
            </w:r>
          </w:p>
        </w:tc>
      </w:tr>
      <w:tr>
        <w:tc>
          <w:tcPr>
            <w:tcW w:type="dxa" w:w="4252"/>
          </w:tcPr>
          <w:p>
            <w:pPr>
              <w:spacing w:after="0"/>
            </w:pPr>
            <w:r/>
            <w:r>
              <w:rPr>
                <w:sz w:val="19"/>
              </w:rPr>
              <w:t>4 classes, partial balance 3:1, 1024 px (best single)</w:t>
            </w:r>
          </w:p>
        </w:tc>
        <w:tc>
          <w:tcPr>
            <w:tcW w:type="dxa" w:w="1587"/>
          </w:tcPr>
          <w:p>
            <w:pPr>
              <w:spacing w:after="0"/>
              <w:jc w:val="center"/>
            </w:pPr>
            <w:r/>
            <w:r>
              <w:rPr>
                <w:sz w:val="19"/>
              </w:rPr>
              <w:t>75.3</w:t>
            </w:r>
          </w:p>
        </w:tc>
        <w:tc>
          <w:tcPr>
            <w:tcW w:type="dxa" w:w="1587"/>
          </w:tcPr>
          <w:p>
            <w:pPr>
              <w:spacing w:after="0"/>
              <w:jc w:val="center"/>
            </w:pPr>
            <w:r/>
            <w:r>
              <w:rPr>
                <w:sz w:val="19"/>
              </w:rPr>
              <w:t>69.2</w:t>
            </w:r>
          </w:p>
        </w:tc>
        <w:tc>
          <w:tcPr>
            <w:tcW w:type="dxa" w:w="1701"/>
          </w:tcPr>
          <w:p>
            <w:pPr>
              <w:spacing w:after="0"/>
              <w:jc w:val="center"/>
            </w:pPr>
            <w:r/>
            <w:r>
              <w:rPr>
                <w:sz w:val="19"/>
              </w:rPr>
              <w:t>33.1</w:t>
            </w:r>
          </w:p>
        </w:tc>
      </w:tr>
      <w:tr>
        <w:tc>
          <w:tcPr>
            <w:tcW w:type="dxa" w:w="4252"/>
          </w:tcPr>
          <w:p>
            <w:pPr>
              <w:spacing w:after="0"/>
            </w:pPr>
            <w:r/>
            <w:r>
              <w:rPr>
                <w:sz w:val="19"/>
              </w:rPr>
              <w:t>4 classes, partial balance, 1280 px</w:t>
            </w:r>
          </w:p>
        </w:tc>
        <w:tc>
          <w:tcPr>
            <w:tcW w:type="dxa" w:w="1587"/>
          </w:tcPr>
          <w:p>
            <w:pPr>
              <w:spacing w:after="0"/>
              <w:jc w:val="center"/>
            </w:pPr>
            <w:r/>
            <w:r>
              <w:rPr>
                <w:sz w:val="19"/>
              </w:rPr>
              <w:t>74.6</w:t>
            </w:r>
          </w:p>
        </w:tc>
        <w:tc>
          <w:tcPr>
            <w:tcW w:type="dxa" w:w="1587"/>
          </w:tcPr>
          <w:p>
            <w:pPr>
              <w:spacing w:after="0"/>
              <w:jc w:val="center"/>
            </w:pPr>
            <w:r/>
            <w:r>
              <w:rPr>
                <w:sz w:val="19"/>
              </w:rPr>
              <w:t>71.6</w:t>
            </w:r>
          </w:p>
        </w:tc>
        <w:tc>
          <w:tcPr>
            <w:tcW w:type="dxa" w:w="1701"/>
          </w:tcPr>
          <w:p>
            <w:pPr>
              <w:spacing w:after="0"/>
              <w:jc w:val="center"/>
            </w:pPr>
            <w:r/>
            <w:r>
              <w:rPr>
                <w:sz w:val="19"/>
              </w:rPr>
              <w:t>34.3</w:t>
            </w:r>
          </w:p>
        </w:tc>
      </w:tr>
      <w:tr>
        <w:tc>
          <w:tcPr>
            <w:tcW w:type="dxa" w:w="4252"/>
          </w:tcPr>
          <w:p>
            <w:pPr>
              <w:spacing w:after="0"/>
            </w:pPr>
            <w:r/>
            <w:r>
              <w:rPr>
                <w:sz w:val="19"/>
              </w:rPr>
              <w:t>4 classes, no balancing, 1280 px</w:t>
            </w:r>
          </w:p>
        </w:tc>
        <w:tc>
          <w:tcPr>
            <w:tcW w:type="dxa" w:w="1587"/>
          </w:tcPr>
          <w:p>
            <w:pPr>
              <w:spacing w:after="0"/>
              <w:jc w:val="center"/>
            </w:pPr>
            <w:r/>
            <w:r>
              <w:rPr>
                <w:sz w:val="19"/>
              </w:rPr>
              <w:t>71.5</w:t>
            </w:r>
          </w:p>
        </w:tc>
        <w:tc>
          <w:tcPr>
            <w:tcW w:type="dxa" w:w="1587"/>
          </w:tcPr>
          <w:p>
            <w:pPr>
              <w:spacing w:after="0"/>
              <w:jc w:val="center"/>
            </w:pPr>
            <w:r/>
            <w:r>
              <w:rPr>
                <w:sz w:val="19"/>
              </w:rPr>
              <w:t>67.5</w:t>
            </w:r>
          </w:p>
        </w:tc>
        <w:tc>
          <w:tcPr>
            <w:tcW w:type="dxa" w:w="1701"/>
          </w:tcPr>
          <w:p>
            <w:pPr>
              <w:spacing w:after="0"/>
              <w:jc w:val="center"/>
            </w:pPr>
            <w:r/>
            <w:r>
              <w:rPr>
                <w:sz w:val="19"/>
              </w:rPr>
              <w:t>30.7</w:t>
            </w:r>
          </w:p>
        </w:tc>
      </w:tr>
      <w:tr>
        <w:tc>
          <w:tcPr>
            <w:tcW w:type="dxa" w:w="4252"/>
          </w:tcPr>
          <w:p>
            <w:pPr>
              <w:spacing w:after="0"/>
            </w:pPr>
            <w:r/>
            <w:r>
              <w:rPr>
                <w:sz w:val="19"/>
              </w:rPr>
              <w:t>Wise-IoU loss, final setup</w:t>
            </w:r>
          </w:p>
        </w:tc>
        <w:tc>
          <w:tcPr>
            <w:tcW w:type="dxa" w:w="1587"/>
          </w:tcPr>
          <w:p>
            <w:pPr>
              <w:spacing w:after="0"/>
              <w:jc w:val="center"/>
            </w:pPr>
            <w:r/>
            <w:r>
              <w:rPr>
                <w:sz w:val="19"/>
              </w:rPr>
              <w:t>74.6</w:t>
            </w:r>
          </w:p>
        </w:tc>
        <w:tc>
          <w:tcPr>
            <w:tcW w:type="dxa" w:w="1587"/>
          </w:tcPr>
          <w:p>
            <w:pPr>
              <w:spacing w:after="0"/>
              <w:jc w:val="center"/>
            </w:pPr>
            <w:r/>
            <w:r>
              <w:rPr>
                <w:sz w:val="19"/>
              </w:rPr>
              <w:t>not tested</w:t>
            </w:r>
          </w:p>
        </w:tc>
        <w:tc>
          <w:tcPr>
            <w:tcW w:type="dxa" w:w="1701"/>
          </w:tcPr>
          <w:p>
            <w:pPr>
              <w:spacing w:after="0"/>
              <w:jc w:val="center"/>
            </w:pPr>
            <w:r/>
            <w:r>
              <w:rPr>
                <w:sz w:val="19"/>
              </w:rPr>
              <w:t>-</w:t>
            </w:r>
          </w:p>
        </w:tc>
      </w:tr>
      <w:tr>
        <w:tc>
          <w:tcPr>
            <w:tcW w:type="dxa" w:w="4252"/>
          </w:tcPr>
          <w:p>
            <w:pPr>
              <w:spacing w:after="0"/>
            </w:pPr>
            <w:r/>
            <w:r>
              <w:rPr>
                <w:sz w:val="19"/>
              </w:rPr>
              <w:t>Seeds 42 / 1 / 2, final setup</w:t>
            </w:r>
          </w:p>
        </w:tc>
        <w:tc>
          <w:tcPr>
            <w:tcW w:type="dxa" w:w="1587"/>
          </w:tcPr>
          <w:p>
            <w:pPr>
              <w:spacing w:after="0"/>
              <w:jc w:val="center"/>
            </w:pPr>
            <w:r/>
            <w:r>
              <w:rPr>
                <w:sz w:val="19"/>
              </w:rPr>
              <w:t>75.3 / 74.8 / 75.6</w:t>
            </w:r>
          </w:p>
        </w:tc>
        <w:tc>
          <w:tcPr>
            <w:tcW w:type="dxa" w:w="1587"/>
          </w:tcPr>
          <w:p>
            <w:pPr>
              <w:spacing w:after="0"/>
              <w:jc w:val="center"/>
            </w:pPr>
            <w:r/>
            <w:r>
              <w:rPr>
                <w:sz w:val="19"/>
              </w:rPr>
              <w:t>-</w:t>
            </w:r>
          </w:p>
        </w:tc>
        <w:tc>
          <w:tcPr>
            <w:tcW w:type="dxa" w:w="1701"/>
          </w:tcPr>
          <w:p>
            <w:pPr>
              <w:spacing w:after="0"/>
              <w:jc w:val="center"/>
            </w:pPr>
            <w:r/>
            <w:r>
              <w:rPr>
                <w:sz w:val="19"/>
              </w:rPr>
              <w:t>-</w:t>
            </w:r>
          </w:p>
        </w:tc>
      </w:tr>
      <w:tr>
        <w:tc>
          <w:tcPr>
            <w:tcW w:type="dxa" w:w="4252"/>
            <w:shd w:val="clear" w:color="auto" w:fill="E8F0E3"/>
          </w:tcPr>
          <w:p>
            <w:pPr>
              <w:spacing w:after="0"/>
            </w:pPr>
            <w:r/>
            <w:r>
              <w:rPr>
                <w:b/>
                <w:sz w:val="19"/>
              </w:rPr>
              <w:t>Deployed: fusion of the four 4-class models</w:t>
            </w:r>
          </w:p>
        </w:tc>
        <w:tc>
          <w:tcPr>
            <w:tcW w:type="dxa" w:w="1587"/>
            <w:shd w:val="clear" w:color="auto" w:fill="E8F0E3"/>
          </w:tcPr>
          <w:p>
            <w:pPr>
              <w:spacing w:after="0"/>
              <w:jc w:val="center"/>
            </w:pPr>
            <w:r/>
            <w:r>
              <w:rPr>
                <w:b/>
                <w:sz w:val="19"/>
              </w:rPr>
              <w:t>78.1</w:t>
            </w:r>
          </w:p>
        </w:tc>
        <w:tc>
          <w:tcPr>
            <w:tcW w:type="dxa" w:w="1587"/>
            <w:shd w:val="clear" w:color="auto" w:fill="E8F0E3"/>
          </w:tcPr>
          <w:p>
            <w:pPr>
              <w:spacing w:after="0"/>
              <w:jc w:val="center"/>
            </w:pPr>
            <w:r/>
            <w:r>
              <w:rPr>
                <w:b/>
                <w:sz w:val="19"/>
              </w:rPr>
              <w:t>74.7</w:t>
            </w:r>
          </w:p>
        </w:tc>
        <w:tc>
          <w:tcPr>
            <w:tcW w:type="dxa" w:w="1701"/>
            <w:shd w:val="clear" w:color="auto" w:fill="E8F0E3"/>
          </w:tcPr>
          <w:p>
            <w:pPr>
              <w:spacing w:after="0"/>
              <w:jc w:val="center"/>
            </w:pPr>
            <w:r/>
            <w:r>
              <w:rPr>
                <w:b/>
                <w:sz w:val="19"/>
              </w:rPr>
              <w:t>36.7</w:t>
            </w:r>
          </w:p>
        </w:tc>
      </w:tr>
    </w:tbl>
    <w:p>
      <w:pPr>
        <w:spacing w:after="40"/>
      </w:pPr>
    </w:p>
    <w:p>
      <w:r>
        <w:rPr>
          <w:i/>
          <w:sz w:val="19"/>
        </w:rPr>
        <w:t>Models without a test number were rejected on validation by rules written down before training; testing them anyway would have meant choosing on the test set. Test evaluations in total: 7.</w:t>
      </w:r>
    </w:p>
    <w:p>
      <w:pPr>
        <w:pStyle w:val="Heading2"/>
      </w:pPr>
      <w:r>
        <w:t>4.3 Image-enhancement study (synopsis hypothesis H1)</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2835"/>
            <w:shd w:val="clear" w:color="auto" w:fill="3E4A3F"/>
          </w:tcPr>
          <w:p>
            <w:pPr>
              <w:spacing w:after="0"/>
            </w:pPr>
            <w:r/>
            <w:r>
              <w:rPr>
                <w:b/>
                <w:color w:val="FFFFFF"/>
                <w:sz w:val="19"/>
              </w:rPr>
              <w:t>Condition (validation mAP50)</w:t>
            </w:r>
          </w:p>
        </w:tc>
        <w:tc>
          <w:tcPr>
            <w:tcW w:type="dxa" w:w="1361"/>
            <w:shd w:val="clear" w:color="auto" w:fill="3E4A3F"/>
          </w:tcPr>
          <w:p>
            <w:pPr>
              <w:spacing w:after="0"/>
            </w:pPr>
            <w:r/>
            <w:r>
              <w:rPr>
                <w:b/>
                <w:color w:val="FFFFFF"/>
                <w:sz w:val="19"/>
              </w:rPr>
              <w:t>Raw</w:t>
            </w:r>
          </w:p>
        </w:tc>
        <w:tc>
          <w:tcPr>
            <w:tcW w:type="dxa" w:w="1361"/>
            <w:shd w:val="clear" w:color="auto" w:fill="3E4A3F"/>
          </w:tcPr>
          <w:p>
            <w:pPr>
              <w:spacing w:after="0"/>
            </w:pPr>
            <w:r/>
            <w:r>
              <w:rPr>
                <w:b/>
                <w:color w:val="FFFFFF"/>
                <w:sz w:val="19"/>
              </w:rPr>
              <w:t>CLAHE</w:t>
            </w:r>
          </w:p>
        </w:tc>
        <w:tc>
          <w:tcPr>
            <w:tcW w:type="dxa" w:w="1361"/>
            <w:shd w:val="clear" w:color="auto" w:fill="3E4A3F"/>
          </w:tcPr>
          <w:p>
            <w:pPr>
              <w:spacing w:after="0"/>
            </w:pPr>
            <w:r/>
            <w:r>
              <w:rPr>
                <w:b/>
                <w:color w:val="FFFFFF"/>
                <w:sz w:val="19"/>
              </w:rPr>
              <w:t>Denoise</w:t>
            </w:r>
          </w:p>
        </w:tc>
        <w:tc>
          <w:tcPr>
            <w:tcW w:type="dxa" w:w="1361"/>
            <w:shd w:val="clear" w:color="auto" w:fill="3E4A3F"/>
          </w:tcPr>
          <w:p>
            <w:pPr>
              <w:spacing w:after="0"/>
            </w:pPr>
            <w:r/>
            <w:r>
              <w:rPr>
                <w:b/>
                <w:color w:val="FFFFFF"/>
                <w:sz w:val="19"/>
              </w:rPr>
              <w:t>Sharpen</w:t>
            </w:r>
          </w:p>
        </w:tc>
      </w:tr>
      <w:tr>
        <w:tc>
          <w:tcPr>
            <w:tcW w:type="dxa" w:w="2835"/>
          </w:tcPr>
          <w:p>
            <w:pPr>
              <w:spacing w:after="0"/>
            </w:pPr>
            <w:r/>
            <w:r>
              <w:rPr>
                <w:sz w:val="19"/>
              </w:rPr>
              <w:t>Normal</w:t>
            </w:r>
          </w:p>
        </w:tc>
        <w:tc>
          <w:tcPr>
            <w:tcW w:type="dxa" w:w="1361"/>
          </w:tcPr>
          <w:p>
            <w:pPr>
              <w:spacing w:after="0"/>
              <w:jc w:val="center"/>
            </w:pPr>
            <w:r/>
            <w:r>
              <w:rPr>
                <w:sz w:val="19"/>
              </w:rPr>
              <w:t>74.8</w:t>
            </w:r>
          </w:p>
        </w:tc>
        <w:tc>
          <w:tcPr>
            <w:tcW w:type="dxa" w:w="1361"/>
          </w:tcPr>
          <w:p>
            <w:pPr>
              <w:spacing w:after="0"/>
              <w:jc w:val="center"/>
            </w:pPr>
            <w:r/>
            <w:r>
              <w:rPr>
                <w:sz w:val="19"/>
              </w:rPr>
              <w:t>65.8</w:t>
            </w:r>
          </w:p>
        </w:tc>
        <w:tc>
          <w:tcPr>
            <w:tcW w:type="dxa" w:w="1361"/>
          </w:tcPr>
          <w:p>
            <w:pPr>
              <w:spacing w:after="0"/>
              <w:jc w:val="center"/>
            </w:pPr>
            <w:r/>
            <w:r>
              <w:rPr>
                <w:sz w:val="19"/>
              </w:rPr>
              <w:t>75.3</w:t>
            </w:r>
          </w:p>
        </w:tc>
        <w:tc>
          <w:tcPr>
            <w:tcW w:type="dxa" w:w="1361"/>
          </w:tcPr>
          <w:p>
            <w:pPr>
              <w:spacing w:after="0"/>
              <w:jc w:val="center"/>
            </w:pPr>
            <w:r/>
            <w:r>
              <w:rPr>
                <w:sz w:val="19"/>
              </w:rPr>
              <w:t>73.8</w:t>
            </w:r>
          </w:p>
        </w:tc>
      </w:tr>
      <w:tr>
        <w:tc>
          <w:tcPr>
            <w:tcW w:type="dxa" w:w="2835"/>
          </w:tcPr>
          <w:p>
            <w:pPr>
              <w:spacing w:after="0"/>
            </w:pPr>
            <w:r/>
            <w:r>
              <w:rPr>
                <w:sz w:val="19"/>
              </w:rPr>
              <w:t>Low light</w:t>
            </w:r>
          </w:p>
        </w:tc>
        <w:tc>
          <w:tcPr>
            <w:tcW w:type="dxa" w:w="1361"/>
          </w:tcPr>
          <w:p>
            <w:pPr>
              <w:spacing w:after="0"/>
              <w:jc w:val="center"/>
            </w:pPr>
            <w:r/>
            <w:r>
              <w:rPr>
                <w:sz w:val="19"/>
              </w:rPr>
              <w:t>50.0</w:t>
            </w:r>
          </w:p>
        </w:tc>
        <w:tc>
          <w:tcPr>
            <w:tcW w:type="dxa" w:w="1361"/>
          </w:tcPr>
          <w:p>
            <w:pPr>
              <w:spacing w:after="0"/>
              <w:jc w:val="center"/>
            </w:pPr>
            <w:r/>
            <w:r>
              <w:rPr>
                <w:sz w:val="19"/>
              </w:rPr>
              <w:t>27.7</w:t>
            </w:r>
          </w:p>
        </w:tc>
        <w:tc>
          <w:tcPr>
            <w:tcW w:type="dxa" w:w="1361"/>
          </w:tcPr>
          <w:p>
            <w:pPr>
              <w:spacing w:after="0"/>
              <w:jc w:val="center"/>
            </w:pPr>
            <w:r/>
            <w:r>
              <w:rPr>
                <w:sz w:val="19"/>
              </w:rPr>
              <w:t>48.0</w:t>
            </w:r>
          </w:p>
        </w:tc>
        <w:tc>
          <w:tcPr>
            <w:tcW w:type="dxa" w:w="1361"/>
          </w:tcPr>
          <w:p>
            <w:pPr>
              <w:spacing w:after="0"/>
              <w:jc w:val="center"/>
            </w:pPr>
            <w:r/>
            <w:r>
              <w:rPr>
                <w:sz w:val="19"/>
              </w:rPr>
              <w:t>49.3</w:t>
            </w:r>
          </w:p>
        </w:tc>
      </w:tr>
      <w:tr>
        <w:tc>
          <w:tcPr>
            <w:tcW w:type="dxa" w:w="2835"/>
          </w:tcPr>
          <w:p>
            <w:pPr>
              <w:spacing w:after="0"/>
            </w:pPr>
            <w:r/>
            <w:r>
              <w:rPr>
                <w:sz w:val="19"/>
              </w:rPr>
              <w:t>Over-exposed</w:t>
            </w:r>
          </w:p>
        </w:tc>
        <w:tc>
          <w:tcPr>
            <w:tcW w:type="dxa" w:w="1361"/>
          </w:tcPr>
          <w:p>
            <w:pPr>
              <w:spacing w:after="0"/>
              <w:jc w:val="center"/>
            </w:pPr>
            <w:r/>
            <w:r>
              <w:rPr>
                <w:sz w:val="19"/>
              </w:rPr>
              <w:t>58.2</w:t>
            </w:r>
          </w:p>
        </w:tc>
        <w:tc>
          <w:tcPr>
            <w:tcW w:type="dxa" w:w="1361"/>
          </w:tcPr>
          <w:p>
            <w:pPr>
              <w:spacing w:after="0"/>
              <w:jc w:val="center"/>
            </w:pPr>
            <w:r/>
            <w:r>
              <w:rPr>
                <w:sz w:val="19"/>
              </w:rPr>
              <w:t>47.9</w:t>
            </w:r>
          </w:p>
        </w:tc>
        <w:tc>
          <w:tcPr>
            <w:tcW w:type="dxa" w:w="1361"/>
          </w:tcPr>
          <w:p>
            <w:pPr>
              <w:spacing w:after="0"/>
              <w:jc w:val="center"/>
            </w:pPr>
            <w:r/>
            <w:r>
              <w:rPr>
                <w:sz w:val="19"/>
              </w:rPr>
              <w:t>58.2</w:t>
            </w:r>
          </w:p>
        </w:tc>
        <w:tc>
          <w:tcPr>
            <w:tcW w:type="dxa" w:w="1361"/>
          </w:tcPr>
          <w:p>
            <w:pPr>
              <w:spacing w:after="0"/>
              <w:jc w:val="center"/>
            </w:pPr>
            <w:r/>
            <w:r>
              <w:rPr>
                <w:sz w:val="19"/>
              </w:rPr>
              <w:t>57.7</w:t>
            </w:r>
          </w:p>
        </w:tc>
      </w:tr>
      <w:tr>
        <w:tc>
          <w:tcPr>
            <w:tcW w:type="dxa" w:w="2835"/>
          </w:tcPr>
          <w:p>
            <w:pPr>
              <w:spacing w:after="0"/>
            </w:pPr>
            <w:r/>
            <w:r>
              <w:rPr>
                <w:sz w:val="19"/>
              </w:rPr>
              <w:t>Blur</w:t>
            </w:r>
          </w:p>
        </w:tc>
        <w:tc>
          <w:tcPr>
            <w:tcW w:type="dxa" w:w="1361"/>
          </w:tcPr>
          <w:p>
            <w:pPr>
              <w:spacing w:after="0"/>
              <w:jc w:val="center"/>
            </w:pPr>
            <w:r/>
            <w:r>
              <w:rPr>
                <w:sz w:val="19"/>
              </w:rPr>
              <w:t>73.3</w:t>
            </w:r>
          </w:p>
        </w:tc>
        <w:tc>
          <w:tcPr>
            <w:tcW w:type="dxa" w:w="1361"/>
          </w:tcPr>
          <w:p>
            <w:pPr>
              <w:spacing w:after="0"/>
              <w:jc w:val="center"/>
            </w:pPr>
            <w:r/>
            <w:r>
              <w:rPr>
                <w:sz w:val="19"/>
              </w:rPr>
              <w:t>62.2</w:t>
            </w:r>
          </w:p>
        </w:tc>
        <w:tc>
          <w:tcPr>
            <w:tcW w:type="dxa" w:w="1361"/>
          </w:tcPr>
          <w:p>
            <w:pPr>
              <w:spacing w:after="0"/>
              <w:jc w:val="center"/>
            </w:pPr>
            <w:r/>
            <w:r>
              <w:rPr>
                <w:sz w:val="19"/>
              </w:rPr>
              <w:t>72.9</w:t>
            </w:r>
          </w:p>
        </w:tc>
        <w:tc>
          <w:tcPr>
            <w:tcW w:type="dxa" w:w="1361"/>
          </w:tcPr>
          <w:p>
            <w:pPr>
              <w:spacing w:after="0"/>
              <w:jc w:val="center"/>
            </w:pPr>
            <w:r/>
            <w:r>
              <w:rPr>
                <w:sz w:val="19"/>
              </w:rPr>
              <w:t>75.1</w:t>
            </w:r>
          </w:p>
        </w:tc>
      </w:tr>
      <w:tr>
        <w:tc>
          <w:tcPr>
            <w:tcW w:type="dxa" w:w="2835"/>
          </w:tcPr>
          <w:p>
            <w:pPr>
              <w:spacing w:after="0"/>
            </w:pPr>
            <w:r/>
            <w:r>
              <w:rPr>
                <w:sz w:val="19"/>
              </w:rPr>
              <w:t>Noise</w:t>
            </w:r>
          </w:p>
        </w:tc>
        <w:tc>
          <w:tcPr>
            <w:tcW w:type="dxa" w:w="1361"/>
          </w:tcPr>
          <w:p>
            <w:pPr>
              <w:spacing w:after="0"/>
              <w:jc w:val="center"/>
            </w:pPr>
            <w:r/>
            <w:r>
              <w:rPr>
                <w:sz w:val="19"/>
              </w:rPr>
              <w:t>67.8</w:t>
            </w:r>
          </w:p>
        </w:tc>
        <w:tc>
          <w:tcPr>
            <w:tcW w:type="dxa" w:w="1361"/>
          </w:tcPr>
          <w:p>
            <w:pPr>
              <w:spacing w:after="0"/>
              <w:jc w:val="center"/>
            </w:pPr>
            <w:r/>
            <w:r>
              <w:rPr>
                <w:sz w:val="19"/>
              </w:rPr>
              <w:t>56.5</w:t>
            </w:r>
          </w:p>
        </w:tc>
        <w:tc>
          <w:tcPr>
            <w:tcW w:type="dxa" w:w="1361"/>
          </w:tcPr>
          <w:p>
            <w:pPr>
              <w:spacing w:after="0"/>
              <w:jc w:val="center"/>
            </w:pPr>
            <w:r/>
            <w:r>
              <w:rPr>
                <w:sz w:val="19"/>
              </w:rPr>
              <w:t>73.0</w:t>
            </w:r>
          </w:p>
        </w:tc>
        <w:tc>
          <w:tcPr>
            <w:tcW w:type="dxa" w:w="1361"/>
          </w:tcPr>
          <w:p>
            <w:pPr>
              <w:spacing w:after="0"/>
              <w:jc w:val="center"/>
            </w:pPr>
            <w:r/>
            <w:r>
              <w:rPr>
                <w:sz w:val="19"/>
              </w:rPr>
              <w:t>57.0</w:t>
            </w:r>
          </w:p>
        </w:tc>
      </w:tr>
      <w:tr>
        <w:tc>
          <w:tcPr>
            <w:tcW w:type="dxa" w:w="2835"/>
          </w:tcPr>
          <w:p>
            <w:pPr>
              <w:spacing w:after="0"/>
            </w:pPr>
            <w:r/>
            <w:r>
              <w:rPr>
                <w:sz w:val="19"/>
              </w:rPr>
              <w:t>Low contrast</w:t>
            </w:r>
          </w:p>
        </w:tc>
        <w:tc>
          <w:tcPr>
            <w:tcW w:type="dxa" w:w="1361"/>
          </w:tcPr>
          <w:p>
            <w:pPr>
              <w:spacing w:after="0"/>
              <w:jc w:val="center"/>
            </w:pPr>
            <w:r/>
            <w:r>
              <w:rPr>
                <w:sz w:val="19"/>
              </w:rPr>
              <w:t>61.3</w:t>
            </w:r>
          </w:p>
        </w:tc>
        <w:tc>
          <w:tcPr>
            <w:tcW w:type="dxa" w:w="1361"/>
          </w:tcPr>
          <w:p>
            <w:pPr>
              <w:spacing w:after="0"/>
              <w:jc w:val="center"/>
            </w:pPr>
            <w:r/>
            <w:r>
              <w:rPr>
                <w:sz w:val="19"/>
              </w:rPr>
              <w:t>62.6</w:t>
            </w:r>
          </w:p>
        </w:tc>
        <w:tc>
          <w:tcPr>
            <w:tcW w:type="dxa" w:w="1361"/>
          </w:tcPr>
          <w:p>
            <w:pPr>
              <w:spacing w:after="0"/>
              <w:jc w:val="center"/>
            </w:pPr>
            <w:r/>
            <w:r>
              <w:rPr>
                <w:sz w:val="19"/>
              </w:rPr>
              <w:t>61.6</w:t>
            </w:r>
          </w:p>
        </w:tc>
        <w:tc>
          <w:tcPr>
            <w:tcW w:type="dxa" w:w="1361"/>
          </w:tcPr>
          <w:p>
            <w:pPr>
              <w:spacing w:after="0"/>
              <w:jc w:val="center"/>
            </w:pPr>
            <w:r/>
            <w:r>
              <w:rPr>
                <w:sz w:val="19"/>
              </w:rPr>
              <w:t>62.6</w:t>
            </w:r>
          </w:p>
        </w:tc>
      </w:tr>
    </w:tbl>
    <w:p>
      <w:pPr>
        <w:spacing w:after="40"/>
      </w:pPr>
    </w:p>
    <w:p>
      <w:r>
        <w:rPr>
          <w:i w:val="0"/>
        </w:rPr>
        <w:t>CLAHE lowered accuracy significantly in 5 of 6 conditions; denoising helped only on noisy images (+3 to +7 points). Hypothesis H1 is therefore rejected for normal images. Lighting matters far more than enhancement: low light costs about 25 points.</w:t>
      </w:r>
    </w:p>
    <w:p>
      <w:pPr>
        <w:pStyle w:val="Heading1"/>
      </w:pPr>
      <w:r>
        <w:t>5. The mathematical model for accuracy</w:t>
      </w:r>
    </w:p>
    <w:p>
      <w:r>
        <w:rPr>
          <w:i w:val="0"/>
        </w:rPr>
        <w:t>This section is the main research contribution. It answers the guide's question: can a mathematical model improve accuracy, and by how much? Yes: by about 5.5 mAP50 points on the main defect classes, with a 95 % confidence interval that excludes zero.</w:t>
      </w:r>
    </w:p>
    <w:p>
      <w:pPr>
        <w:pStyle w:val="Heading2"/>
      </w:pPr>
      <w:r>
        <w:t>5.1 What it is built from</w:t>
      </w:r>
    </w:p>
    <w:p>
      <w:r>
        <w:rPr>
          <w:b/>
        </w:rPr>
        <w:t xml:space="preserve">1. Class-balancing rule. </w:t>
      </w:r>
      <w:r>
        <w:rPr>
          <w:i w:val="0"/>
        </w:rPr>
      </w:r>
      <w:r>
        <w:t>Rare classes are given more training examples by pasting real defect crops onto defect-free training boards (inside the wood, along the grain, training split only). How many is set by a formula, the repeat-factor rule of LVIS (Gupta et al., 2019), related to the effective number of samples of Cui et al. (2019):</w:t>
      </w:r>
    </w:p>
    <w:p>
      <w:pPr>
        <w:jc w:val="center"/>
      </w:pPr>
      <w:r>
        <w:rPr>
          <w:rFonts w:ascii="Cambria Math" w:hAnsi="Cambria Math"/>
          <w:i/>
          <w:sz w:val="23"/>
        </w:rPr>
        <w:t>n_c* = √(n_c × n_max)        (partial balance; full balance: n_c* = n_max)</w:t>
      </w:r>
    </w:p>
    <w:p>
      <w:r>
        <w:rPr>
          <w:i w:val="0"/>
        </w:rPr>
        <w:t>It turns the 9.5 : 1 imbalance of the four classes into 3.1 : 1 (partial) or 1.06 : 1 (full).</w:t>
      </w:r>
    </w:p>
    <w:p>
      <w:r>
        <w:rPr>
          <w:b/>
        </w:rPr>
        <w:t xml:space="preserve">2. Weighted box fusion (Solovyev et al., 2021). </w:t>
      </w:r>
      <w:r>
        <w:rPr>
          <w:i w:val="0"/>
        </w:rPr>
      </w:r>
      <w:r>
        <w:t>Several detectors look at the same board; boxes of the same class that overlap are merged into one box, averaged by confidence, and a box that only one model sees is down-weighted:</w:t>
      </w:r>
    </w:p>
    <w:p>
      <w:pPr>
        <w:jc w:val="center"/>
      </w:pPr>
      <w:r>
        <w:rPr>
          <w:rFonts w:ascii="Cambria Math" w:hAnsi="Cambria Math"/>
          <w:i/>
          <w:sz w:val="23"/>
        </w:rPr>
        <w:t>b_f = Σ w_m c_i b_i / Σ w_m c_i        c_f = (Σ w_m c_i / Σ w_m) × min(Σ w_m, W) / W</w:t>
      </w:r>
    </w:p>
    <w:p>
      <w:r>
        <w:rPr>
          <w:i/>
          <w:sz w:val="19"/>
        </w:rPr>
        <w:t>b = box, c = confidence, w_m = weight of model m, W = sum of all model weights.</w:t>
      </w:r>
    </w:p>
    <w:p>
      <w:r>
        <w:rPr>
          <w:b/>
        </w:rPr>
        <w:t xml:space="preserve">3. Wise-IoU v3 box loss (Tong et al., 2023). </w:t>
      </w:r>
      <w:r>
        <w:rPr>
          <w:i w:val="0"/>
        </w:rPr>
      </w:r>
      <w:r>
        <w:t>The loss used by the CWB-YOLOv8 reference model, which focuses training on ordinary-quality boxes:</w:t>
      </w:r>
    </w:p>
    <w:p>
      <w:pPr>
        <w:jc w:val="center"/>
      </w:pPr>
      <w:r>
        <w:rPr>
          <w:rFonts w:ascii="Cambria Math" w:hAnsi="Cambria Math"/>
          <w:i/>
          <w:sz w:val="23"/>
        </w:rPr>
        <w:t>L = r × exp(d² / (W_g² + H_g²)) × (1 − IoU),    r = β / (δ α^(β − δ))</w:t>
      </w:r>
    </w:p>
    <w:p>
      <w:r>
        <w:rPr>
          <w:b/>
        </w:rPr>
        <w:t xml:space="preserve">4. Per-class confidence thresholds. </w:t>
      </w:r>
      <w:r>
        <w:rPr>
          <w:i w:val="0"/>
        </w:rPr>
      </w:r>
      <w:r>
        <w:t>One threshold per class, chosen to maximise F1 on validation.</w:t>
      </w:r>
    </w:p>
    <w:p>
      <w:r>
        <w:rPr>
          <w:b/>
        </w:rPr>
        <w:t xml:space="preserve">5. Statistical validation. </w:t>
      </w:r>
      <w:r>
        <w:rPr>
          <w:i w:val="0"/>
        </w:rPr>
      </w:r>
      <w:r>
        <w:t>Board-level bootstrap (the 12 test boards resampled 1,000 times) for a 95 % confidence interval of every improvement, and an exact Wilcoxon signed-rank test on the per-board differences.</w:t>
      </w:r>
    </w:p>
    <w:p>
      <w:pPr>
        <w:pStyle w:val="Heading2"/>
      </w:pPr>
      <w:r>
        <w:t>5.2 Did it improve the score?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4252"/>
            <w:shd w:val="clear" w:color="auto" w:fill="3E4A3F"/>
          </w:tcPr>
          <w:p>
            <w:pPr>
              <w:spacing w:after="0"/>
            </w:pPr>
            <w:r/>
            <w:r>
              <w:rPr>
                <w:b/>
                <w:color w:val="FFFFFF"/>
                <w:sz w:val="19"/>
              </w:rPr>
              <w:t>Step (test, 4 classes)</w:t>
            </w:r>
          </w:p>
        </w:tc>
        <w:tc>
          <w:tcPr>
            <w:tcW w:type="dxa" w:w="1247"/>
            <w:shd w:val="clear" w:color="auto" w:fill="3E4A3F"/>
          </w:tcPr>
          <w:p>
            <w:pPr>
              <w:spacing w:after="0"/>
            </w:pPr>
            <w:r/>
            <w:r>
              <w:rPr>
                <w:b/>
                <w:color w:val="FFFFFF"/>
                <w:sz w:val="19"/>
              </w:rPr>
              <w:t>mAP50</w:t>
            </w:r>
          </w:p>
        </w:tc>
        <w:tc>
          <w:tcPr>
            <w:tcW w:type="dxa" w:w="1361"/>
            <w:shd w:val="clear" w:color="auto" w:fill="3E4A3F"/>
          </w:tcPr>
          <w:p>
            <w:pPr>
              <w:spacing w:after="0"/>
            </w:pPr>
            <w:r/>
            <w:r>
              <w:rPr>
                <w:b/>
                <w:color w:val="FFFFFF"/>
                <w:sz w:val="19"/>
              </w:rPr>
              <w:t>mAP50-95</w:t>
            </w:r>
          </w:p>
        </w:tc>
        <w:tc>
          <w:tcPr>
            <w:tcW w:type="dxa" w:w="2438"/>
            <w:shd w:val="clear" w:color="auto" w:fill="3E4A3F"/>
          </w:tcPr>
          <w:p>
            <w:pPr>
              <w:spacing w:after="0"/>
            </w:pPr>
            <w:r/>
            <w:r>
              <w:rPr>
                <w:b/>
                <w:color w:val="FFFFFF"/>
                <w:sz w:val="19"/>
              </w:rPr>
              <w:t>Verdict</w:t>
            </w:r>
          </w:p>
        </w:tc>
      </w:tr>
      <w:tr>
        <w:tc>
          <w:tcPr>
            <w:tcW w:type="dxa" w:w="4252"/>
          </w:tcPr>
          <w:p>
            <w:pPr>
              <w:spacing w:after="0"/>
            </w:pPr>
            <w:r/>
            <w:r>
              <w:rPr>
                <w:sz w:val="19"/>
              </w:rPr>
              <w:t>8-class YOLO11s (50 % review), on the 4 classes</w:t>
            </w:r>
          </w:p>
        </w:tc>
        <w:tc>
          <w:tcPr>
            <w:tcW w:type="dxa" w:w="1247"/>
          </w:tcPr>
          <w:p>
            <w:pPr>
              <w:spacing w:after="0"/>
              <w:jc w:val="center"/>
            </w:pPr>
            <w:r/>
            <w:r>
              <w:rPr>
                <w:sz w:val="19"/>
              </w:rPr>
              <w:t>69.6</w:t>
            </w:r>
          </w:p>
        </w:tc>
        <w:tc>
          <w:tcPr>
            <w:tcW w:type="dxa" w:w="1361"/>
          </w:tcPr>
          <w:p>
            <w:pPr>
              <w:spacing w:after="0"/>
              <w:jc w:val="center"/>
            </w:pPr>
            <w:r/>
            <w:r>
              <w:rPr>
                <w:sz w:val="19"/>
              </w:rPr>
              <w:t>32.9</w:t>
            </w:r>
          </w:p>
        </w:tc>
        <w:tc>
          <w:tcPr>
            <w:tcW w:type="dxa" w:w="2438"/>
          </w:tcPr>
          <w:p>
            <w:pPr>
              <w:spacing w:after="0"/>
              <w:jc w:val="center"/>
            </w:pPr>
            <w:r/>
            <w:r>
              <w:rPr>
                <w:sz w:val="19"/>
              </w:rPr>
              <w:t>starting point</w:t>
            </w:r>
          </w:p>
        </w:tc>
      </w:tr>
      <w:tr>
        <w:tc>
          <w:tcPr>
            <w:tcW w:type="dxa" w:w="4252"/>
          </w:tcPr>
          <w:p>
            <w:pPr>
              <w:spacing w:after="0"/>
            </w:pPr>
            <w:r/>
            <w:r>
              <w:rPr>
                <w:sz w:val="19"/>
              </w:rPr>
              <w:t>4-class model, no balancing</w:t>
            </w:r>
          </w:p>
        </w:tc>
        <w:tc>
          <w:tcPr>
            <w:tcW w:type="dxa" w:w="1247"/>
          </w:tcPr>
          <w:p>
            <w:pPr>
              <w:spacing w:after="0"/>
              <w:jc w:val="center"/>
            </w:pPr>
            <w:r/>
            <w:r>
              <w:rPr>
                <w:sz w:val="19"/>
              </w:rPr>
              <w:t>71.7</w:t>
            </w:r>
          </w:p>
        </w:tc>
        <w:tc>
          <w:tcPr>
            <w:tcW w:type="dxa" w:w="1361"/>
          </w:tcPr>
          <w:p>
            <w:pPr>
              <w:spacing w:after="0"/>
              <w:jc w:val="center"/>
            </w:pPr>
            <w:r/>
            <w:r>
              <w:rPr>
                <w:sz w:val="19"/>
              </w:rPr>
              <w:t>33.4</w:t>
            </w:r>
          </w:p>
        </w:tc>
        <w:tc>
          <w:tcPr>
            <w:tcW w:type="dxa" w:w="2438"/>
          </w:tcPr>
          <w:p>
            <w:pPr>
              <w:spacing w:after="0"/>
              <w:jc w:val="center"/>
            </w:pPr>
            <w:r/>
            <w:r>
              <w:rPr>
                <w:sz w:val="19"/>
              </w:rPr>
              <w:t>not significant</w:t>
            </w:r>
          </w:p>
        </w:tc>
      </w:tr>
      <w:tr>
        <w:tc>
          <w:tcPr>
            <w:tcW w:type="dxa" w:w="4252"/>
          </w:tcPr>
          <w:p>
            <w:pPr>
              <w:spacing w:after="0"/>
            </w:pPr>
            <w:r/>
            <w:r>
              <w:rPr>
                <w:sz w:val="19"/>
              </w:rPr>
              <w:t>+ partial class balancing (best single on validation)</w:t>
            </w:r>
          </w:p>
        </w:tc>
        <w:tc>
          <w:tcPr>
            <w:tcW w:type="dxa" w:w="1247"/>
          </w:tcPr>
          <w:p>
            <w:pPr>
              <w:spacing w:after="0"/>
              <w:jc w:val="center"/>
            </w:pPr>
            <w:r/>
            <w:r>
              <w:rPr>
                <w:sz w:val="19"/>
              </w:rPr>
              <w:t>69.2</w:t>
            </w:r>
          </w:p>
        </w:tc>
        <w:tc>
          <w:tcPr>
            <w:tcW w:type="dxa" w:w="1361"/>
          </w:tcPr>
          <w:p>
            <w:pPr>
              <w:spacing w:after="0"/>
              <w:jc w:val="center"/>
            </w:pPr>
            <w:r/>
            <w:r>
              <w:rPr>
                <w:sz w:val="19"/>
              </w:rPr>
              <w:t>33.3</w:t>
            </w:r>
          </w:p>
        </w:tc>
        <w:tc>
          <w:tcPr>
            <w:tcW w:type="dxa" w:w="2438"/>
          </w:tcPr>
          <w:p>
            <w:pPr>
              <w:spacing w:after="0"/>
              <w:jc w:val="center"/>
            </w:pPr>
            <w:r/>
            <w:r>
              <w:rPr>
                <w:sz w:val="19"/>
              </w:rPr>
              <w:t>not significant</w:t>
            </w:r>
          </w:p>
        </w:tc>
      </w:tr>
      <w:tr>
        <w:tc>
          <w:tcPr>
            <w:tcW w:type="dxa" w:w="4252"/>
          </w:tcPr>
          <w:p>
            <w:pPr>
              <w:spacing w:after="0"/>
            </w:pPr>
            <w:r/>
            <w:r>
              <w:rPr>
                <w:sz w:val="19"/>
              </w:rPr>
              <w:t>+ 1280-px model</w:t>
            </w:r>
          </w:p>
        </w:tc>
        <w:tc>
          <w:tcPr>
            <w:tcW w:type="dxa" w:w="1247"/>
          </w:tcPr>
          <w:p>
            <w:pPr>
              <w:spacing w:after="0"/>
              <w:jc w:val="center"/>
            </w:pPr>
            <w:r/>
            <w:r>
              <w:rPr>
                <w:sz w:val="19"/>
              </w:rPr>
              <w:t>71.6</w:t>
            </w:r>
          </w:p>
        </w:tc>
        <w:tc>
          <w:tcPr>
            <w:tcW w:type="dxa" w:w="1361"/>
          </w:tcPr>
          <w:p>
            <w:pPr>
              <w:spacing w:after="0"/>
              <w:jc w:val="center"/>
            </w:pPr>
            <w:r/>
            <w:r>
              <w:rPr>
                <w:sz w:val="19"/>
              </w:rPr>
              <w:t>34.3</w:t>
            </w:r>
          </w:p>
        </w:tc>
        <w:tc>
          <w:tcPr>
            <w:tcW w:type="dxa" w:w="2438"/>
          </w:tcPr>
          <w:p>
            <w:pPr>
              <w:spacing w:after="0"/>
              <w:jc w:val="center"/>
            </w:pPr>
            <w:r/>
            <w:r>
              <w:rPr>
                <w:sz w:val="19"/>
              </w:rPr>
              <w:t>not chosen on validation</w:t>
            </w:r>
          </w:p>
        </w:tc>
      </w:tr>
      <w:tr>
        <w:tc>
          <w:tcPr>
            <w:tcW w:type="dxa" w:w="4252"/>
            <w:shd w:val="clear" w:color="auto" w:fill="E8F0E3"/>
          </w:tcPr>
          <w:p>
            <w:pPr>
              <w:spacing w:after="0"/>
            </w:pPr>
            <w:r/>
            <w:r>
              <w:rPr>
                <w:b/>
                <w:sz w:val="19"/>
              </w:rPr>
              <w:t>Weighted box fusion of the four 4-class models</w:t>
            </w:r>
          </w:p>
        </w:tc>
        <w:tc>
          <w:tcPr>
            <w:tcW w:type="dxa" w:w="1247"/>
            <w:shd w:val="clear" w:color="auto" w:fill="E8F0E3"/>
          </w:tcPr>
          <w:p>
            <w:pPr>
              <w:spacing w:after="0"/>
              <w:jc w:val="center"/>
            </w:pPr>
            <w:r/>
            <w:r>
              <w:rPr>
                <w:b/>
                <w:sz w:val="19"/>
              </w:rPr>
              <w:t>74.7</w:t>
            </w:r>
          </w:p>
        </w:tc>
        <w:tc>
          <w:tcPr>
            <w:tcW w:type="dxa" w:w="1361"/>
            <w:shd w:val="clear" w:color="auto" w:fill="E8F0E3"/>
          </w:tcPr>
          <w:p>
            <w:pPr>
              <w:spacing w:after="0"/>
              <w:jc w:val="center"/>
            </w:pPr>
            <w:r/>
            <w:r>
              <w:rPr>
                <w:b/>
                <w:sz w:val="19"/>
              </w:rPr>
              <w:t>36.7</w:t>
            </w:r>
          </w:p>
        </w:tc>
        <w:tc>
          <w:tcPr>
            <w:tcW w:type="dxa" w:w="2438"/>
            <w:shd w:val="clear" w:color="auto" w:fill="E8F0E3"/>
          </w:tcPr>
          <w:p>
            <w:pPr>
              <w:spacing w:after="0"/>
              <w:jc w:val="center"/>
            </w:pPr>
            <w:r/>
            <w:r>
              <w:rPr>
                <w:b/>
                <w:sz w:val="19"/>
              </w:rPr>
              <w:t>significant gain</w:t>
            </w:r>
          </w:p>
        </w:tc>
      </w:tr>
    </w:tbl>
    <w:p>
      <w:pPr>
        <w:spacing w:after="40"/>
      </w:pP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118"/>
            <w:shd w:val="clear" w:color="auto" w:fill="3E4A3F"/>
          </w:tcPr>
          <w:p>
            <w:pPr>
              <w:spacing w:after="0"/>
            </w:pPr>
            <w:r/>
            <w:r>
              <w:rPr>
                <w:b/>
                <w:color w:val="FFFFFF"/>
                <w:sz w:val="19"/>
              </w:rPr>
              <w:t>Fusion vs best single model (test)</w:t>
            </w:r>
          </w:p>
        </w:tc>
        <w:tc>
          <w:tcPr>
            <w:tcW w:type="dxa" w:w="1247"/>
            <w:shd w:val="clear" w:color="auto" w:fill="3E4A3F"/>
          </w:tcPr>
          <w:p>
            <w:pPr>
              <w:spacing w:after="0"/>
            </w:pPr>
            <w:r/>
            <w:r>
              <w:rPr>
                <w:b/>
                <w:color w:val="FFFFFF"/>
                <w:sz w:val="19"/>
              </w:rPr>
              <w:t>Difference</w:t>
            </w:r>
          </w:p>
        </w:tc>
        <w:tc>
          <w:tcPr>
            <w:tcW w:type="dxa" w:w="1928"/>
            <w:shd w:val="clear" w:color="auto" w:fill="3E4A3F"/>
          </w:tcPr>
          <w:p>
            <w:pPr>
              <w:spacing w:after="0"/>
            </w:pPr>
            <w:r/>
            <w:r>
              <w:rPr>
                <w:b/>
                <w:color w:val="FFFFFF"/>
                <w:sz w:val="19"/>
              </w:rPr>
              <w:t>95 % interval</w:t>
            </w:r>
          </w:p>
        </w:tc>
        <w:tc>
          <w:tcPr>
            <w:tcW w:type="dxa" w:w="1701"/>
            <w:shd w:val="clear" w:color="auto" w:fill="3E4A3F"/>
          </w:tcPr>
          <w:p>
            <w:pPr>
              <w:spacing w:after="0"/>
            </w:pPr>
            <w:r/>
            <w:r>
              <w:rPr>
                <w:b/>
                <w:color w:val="FFFFFF"/>
                <w:sz w:val="19"/>
              </w:rPr>
              <w:t>Boards better / worse</w:t>
            </w:r>
          </w:p>
        </w:tc>
        <w:tc>
          <w:tcPr>
            <w:tcW w:type="dxa" w:w="1247"/>
            <w:shd w:val="clear" w:color="auto" w:fill="3E4A3F"/>
          </w:tcPr>
          <w:p>
            <w:pPr>
              <w:spacing w:after="0"/>
            </w:pPr>
            <w:r/>
            <w:r>
              <w:rPr>
                <w:b/>
                <w:color w:val="FFFFFF"/>
                <w:sz w:val="19"/>
              </w:rPr>
              <w:t>Wilcoxon p</w:t>
            </w:r>
          </w:p>
        </w:tc>
      </w:tr>
      <w:tr>
        <w:tc>
          <w:tcPr>
            <w:tcW w:type="dxa" w:w="3118"/>
          </w:tcPr>
          <w:p>
            <w:pPr>
              <w:spacing w:after="0"/>
            </w:pPr>
            <w:r/>
            <w:r>
              <w:rPr>
                <w:sz w:val="19"/>
              </w:rPr>
              <w:t>4 classes, mAP50</w:t>
            </w:r>
          </w:p>
        </w:tc>
        <w:tc>
          <w:tcPr>
            <w:tcW w:type="dxa" w:w="1247"/>
          </w:tcPr>
          <w:p>
            <w:pPr>
              <w:spacing w:after="0"/>
              <w:jc w:val="center"/>
            </w:pPr>
            <w:r/>
            <w:r>
              <w:rPr>
                <w:sz w:val="19"/>
              </w:rPr>
              <w:t>+5.5</w:t>
            </w:r>
          </w:p>
        </w:tc>
        <w:tc>
          <w:tcPr>
            <w:tcW w:type="dxa" w:w="1928"/>
          </w:tcPr>
          <w:p>
            <w:pPr>
              <w:spacing w:after="0"/>
              <w:jc w:val="center"/>
            </w:pPr>
            <w:r/>
            <w:r>
              <w:rPr>
                <w:sz w:val="19"/>
              </w:rPr>
              <w:t>+2.7 to +7.1</w:t>
            </w:r>
          </w:p>
        </w:tc>
        <w:tc>
          <w:tcPr>
            <w:tcW w:type="dxa" w:w="1701"/>
          </w:tcPr>
          <w:p>
            <w:pPr>
              <w:spacing w:after="0"/>
              <w:jc w:val="center"/>
            </w:pPr>
            <w:r/>
            <w:r>
              <w:rPr>
                <w:sz w:val="19"/>
              </w:rPr>
              <w:t>10 / 2</w:t>
            </w:r>
          </w:p>
        </w:tc>
        <w:tc>
          <w:tcPr>
            <w:tcW w:type="dxa" w:w="1247"/>
          </w:tcPr>
          <w:p>
            <w:pPr>
              <w:spacing w:after="0"/>
              <w:jc w:val="center"/>
            </w:pPr>
            <w:r/>
            <w:r>
              <w:rPr>
                <w:sz w:val="19"/>
              </w:rPr>
              <w:t>0.042</w:t>
            </w:r>
          </w:p>
        </w:tc>
      </w:tr>
      <w:tr>
        <w:tc>
          <w:tcPr>
            <w:tcW w:type="dxa" w:w="3118"/>
          </w:tcPr>
          <w:p>
            <w:pPr>
              <w:spacing w:after="0"/>
            </w:pPr>
            <w:r/>
            <w:r>
              <w:rPr>
                <w:sz w:val="19"/>
              </w:rPr>
              <w:t>4 classes, mAP50-95</w:t>
            </w:r>
          </w:p>
        </w:tc>
        <w:tc>
          <w:tcPr>
            <w:tcW w:type="dxa" w:w="1247"/>
          </w:tcPr>
          <w:p>
            <w:pPr>
              <w:spacing w:after="0"/>
              <w:jc w:val="center"/>
            </w:pPr>
            <w:r/>
            <w:r>
              <w:rPr>
                <w:sz w:val="19"/>
              </w:rPr>
              <w:t>+3.4</w:t>
            </w:r>
          </w:p>
        </w:tc>
        <w:tc>
          <w:tcPr>
            <w:tcW w:type="dxa" w:w="1928"/>
          </w:tcPr>
          <w:p>
            <w:pPr>
              <w:spacing w:after="0"/>
              <w:jc w:val="center"/>
            </w:pPr>
            <w:r/>
            <w:r>
              <w:rPr>
                <w:sz w:val="19"/>
              </w:rPr>
              <w:t>+1.8 to +4.7</w:t>
            </w:r>
          </w:p>
        </w:tc>
        <w:tc>
          <w:tcPr>
            <w:tcW w:type="dxa" w:w="1701"/>
          </w:tcPr>
          <w:p>
            <w:pPr>
              <w:spacing w:after="0"/>
              <w:jc w:val="center"/>
            </w:pPr>
            <w:r/>
            <w:r>
              <w:rPr>
                <w:sz w:val="19"/>
              </w:rPr>
              <w:t>-</w:t>
            </w:r>
          </w:p>
        </w:tc>
        <w:tc>
          <w:tcPr>
            <w:tcW w:type="dxa" w:w="1247"/>
          </w:tcPr>
          <w:p>
            <w:pPr>
              <w:spacing w:after="0"/>
              <w:jc w:val="center"/>
            </w:pPr>
            <w:r/>
            <w:r>
              <w:rPr>
                <w:sz w:val="19"/>
              </w:rPr>
              <w:t>-</w:t>
            </w:r>
          </w:p>
        </w:tc>
      </w:tr>
      <w:tr>
        <w:tc>
          <w:tcPr>
            <w:tcW w:type="dxa" w:w="3118"/>
          </w:tcPr>
          <w:p>
            <w:pPr>
              <w:spacing w:after="0"/>
            </w:pPr>
            <w:r/>
            <w:r>
              <w:rPr>
                <w:sz w:val="19"/>
              </w:rPr>
              <w:t>8 classes (YOLO11m + YOLO11s), mAP50</w:t>
            </w:r>
          </w:p>
        </w:tc>
        <w:tc>
          <w:tcPr>
            <w:tcW w:type="dxa" w:w="1247"/>
          </w:tcPr>
          <w:p>
            <w:pPr>
              <w:spacing w:after="0"/>
              <w:jc w:val="center"/>
            </w:pPr>
            <w:r/>
            <w:r>
              <w:rPr>
                <w:sz w:val="19"/>
              </w:rPr>
              <w:t>+1.1</w:t>
            </w:r>
          </w:p>
        </w:tc>
        <w:tc>
          <w:tcPr>
            <w:tcW w:type="dxa" w:w="1928"/>
          </w:tcPr>
          <w:p>
            <w:pPr>
              <w:spacing w:after="0"/>
              <w:jc w:val="center"/>
            </w:pPr>
            <w:r/>
            <w:r>
              <w:rPr>
                <w:sz w:val="19"/>
              </w:rPr>
              <w:t>-0.5 to +2.7</w:t>
            </w:r>
          </w:p>
        </w:tc>
        <w:tc>
          <w:tcPr>
            <w:tcW w:type="dxa" w:w="1701"/>
          </w:tcPr>
          <w:p>
            <w:pPr>
              <w:spacing w:after="0"/>
              <w:jc w:val="center"/>
            </w:pPr>
            <w:r/>
            <w:r>
              <w:rPr>
                <w:sz w:val="19"/>
              </w:rPr>
              <w:t>7 / 5</w:t>
            </w:r>
          </w:p>
        </w:tc>
        <w:tc>
          <w:tcPr>
            <w:tcW w:type="dxa" w:w="1247"/>
          </w:tcPr>
          <w:p>
            <w:pPr>
              <w:spacing w:after="0"/>
              <w:jc w:val="center"/>
            </w:pPr>
            <w:r/>
            <w:r>
              <w:rPr>
                <w:sz w:val="19"/>
              </w:rPr>
              <w:t>0.52</w:t>
            </w:r>
          </w:p>
        </w:tc>
      </w:tr>
      <w:tr>
        <w:tc>
          <w:tcPr>
            <w:tcW w:type="dxa" w:w="3118"/>
          </w:tcPr>
          <w:p>
            <w:pPr>
              <w:spacing w:after="0"/>
            </w:pPr>
            <w:r/>
            <w:r>
              <w:rPr>
                <w:sz w:val="19"/>
              </w:rPr>
              <w:t>8 classes, mAP50-95</w:t>
            </w:r>
          </w:p>
        </w:tc>
        <w:tc>
          <w:tcPr>
            <w:tcW w:type="dxa" w:w="1247"/>
          </w:tcPr>
          <w:p>
            <w:pPr>
              <w:spacing w:after="0"/>
              <w:jc w:val="center"/>
            </w:pPr>
            <w:r/>
            <w:r>
              <w:rPr>
                <w:sz w:val="19"/>
              </w:rPr>
              <w:t>+2.4</w:t>
            </w:r>
          </w:p>
        </w:tc>
        <w:tc>
          <w:tcPr>
            <w:tcW w:type="dxa" w:w="1928"/>
          </w:tcPr>
          <w:p>
            <w:pPr>
              <w:spacing w:after="0"/>
              <w:jc w:val="center"/>
            </w:pPr>
            <w:r/>
            <w:r>
              <w:rPr>
                <w:sz w:val="19"/>
              </w:rPr>
              <w:t>+1.6 to +3.2</w:t>
            </w:r>
          </w:p>
        </w:tc>
        <w:tc>
          <w:tcPr>
            <w:tcW w:type="dxa" w:w="1701"/>
          </w:tcPr>
          <w:p>
            <w:pPr>
              <w:spacing w:after="0"/>
              <w:jc w:val="center"/>
            </w:pPr>
            <w:r/>
            <w:r>
              <w:rPr>
                <w:sz w:val="19"/>
              </w:rPr>
              <w:t>-</w:t>
            </w:r>
          </w:p>
        </w:tc>
        <w:tc>
          <w:tcPr>
            <w:tcW w:type="dxa" w:w="1247"/>
          </w:tcPr>
          <w:p>
            <w:pPr>
              <w:spacing w:after="0"/>
              <w:jc w:val="center"/>
            </w:pPr>
            <w:r/>
            <w:r>
              <w:rPr>
                <w:sz w:val="19"/>
              </w:rPr>
              <w:t>-</w:t>
            </w:r>
          </w:p>
        </w:tc>
      </w:tr>
    </w:tbl>
    <w:p>
      <w:pPr>
        <w:spacing w:after="40"/>
      </w:pP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835"/>
            <w:shd w:val="clear" w:color="auto" w:fill="3E4A3F"/>
          </w:tcPr>
          <w:p>
            <w:pPr>
              <w:spacing w:after="0"/>
            </w:pPr>
            <w:r/>
            <w:r>
              <w:rPr>
                <w:b/>
                <w:color w:val="FFFFFF"/>
                <w:sz w:val="19"/>
              </w:rPr>
              <w:t>Class (test mAP50)</w:t>
            </w:r>
          </w:p>
        </w:tc>
        <w:tc>
          <w:tcPr>
            <w:tcW w:type="dxa" w:w="1984"/>
            <w:shd w:val="clear" w:color="auto" w:fill="3E4A3F"/>
          </w:tcPr>
          <w:p>
            <w:pPr>
              <w:spacing w:after="0"/>
            </w:pPr>
            <w:r/>
            <w:r>
              <w:rPr>
                <w:b/>
                <w:color w:val="FFFFFF"/>
                <w:sz w:val="19"/>
              </w:rPr>
              <w:t>Best single model</w:t>
            </w:r>
          </w:p>
        </w:tc>
        <w:tc>
          <w:tcPr>
            <w:tcW w:type="dxa" w:w="1984"/>
            <w:shd w:val="clear" w:color="auto" w:fill="3E4A3F"/>
          </w:tcPr>
          <w:p>
            <w:pPr>
              <w:spacing w:after="0"/>
            </w:pPr>
            <w:r/>
            <w:r>
              <w:rPr>
                <w:b/>
                <w:color w:val="FFFFFF"/>
                <w:sz w:val="19"/>
              </w:rPr>
              <w:t>Deployed fusion</w:t>
            </w:r>
          </w:p>
        </w:tc>
        <w:tc>
          <w:tcPr>
            <w:tcW w:type="dxa" w:w="1417"/>
            <w:shd w:val="clear" w:color="auto" w:fill="3E4A3F"/>
          </w:tcPr>
          <w:p>
            <w:pPr>
              <w:spacing w:after="0"/>
            </w:pPr>
            <w:r/>
            <w:r>
              <w:rPr>
                <w:b/>
                <w:color w:val="FFFFFF"/>
                <w:sz w:val="19"/>
              </w:rPr>
              <w:t>Change</w:t>
            </w:r>
          </w:p>
        </w:tc>
      </w:tr>
      <w:tr>
        <w:tc>
          <w:tcPr>
            <w:tcW w:type="dxa" w:w="2835"/>
          </w:tcPr>
          <w:p>
            <w:pPr>
              <w:spacing w:after="0"/>
            </w:pPr>
            <w:r/>
            <w:r>
              <w:rPr>
                <w:sz w:val="19"/>
              </w:rPr>
              <w:t>Dead_Knot</w:t>
            </w:r>
          </w:p>
        </w:tc>
        <w:tc>
          <w:tcPr>
            <w:tcW w:type="dxa" w:w="1984"/>
          </w:tcPr>
          <w:p>
            <w:pPr>
              <w:spacing w:after="0"/>
              <w:jc w:val="center"/>
            </w:pPr>
            <w:r/>
            <w:r>
              <w:rPr>
                <w:sz w:val="19"/>
              </w:rPr>
              <w:t>87.5</w:t>
            </w:r>
          </w:p>
        </w:tc>
        <w:tc>
          <w:tcPr>
            <w:tcW w:type="dxa" w:w="1984"/>
          </w:tcPr>
          <w:p>
            <w:pPr>
              <w:spacing w:after="0"/>
              <w:jc w:val="center"/>
            </w:pPr>
            <w:r/>
            <w:r>
              <w:rPr>
                <w:sz w:val="19"/>
              </w:rPr>
              <w:t>90.3</w:t>
            </w:r>
          </w:p>
        </w:tc>
        <w:tc>
          <w:tcPr>
            <w:tcW w:type="dxa" w:w="1417"/>
          </w:tcPr>
          <w:p>
            <w:pPr>
              <w:spacing w:after="0"/>
              <w:jc w:val="center"/>
            </w:pPr>
            <w:r/>
            <w:r>
              <w:rPr>
                <w:sz w:val="19"/>
              </w:rPr>
              <w:t>+2.8</w:t>
            </w:r>
          </w:p>
        </w:tc>
      </w:tr>
      <w:tr>
        <w:tc>
          <w:tcPr>
            <w:tcW w:type="dxa" w:w="2835"/>
          </w:tcPr>
          <w:p>
            <w:pPr>
              <w:spacing w:after="0"/>
            </w:pPr>
            <w:r/>
            <w:r>
              <w:rPr>
                <w:sz w:val="19"/>
              </w:rPr>
              <w:t>Live_Knot</w:t>
            </w:r>
          </w:p>
        </w:tc>
        <w:tc>
          <w:tcPr>
            <w:tcW w:type="dxa" w:w="1984"/>
          </w:tcPr>
          <w:p>
            <w:pPr>
              <w:spacing w:after="0"/>
              <w:jc w:val="center"/>
            </w:pPr>
            <w:r/>
            <w:r>
              <w:rPr>
                <w:sz w:val="19"/>
              </w:rPr>
              <w:t>76.4</w:t>
            </w:r>
          </w:p>
        </w:tc>
        <w:tc>
          <w:tcPr>
            <w:tcW w:type="dxa" w:w="1984"/>
          </w:tcPr>
          <w:p>
            <w:pPr>
              <w:spacing w:after="0"/>
              <w:jc w:val="center"/>
            </w:pPr>
            <w:r/>
            <w:r>
              <w:rPr>
                <w:sz w:val="19"/>
              </w:rPr>
              <w:t>78.6</w:t>
            </w:r>
          </w:p>
        </w:tc>
        <w:tc>
          <w:tcPr>
            <w:tcW w:type="dxa" w:w="1417"/>
          </w:tcPr>
          <w:p>
            <w:pPr>
              <w:spacing w:after="0"/>
              <w:jc w:val="center"/>
            </w:pPr>
            <w:r/>
            <w:r>
              <w:rPr>
                <w:sz w:val="19"/>
              </w:rPr>
              <w:t>+2.2</w:t>
            </w:r>
          </w:p>
        </w:tc>
      </w:tr>
      <w:tr>
        <w:tc>
          <w:tcPr>
            <w:tcW w:type="dxa" w:w="2835"/>
          </w:tcPr>
          <w:p>
            <w:pPr>
              <w:spacing w:after="0"/>
            </w:pPr>
            <w:r/>
            <w:r>
              <w:rPr>
                <w:sz w:val="19"/>
              </w:rPr>
              <w:t>Resin</w:t>
            </w:r>
          </w:p>
        </w:tc>
        <w:tc>
          <w:tcPr>
            <w:tcW w:type="dxa" w:w="1984"/>
          </w:tcPr>
          <w:p>
            <w:pPr>
              <w:spacing w:after="0"/>
              <w:jc w:val="center"/>
            </w:pPr>
            <w:r/>
            <w:r>
              <w:rPr>
                <w:sz w:val="19"/>
              </w:rPr>
              <w:t>64.2</w:t>
            </w:r>
          </w:p>
        </w:tc>
        <w:tc>
          <w:tcPr>
            <w:tcW w:type="dxa" w:w="1984"/>
          </w:tcPr>
          <w:p>
            <w:pPr>
              <w:spacing w:after="0"/>
              <w:jc w:val="center"/>
            </w:pPr>
            <w:r/>
            <w:r>
              <w:rPr>
                <w:sz w:val="19"/>
              </w:rPr>
              <w:t>69.7</w:t>
            </w:r>
          </w:p>
        </w:tc>
        <w:tc>
          <w:tcPr>
            <w:tcW w:type="dxa" w:w="1417"/>
          </w:tcPr>
          <w:p>
            <w:pPr>
              <w:spacing w:after="0"/>
              <w:jc w:val="center"/>
            </w:pPr>
            <w:r/>
            <w:r>
              <w:rPr>
                <w:sz w:val="19"/>
              </w:rPr>
              <w:t>+5.5</w:t>
            </w:r>
          </w:p>
        </w:tc>
      </w:tr>
      <w:tr>
        <w:tc>
          <w:tcPr>
            <w:tcW w:type="dxa" w:w="2835"/>
          </w:tcPr>
          <w:p>
            <w:pPr>
              <w:spacing w:after="0"/>
            </w:pPr>
            <w:r/>
            <w:r>
              <w:rPr>
                <w:sz w:val="19"/>
              </w:rPr>
              <w:t>Crack</w:t>
            </w:r>
          </w:p>
        </w:tc>
        <w:tc>
          <w:tcPr>
            <w:tcW w:type="dxa" w:w="1984"/>
          </w:tcPr>
          <w:p>
            <w:pPr>
              <w:spacing w:after="0"/>
              <w:jc w:val="center"/>
            </w:pPr>
            <w:r/>
            <w:r>
              <w:rPr>
                <w:sz w:val="19"/>
              </w:rPr>
              <w:t>48.7</w:t>
            </w:r>
          </w:p>
        </w:tc>
        <w:tc>
          <w:tcPr>
            <w:tcW w:type="dxa" w:w="1984"/>
          </w:tcPr>
          <w:p>
            <w:pPr>
              <w:spacing w:after="0"/>
              <w:jc w:val="center"/>
            </w:pPr>
            <w:r/>
            <w:r>
              <w:rPr>
                <w:sz w:val="19"/>
              </w:rPr>
              <w:t>60.2</w:t>
            </w:r>
          </w:p>
        </w:tc>
        <w:tc>
          <w:tcPr>
            <w:tcW w:type="dxa" w:w="1417"/>
          </w:tcPr>
          <w:p>
            <w:pPr>
              <w:spacing w:after="0"/>
              <w:jc w:val="center"/>
            </w:pPr>
            <w:r/>
            <w:r>
              <w:rPr>
                <w:sz w:val="19"/>
              </w:rPr>
              <w:t>+11.5</w:t>
            </w:r>
          </w:p>
        </w:tc>
      </w:tr>
    </w:tbl>
    <w:p>
      <w:pPr>
        <w:spacing w:after="40"/>
      </w:pPr>
    </w:p>
    <w:p>
      <w:r>
        <w:rPr>
          <w:i w:val="0"/>
        </w:rPr>
        <w:t>Fusion helps every class, most of all Crack (+11.5) and Resin (+5.5), the two thinner and rarer defects.</w:t>
      </w:r>
    </w:p>
    <w:p>
      <w:pPr>
        <w:pStyle w:val="Heading2"/>
      </w:pPr>
      <w:r>
        <w:t>5.3 What did not help (also a finding)</w:t>
      </w:r>
    </w:p>
    <w:p>
      <w:pPr>
        <w:pStyle w:val="ListBullet"/>
      </w:pPr>
      <w:r>
        <w:rPr>
          <w:b/>
        </w:rPr>
        <w:t xml:space="preserve">Class balancing alone </w:t>
      </w:r>
      <w:r>
        <w:rPr>
          <w:i w:val="0"/>
        </w:rPr>
        <w:t>helped on validation (+2.2) but not on test; full balance was worst, because only 160 cracks could be cut out cleanly and each was pasted up to 17 times.</w:t>
      </w:r>
    </w:p>
    <w:p>
      <w:pPr>
        <w:pStyle w:val="ListBullet"/>
      </w:pPr>
      <w:r>
        <w:rPr>
          <w:b/>
        </w:rPr>
        <w:t xml:space="preserve">1280-px input alone </w:t>
      </w:r>
      <w:r>
        <w:rPr>
          <w:i w:val="0"/>
        </w:rPr>
        <w:t>was not better on validation.</w:t>
      </w:r>
    </w:p>
    <w:p>
      <w:pPr>
        <w:pStyle w:val="ListBullet"/>
      </w:pPr>
      <w:r>
        <w:rPr>
          <w:b/>
        </w:rPr>
        <w:t xml:space="preserve">Wise-IoU </w:t>
      </w:r>
      <w:r>
        <w:rPr>
          <w:i w:val="0"/>
        </w:rPr>
        <w:t>scored 74.6 vs 75.3 on validation, within the seed spread of 0.8: not adopted.</w:t>
      </w:r>
    </w:p>
    <w:p>
      <w:pPr>
        <w:pStyle w:val="ListBullet"/>
      </w:pPr>
      <w:r>
        <w:rPr>
          <w:b/>
        </w:rPr>
        <w:t xml:space="preserve">Per-class thresholds </w:t>
      </w:r>
      <w:r>
        <w:rPr>
          <w:i w:val="0"/>
        </w:rPr>
        <w:t>lowered macro-F1 on test (71.2 vs 73.6 with one global threshold): they over-fit the few validation boxes.</w:t>
      </w:r>
    </w:p>
    <w:p>
      <w:r>
        <w:rPr>
          <w:i w:val="0"/>
        </w:rPr>
        <w:t>Fusion works because the four models make different mistakes: different input sizes and different class balance. Averaging them cancels some errors and places boxes more precisely. Its cost is speed: four models run per image, about 4x the single-model time (about 2 seconds per image on a laptop CPU).</w:t>
      </w:r>
    </w:p>
    <w:p>
      <w:pPr>
        <w:pStyle w:val="Heading2"/>
      </w:pPr>
      <w:r>
        <w:t>5.4 Benefits and limits</w:t>
      </w:r>
    </w:p>
    <w:p>
      <w:pPr>
        <w:pStyle w:val="ListBullet"/>
      </w:pPr>
      <w:r>
        <w:rPr>
          <w:b/>
        </w:rPr>
        <w:t xml:space="preserve">Benefits: </w:t>
      </w:r>
      <w:r>
        <w:rPr>
          <w:i w:val="0"/>
        </w:rPr>
        <w:t>a measured, significant accuracy gain with a confidence interval, and every choice made before seeing the test set.</w:t>
      </w:r>
    </w:p>
    <w:p>
      <w:pPr>
        <w:pStyle w:val="ListBullet"/>
      </w:pPr>
      <w:r>
        <w:rPr>
          <w:b/>
        </w:rPr>
        <w:t xml:space="preserve">Limits: </w:t>
      </w:r>
      <w:r>
        <w:rPr>
          <w:i w:val="0"/>
        </w:rPr>
        <w:t>12 test boards is a small test set; severity weights and grade thresholds still need an expert; the four rare classes are out of scope.</w:t>
      </w:r>
    </w:p>
    <w:p>
      <w:pPr>
        <w:pStyle w:val="Heading1"/>
      </w:pPr>
      <w:r>
        <w:t>6. The guide's mathematical model (BRI) and our changes</w:t>
      </w:r>
    </w:p>
    <w:p>
      <w:r>
        <w:rPr>
          <w:i w:val="0"/>
        </w:rPr>
        <w:t>The guide's document proposed the Board Recoverability Index (BRI): it turns the detected defects into a damage score, a recoverable area and a grade A / B / C / Reject. It does not change detection accuracy; it is the quality-assessment part of the project. We implemented all six steps exactly as given, and our code reproduces the worked example of the document (damage score 0.020860, grade B).</w:t>
      </w:r>
    </w:p>
    <w:p>
      <w:pPr>
        <w:jc w:val="center"/>
      </w:pPr>
      <w:r>
        <w:rPr>
          <w:rFonts w:ascii="Cambria Math" w:hAnsi="Cambria Math"/>
          <w:i/>
          <w:sz w:val="23"/>
        </w:rPr>
        <w:t>s_i = w_c × conf_i × p_i,   p_i = 1 − exp(−d_i / λ),   DIS = Σ max_i s_i / A_board,   A_rec = A_board (1 − DIS)</w:t>
      </w:r>
    </w:p>
    <w:p>
      <w:pPr>
        <w:jc w:val="center"/>
      </w:pPr>
      <w:r>
        <w:drawing>
          <wp:inline xmlns:a="http://schemas.openxmlformats.org/drawingml/2006/main" xmlns:pic="http://schemas.openxmlformats.org/drawingml/2006/picture">
            <wp:extent cx="5040000" cy="2452500"/>
            <wp:docPr id="1" name="Picture 1"/>
            <wp:cNvGraphicFramePr>
              <a:graphicFrameLocks noChangeAspect="1"/>
            </wp:cNvGraphicFramePr>
            <a:graphic>
              <a:graphicData uri="http://schemas.openxmlformats.org/drawingml/2006/picture">
                <pic:pic>
                  <pic:nvPicPr>
                    <pic:cNvPr id="0" name="bri_geometry.png"/>
                    <pic:cNvPicPr/>
                  </pic:nvPicPr>
                  <pic:blipFill>
                    <a:blip r:embed="rId9"/>
                    <a:stretch>
                      <a:fillRect/>
                    </a:stretch>
                  </pic:blipFill>
                  <pic:spPr>
                    <a:xfrm>
                      <a:off x="0" y="0"/>
                      <a:ext cx="5040000" cy="2452500"/>
                    </a:xfrm>
                    <a:prstGeom prst="rect"/>
                  </pic:spPr>
                </pic:pic>
              </a:graphicData>
            </a:graphic>
          </wp:inline>
        </w:drawing>
      </w:r>
    </w:p>
    <w:p>
      <w:pPr>
        <w:jc w:val="center"/>
      </w:pPr>
      <w:r>
        <w:rPr>
          <w:i/>
          <w:sz w:val="19"/>
        </w:rPr>
        <w:t>Fig. Our images are sections of a board, with black conveyor on both sides; the trimmable edges are the board's sides.</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3E4A3F"/>
          </w:tcPr>
          <w:p>
            <w:pPr>
              <w:spacing w:after="0"/>
            </w:pPr>
            <w:r/>
            <w:r>
              <w:rPr>
                <w:b/>
                <w:color w:val="FFFFFF"/>
                <w:sz w:val="18"/>
              </w:rPr>
              <w:t>Part of BRI</w:t>
            </w:r>
          </w:p>
        </w:tc>
        <w:tc>
          <w:tcPr>
            <w:tcW w:type="dxa" w:w="2154"/>
            <w:shd w:val="clear" w:color="auto" w:fill="3E4A3F"/>
          </w:tcPr>
          <w:p>
            <w:pPr>
              <w:spacing w:after="0"/>
            </w:pPr>
            <w:r/>
            <w:r>
              <w:rPr>
                <w:b/>
                <w:color w:val="FFFFFF"/>
                <w:sz w:val="18"/>
              </w:rPr>
              <w:t>Guide's version</w:t>
            </w:r>
          </w:p>
        </w:tc>
        <w:tc>
          <w:tcPr>
            <w:tcW w:type="dxa" w:w="5499"/>
            <w:shd w:val="clear" w:color="auto" w:fill="3E4A3F"/>
          </w:tcPr>
          <w:p>
            <w:pPr>
              <w:spacing w:after="0"/>
            </w:pPr>
            <w:r/>
            <w:r>
              <w:rPr>
                <w:b/>
                <w:color w:val="FFFFFF"/>
                <w:sz w:val="18"/>
              </w:rPr>
              <w:t>Our change and why</w:t>
            </w:r>
          </w:p>
        </w:tc>
      </w:tr>
      <w:tr>
        <w:tc>
          <w:tcPr>
            <w:tcW w:type="dxa" w:w="1701"/>
          </w:tcPr>
          <w:p>
            <w:pPr>
              <w:spacing w:after="0"/>
            </w:pPr>
            <w:r/>
            <w:r>
              <w:rPr>
                <w:sz w:val="18"/>
              </w:rPr>
              <w:t>Distance d_i</w:t>
            </w:r>
          </w:p>
        </w:tc>
        <w:tc>
          <w:tcPr>
            <w:tcW w:type="dxa" w:w="2154"/>
          </w:tcPr>
          <w:p>
            <w:pPr>
              <w:spacing w:after="0"/>
              <w:jc w:val="center"/>
            </w:pPr>
            <w:r/>
            <w:r>
              <w:rPr>
                <w:sz w:val="18"/>
              </w:rPr>
              <w:t>to the nearest image border</w:t>
            </w:r>
          </w:p>
        </w:tc>
        <w:tc>
          <w:tcPr>
            <w:tcW w:type="dxa" w:w="5499"/>
          </w:tcPr>
          <w:p>
            <w:pPr>
              <w:spacing w:after="0"/>
              <w:jc w:val="center"/>
            </w:pPr>
            <w:r/>
            <w:r>
              <w:rPr>
                <w:sz w:val="18"/>
              </w:rPr>
              <w:t>to the nearest side edge of the board (board mask): image borders include ~160 px of conveyor, and the top and bottom are cuts between sections, not edges a sawmill can trim</w:t>
            </w:r>
          </w:p>
        </w:tc>
      </w:tr>
      <w:tr>
        <w:tc>
          <w:tcPr>
            <w:tcW w:type="dxa" w:w="1701"/>
          </w:tcPr>
          <w:p>
            <w:pPr>
              <w:spacing w:after="0"/>
            </w:pPr>
            <w:r/>
            <w:r>
              <w:rPr>
                <w:sz w:val="18"/>
              </w:rPr>
              <w:t>Board area</w:t>
            </w:r>
          </w:p>
        </w:tc>
        <w:tc>
          <w:tcPr>
            <w:tcW w:type="dxa" w:w="2154"/>
          </w:tcPr>
          <w:p>
            <w:pPr>
              <w:spacing w:after="0"/>
              <w:jc w:val="center"/>
            </w:pPr>
            <w:r/>
            <w:r>
              <w:rPr>
                <w:sz w:val="18"/>
              </w:rPr>
              <w:t>image width x height</w:t>
            </w:r>
          </w:p>
        </w:tc>
        <w:tc>
          <w:tcPr>
            <w:tcW w:type="dxa" w:w="5499"/>
          </w:tcPr>
          <w:p>
            <w:pPr>
              <w:spacing w:after="0"/>
              <w:jc w:val="center"/>
            </w:pPr>
            <w:r/>
            <w:r>
              <w:rPr>
                <w:sz w:val="18"/>
              </w:rPr>
              <w:t>wood pixels only: the conveyor is ~12 % of each image</w:t>
            </w:r>
          </w:p>
        </w:tc>
      </w:tr>
      <w:tr>
        <w:tc>
          <w:tcPr>
            <w:tcW w:type="dxa" w:w="1701"/>
          </w:tcPr>
          <w:p>
            <w:pPr>
              <w:spacing w:after="0"/>
            </w:pPr>
            <w:r/>
            <w:r>
              <w:rPr>
                <w:sz w:val="18"/>
              </w:rPr>
              <w:t>Grade thresholds</w:t>
            </w:r>
          </w:p>
        </w:tc>
        <w:tc>
          <w:tcPr>
            <w:tcW w:type="dxa" w:w="2154"/>
          </w:tcPr>
          <w:p>
            <w:pPr>
              <w:spacing w:after="0"/>
              <w:jc w:val="center"/>
            </w:pPr>
            <w:r/>
            <w:r>
              <w:rPr>
                <w:sz w:val="18"/>
              </w:rPr>
              <w:t>0.01 / 0.03 / 0.06 (illustrative)</w:t>
            </w:r>
          </w:p>
        </w:tc>
        <w:tc>
          <w:tcPr>
            <w:tcW w:type="dxa" w:w="5499"/>
          </w:tcPr>
          <w:p>
            <w:pPr>
              <w:spacing w:after="0"/>
              <w:jc w:val="center"/>
            </w:pPr>
            <w:r/>
            <w:r>
              <w:rPr>
                <w:sz w:val="18"/>
              </w:rPr>
              <w:t>fitted on validation boards: these defaults grade 72 % of our boards A; the detector gets its own thresholds (guide's calibrate_thresholds) because model confidences are below 1</w:t>
            </w:r>
          </w:p>
        </w:tc>
      </w:tr>
      <w:tr>
        <w:tc>
          <w:tcPr>
            <w:tcW w:type="dxa" w:w="1701"/>
          </w:tcPr>
          <w:p>
            <w:pPr>
              <w:spacing w:after="0"/>
            </w:pPr>
            <w:r/>
            <w:r>
              <w:rPr>
                <w:sz w:val="18"/>
              </w:rPr>
              <w:t>Severity weights</w:t>
            </w:r>
          </w:p>
        </w:tc>
        <w:tc>
          <w:tcPr>
            <w:tcW w:type="dxa" w:w="2154"/>
          </w:tcPr>
          <w:p>
            <w:pPr>
              <w:spacing w:after="0"/>
              <w:jc w:val="center"/>
            </w:pPr>
            <w:r/>
            <w:r>
              <w:rPr>
                <w:sz w:val="18"/>
              </w:rPr>
              <w:t>8-class placeholder table</w:t>
            </w:r>
          </w:p>
        </w:tc>
        <w:tc>
          <w:tcPr>
            <w:tcW w:type="dxa" w:w="5499"/>
          </w:tcPr>
          <w:p>
            <w:pPr>
              <w:spacing w:after="0"/>
              <w:jc w:val="center"/>
            </w:pPr>
            <w:r/>
            <w:r>
              <w:rPr>
                <w:sz w:val="18"/>
              </w:rPr>
              <w:t>same values for the 4 classes kept: Crack 1.00, Dead_Knot 0.60, Live_Knot 0.40, Resin 0.30 (await the guide's ranking)</w:t>
            </w:r>
          </w:p>
        </w:tc>
      </w:tr>
    </w:tbl>
    <w:p>
      <w:pPr>
        <w:spacing w:after="40"/>
      </w:pPr>
    </w:p>
    <w:p>
      <w:r>
        <w:rPr>
          <w:i w:val="0"/>
        </w:rPr>
        <w:t>Validation (no expert grades yet): the reference grade is BRI computed on the annotators' boxes; the model grade is BRI on the detector's boxes; all thresholds are fitted on validation and agreement is measured on the 12 test boards.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175"/>
            <w:shd w:val="clear" w:color="auto" w:fill="3E4A3F"/>
          </w:tcPr>
          <w:p>
            <w:pPr>
              <w:spacing w:after="0"/>
            </w:pPr>
            <w:r/>
            <w:r>
              <w:rPr>
                <w:b/>
                <w:color w:val="FFFFFF"/>
                <w:sz w:val="18"/>
              </w:rPr>
              <w:t>Agreement with the annotation-based grade</w:t>
            </w:r>
          </w:p>
        </w:tc>
        <w:tc>
          <w:tcPr>
            <w:tcW w:type="dxa" w:w="2041"/>
            <w:shd w:val="clear" w:color="auto" w:fill="3E4A3F"/>
          </w:tcPr>
          <w:p>
            <w:pPr>
              <w:spacing w:after="0"/>
            </w:pPr>
            <w:r/>
            <w:r>
              <w:rPr>
                <w:b/>
                <w:color w:val="FFFFFF"/>
                <w:sz w:val="18"/>
              </w:rPr>
              <w:t>Deployed detector, per image</w:t>
            </w:r>
          </w:p>
        </w:tc>
        <w:tc>
          <w:tcPr>
            <w:tcW w:type="dxa" w:w="2041"/>
            <w:shd w:val="clear" w:color="auto" w:fill="3E4A3F"/>
          </w:tcPr>
          <w:p>
            <w:pPr>
              <w:spacing w:after="0"/>
            </w:pPr>
            <w:r/>
            <w:r>
              <w:rPr>
                <w:b/>
                <w:color w:val="FFFFFF"/>
                <w:sz w:val="18"/>
              </w:rPr>
              <w:t>Deployed detector, per board</w:t>
            </w:r>
          </w:p>
        </w:tc>
        <w:tc>
          <w:tcPr>
            <w:tcW w:type="dxa" w:w="2041"/>
            <w:shd w:val="clear" w:color="auto" w:fill="3E4A3F"/>
          </w:tcPr>
          <w:p>
            <w:pPr>
              <w:spacing w:after="0"/>
            </w:pPr>
            <w:r/>
            <w:r>
              <w:rPr>
                <w:b/>
                <w:color w:val="FFFFFF"/>
                <w:sz w:val="18"/>
              </w:rPr>
              <w:t>Best single model, per image</w:t>
            </w:r>
          </w:p>
        </w:tc>
      </w:tr>
      <w:tr>
        <w:tc>
          <w:tcPr>
            <w:tcW w:type="dxa" w:w="3175"/>
          </w:tcPr>
          <w:p>
            <w:pPr>
              <w:spacing w:after="0"/>
            </w:pPr>
            <w:r/>
            <w:r>
              <w:rPr>
                <w:sz w:val="18"/>
              </w:rPr>
              <w:t>Exact grade</w:t>
            </w:r>
          </w:p>
        </w:tc>
        <w:tc>
          <w:tcPr>
            <w:tcW w:type="dxa" w:w="2041"/>
          </w:tcPr>
          <w:p>
            <w:pPr>
              <w:spacing w:after="0"/>
              <w:jc w:val="center"/>
            </w:pPr>
            <w:r/>
            <w:r>
              <w:rPr>
                <w:sz w:val="18"/>
              </w:rPr>
              <w:t>78.3 %</w:t>
            </w:r>
          </w:p>
        </w:tc>
        <w:tc>
          <w:tcPr>
            <w:tcW w:type="dxa" w:w="2041"/>
          </w:tcPr>
          <w:p>
            <w:pPr>
              <w:spacing w:after="0"/>
              <w:jc w:val="center"/>
            </w:pPr>
            <w:r/>
            <w:r>
              <w:rPr>
                <w:sz w:val="18"/>
              </w:rPr>
              <w:t>83.3 %</w:t>
            </w:r>
          </w:p>
        </w:tc>
        <w:tc>
          <w:tcPr>
            <w:tcW w:type="dxa" w:w="2041"/>
          </w:tcPr>
          <w:p>
            <w:pPr>
              <w:spacing w:after="0"/>
              <w:jc w:val="center"/>
            </w:pPr>
            <w:r/>
            <w:r>
              <w:rPr>
                <w:sz w:val="18"/>
              </w:rPr>
              <w:t>79.7 %</w:t>
            </w:r>
          </w:p>
        </w:tc>
      </w:tr>
      <w:tr>
        <w:tc>
          <w:tcPr>
            <w:tcW w:type="dxa" w:w="3175"/>
          </w:tcPr>
          <w:p>
            <w:pPr>
              <w:spacing w:after="0"/>
            </w:pPr>
            <w:r/>
            <w:r>
              <w:rPr>
                <w:sz w:val="18"/>
              </w:rPr>
              <w:t>Within one grade</w:t>
            </w:r>
          </w:p>
        </w:tc>
        <w:tc>
          <w:tcPr>
            <w:tcW w:type="dxa" w:w="2041"/>
          </w:tcPr>
          <w:p>
            <w:pPr>
              <w:spacing w:after="0"/>
              <w:jc w:val="center"/>
            </w:pPr>
            <w:r/>
            <w:r>
              <w:rPr>
                <w:sz w:val="18"/>
              </w:rPr>
              <w:t>96.2 %</w:t>
            </w:r>
          </w:p>
        </w:tc>
        <w:tc>
          <w:tcPr>
            <w:tcW w:type="dxa" w:w="2041"/>
          </w:tcPr>
          <w:p>
            <w:pPr>
              <w:spacing w:after="0"/>
              <w:jc w:val="center"/>
            </w:pPr>
            <w:r/>
            <w:r>
              <w:rPr>
                <w:sz w:val="18"/>
              </w:rPr>
              <w:t>100.0 %</w:t>
            </w:r>
          </w:p>
        </w:tc>
        <w:tc>
          <w:tcPr>
            <w:tcW w:type="dxa" w:w="2041"/>
          </w:tcPr>
          <w:p>
            <w:pPr>
              <w:spacing w:after="0"/>
              <w:jc w:val="center"/>
            </w:pPr>
            <w:r/>
            <w:r>
              <w:rPr>
                <w:sz w:val="18"/>
              </w:rPr>
              <w:t>97.4 %</w:t>
            </w:r>
          </w:p>
        </w:tc>
      </w:tr>
      <w:tr>
        <w:tc>
          <w:tcPr>
            <w:tcW w:type="dxa" w:w="3175"/>
          </w:tcPr>
          <w:p>
            <w:pPr>
              <w:spacing w:after="0"/>
            </w:pPr>
            <w:r/>
            <w:r>
              <w:rPr>
                <w:sz w:val="18"/>
              </w:rPr>
              <w:t>Quadratic weighted kappa</w:t>
            </w:r>
          </w:p>
        </w:tc>
        <w:tc>
          <w:tcPr>
            <w:tcW w:type="dxa" w:w="2041"/>
          </w:tcPr>
          <w:p>
            <w:pPr>
              <w:spacing w:after="0"/>
              <w:jc w:val="center"/>
            </w:pPr>
            <w:r/>
            <w:r>
              <w:rPr>
                <w:sz w:val="18"/>
              </w:rPr>
              <w:t>0.83</w:t>
            </w:r>
          </w:p>
        </w:tc>
        <w:tc>
          <w:tcPr>
            <w:tcW w:type="dxa" w:w="2041"/>
          </w:tcPr>
          <w:p>
            <w:pPr>
              <w:spacing w:after="0"/>
              <w:jc w:val="center"/>
            </w:pPr>
            <w:r/>
            <w:r>
              <w:rPr>
                <w:sz w:val="18"/>
              </w:rPr>
              <w:t>0.73</w:t>
            </w:r>
          </w:p>
        </w:tc>
        <w:tc>
          <w:tcPr>
            <w:tcW w:type="dxa" w:w="2041"/>
          </w:tcPr>
          <w:p>
            <w:pPr>
              <w:spacing w:after="0"/>
              <w:jc w:val="center"/>
            </w:pPr>
            <w:r/>
            <w:r>
              <w:rPr>
                <w:sz w:val="18"/>
              </w:rPr>
              <w:t>0.86</w:t>
            </w:r>
          </w:p>
        </w:tc>
      </w:tr>
      <w:tr>
        <w:tc>
          <w:tcPr>
            <w:tcW w:type="dxa" w:w="3175"/>
          </w:tcPr>
          <w:p>
            <w:pPr>
              <w:spacing w:after="0"/>
            </w:pPr>
            <w:r/>
            <w:r>
              <w:rPr>
                <w:sz w:val="18"/>
              </w:rPr>
              <w:t>Mean abs. error of recoverable area</w:t>
            </w:r>
          </w:p>
        </w:tc>
        <w:tc>
          <w:tcPr>
            <w:tcW w:type="dxa" w:w="2041"/>
          </w:tcPr>
          <w:p>
            <w:pPr>
              <w:spacing w:after="0"/>
              <w:jc w:val="center"/>
            </w:pPr>
            <w:r/>
            <w:r>
              <w:rPr>
                <w:sz w:val="18"/>
              </w:rPr>
              <w:t>0.47 points</w:t>
            </w:r>
          </w:p>
        </w:tc>
        <w:tc>
          <w:tcPr>
            <w:tcW w:type="dxa" w:w="2041"/>
          </w:tcPr>
          <w:p>
            <w:pPr>
              <w:spacing w:after="0"/>
              <w:jc w:val="center"/>
            </w:pPr>
            <w:r/>
            <w:r>
              <w:rPr>
                <w:sz w:val="18"/>
              </w:rPr>
              <w:t>0.50 points</w:t>
            </w:r>
          </w:p>
        </w:tc>
        <w:tc>
          <w:tcPr>
            <w:tcW w:type="dxa" w:w="2041"/>
          </w:tcPr>
          <w:p>
            <w:pPr>
              <w:spacing w:after="0"/>
              <w:jc w:val="center"/>
            </w:pPr>
            <w:r/>
            <w:r>
              <w:rPr>
                <w:sz w:val="18"/>
              </w:rPr>
              <w:t>0.41 points</w:t>
            </w:r>
          </w:p>
        </w:tc>
      </w:tr>
    </w:tbl>
    <w:p>
      <w:pPr>
        <w:spacing w:after="40"/>
      </w:pPr>
    </w:p>
    <w:p>
      <w:r>
        <w:rPr>
          <w:i w:val="0"/>
        </w:rPr>
        <w:t>The grading also feeds a value estimate in the application: value = board volume x recoverable share x grade-A price x grade factor (all inputs editable).</w:t>
      </w:r>
    </w:p>
    <w:p>
      <w:r>
        <w:rPr>
          <w:b/>
        </w:rPr>
        <w:t xml:space="preserve">Open points for the guide: </w:t>
      </w:r>
      <w:r>
        <w:rPr>
          <w:i w:val="0"/>
        </w:rPr>
      </w:r>
      <w:r>
        <w:t>(1) approve the changes above; (2) rank the four defect classes by severity; (3) blind expert grading of 30-50 board images (e.g. via the IWST contact) to calibrate the weights and thresholds and report kappa against an expert, as in Section 5 of her document.</w:t>
      </w:r>
    </w:p>
    <w:p>
      <w:pPr>
        <w:pStyle w:val="Heading1"/>
      </w:pPr>
      <w:r>
        <w:t>7. Deliverables and suggested contributions for the paper</w:t>
      </w:r>
    </w:p>
    <w:p>
      <w:pPr>
        <w:pStyle w:val="ListBullet"/>
      </w:pPr>
      <w:r>
        <w:rPr>
          <w:b/>
        </w:rPr>
        <w:t xml:space="preserve">Documents: </w:t>
      </w:r>
      <w:r>
        <w:rPr>
          <w:i w:val="0"/>
        </w:rPr>
        <w:t>final presentation (33 slides) for 24 October; status update on BRI for the guide.</w:t>
      </w:r>
    </w:p>
    <w:p>
      <w:pPr>
        <w:pStyle w:val="ListBullet"/>
      </w:pPr>
      <w:r>
        <w:rPr>
          <w:b/>
        </w:rPr>
        <w:t xml:space="preserve">Application: </w:t>
      </w:r>
      <w:r>
        <w:rPr>
          <w:i w:val="0"/>
        </w:rPr>
        <w:t>web application (default: the deployed fusion detector, with grading and value estimate).</w:t>
      </w:r>
    </w:p>
    <w:p>
      <w:pPr>
        <w:pStyle w:val="ListBullet"/>
      </w:pPr>
      <w:r>
        <w:rPr>
          <w:b/>
        </w:rPr>
        <w:t xml:space="preserve">Code: </w:t>
      </w:r>
      <w:r>
        <w:rPr>
          <w:i w:val="0"/>
        </w:rPr>
        <w:t>prepare_dataset, build_balanced, train_yolo11m, train_wiou, evaluate, eval_capture, math_model, bri, bri_validate, enhance_study; every decision and result logged in NOTES.md.</w:t>
      </w:r>
    </w:p>
    <w:p>
      <w:r>
        <w:rPr>
          <w:i w:val="0"/>
        </w:rPr>
        <w:t>Contributions the paper can claim:</w:t>
      </w:r>
    </w:p>
    <w:p>
      <w:pPr>
        <w:pStyle w:val="ListNumber"/>
      </w:pPr>
      <w:r>
        <w:rPr>
          <w:i w:val="0"/>
        </w:rPr>
        <w:t>A leakage-free, board-level evaluation of YOLO11 on industrial line-scan timber images, showing that model size is not the bottleneck.</w:t>
      </w:r>
    </w:p>
    <w:p>
      <w:pPr>
        <w:pStyle w:val="ListNumber"/>
      </w:pPr>
      <w:r>
        <w:rPr>
          <w:i w:val="0"/>
        </w:rPr>
        <w:t>A mathematical model (class-balancing rule + weighted box fusion) that raises mAP50 from 69.2 to 74.7 with a significant board-level confidence interval.</w:t>
      </w:r>
    </w:p>
    <w:p>
      <w:pPr>
        <w:pStyle w:val="ListNumber"/>
      </w:pPr>
      <w:r>
        <w:rPr>
          <w:i w:val="0"/>
        </w:rPr>
        <w:t>An adapted Board Recoverability Index for line-scan geometry, validated with weighted kappa 0.83.</w:t>
      </w:r>
    </w:p>
    <w:p>
      <w:pPr>
        <w:pStyle w:val="ListNumber"/>
      </w:pPr>
      <w:r>
        <w:rPr>
          <w:i w:val="0"/>
        </w:rPr>
        <w:t>Negative results reported with intervals: enhancement (CLAHE), Wise-IoU, per-class thresholds and higher resolution did not help.</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E4A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E4A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3E4A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