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A4983">
      <w:pPr>
        <w:spacing w:after="80"/>
      </w:pPr>
      <w:r>
        <w:rPr>
          <w:rFonts w:ascii="Arial" w:hAnsi="Arial" w:eastAsia="Arial" w:cs="Arial"/>
          <w:b/>
          <w:bCs/>
          <w:sz w:val="48"/>
          <w:szCs w:val="48"/>
        </w:rPr>
        <w:t xml:space="preserve">Payroll Processing </w:t>
      </w:r>
      <w:r>
        <w:rPr>
          <w:rFonts w:cs="Arial"/>
          <w:b/>
          <w:bCs/>
          <w:sz w:val="48"/>
          <w:szCs w:val="48"/>
          <w:lang w:val="en-IN"/>
        </w:rPr>
        <w:t>-</w:t>
      </w:r>
      <w:r>
        <w:rPr>
          <w:rFonts w:ascii="Arial" w:hAnsi="Arial" w:eastAsia="Arial" w:cs="Arial"/>
          <w:b/>
          <w:bCs/>
          <w:sz w:val="48"/>
          <w:szCs w:val="48"/>
        </w:rPr>
        <w:t>Detailed</w:t>
      </w:r>
      <w:bookmarkStart w:id="0" w:name="_GoBack"/>
      <w:bookmarkEnd w:id="0"/>
    </w:p>
    <w:p w14:paraId="5F670520">
      <w:pPr>
        <w:spacing w:after="80"/>
      </w:pPr>
      <w:r>
        <w:rPr>
          <w:rFonts w:ascii="Arial" w:hAnsi="Arial" w:eastAsia="Arial" w:cs="Arial"/>
          <w:sz w:val="22"/>
          <w:szCs w:val="22"/>
        </w:rPr>
        <w:t>All Components Explained for the Payroll Management System</w:t>
      </w:r>
    </w:p>
    <w:p w14:paraId="622BB9D1">
      <w:pPr>
        <w:spacing w:after="200"/>
      </w:pPr>
      <w:r>
        <w:rPr>
          <w:rFonts w:ascii="Arial" w:hAnsi="Arial" w:eastAsia="Arial" w:cs="Arial"/>
          <w:sz w:val="20"/>
          <w:szCs w:val="20"/>
        </w:rPr>
        <w:t>Prepared: 28 March 2026</w:t>
      </w:r>
    </w:p>
    <w:p w14:paraId="107A832B">
      <w:pPr>
        <w:pBdr>
          <w:bottom w:val="single" w:color="000000" w:sz="6" w:space="1"/>
        </w:pBdr>
        <w:spacing w:after="320"/>
      </w:pPr>
    </w:p>
    <w:p w14:paraId="5164FA0E">
      <w:pPr>
        <w:pStyle w:val="2"/>
      </w:pPr>
      <w:r>
        <w:rPr>
          <w:rFonts w:ascii="Arial" w:hAnsi="Arial" w:eastAsia="Arial" w:cs="Arial"/>
        </w:rPr>
        <w:t>1. Attendance</w:t>
      </w:r>
    </w:p>
    <w:p w14:paraId="1639ABEB">
      <w:pPr>
        <w:spacing w:after="160"/>
      </w:pPr>
      <w:r>
        <w:rPr>
          <w:rFonts w:ascii="Arial" w:hAnsi="Arial" w:eastAsia="Arial" w:cs="Arial"/>
          <w:sz w:val="20"/>
          <w:szCs w:val="20"/>
        </w:rPr>
        <w:t xml:space="preserve">Before any pay run can move forward, the system has to know what each employee actually did during that period. For salaried workers this mostly means tracking leave taken </w:t>
      </w:r>
      <w:r>
        <w:rPr>
          <w:rFonts w:cs="Arial"/>
          <w:sz w:val="20"/>
          <w:szCs w:val="20"/>
          <w:lang w:val="en-IN"/>
        </w:rPr>
        <w:t>-</w:t>
      </w:r>
      <w:r>
        <w:rPr>
          <w:rFonts w:ascii="Arial" w:hAnsi="Arial" w:eastAsia="Arial" w:cs="Arial"/>
          <w:sz w:val="20"/>
          <w:szCs w:val="20"/>
        </w:rPr>
        <w:t>sick days, annual leave, public holidays, unpaid absences. For hourly and casual staff it goes further: the total hours clocked, when they started and finished each shift, and whether any of those hours fell outside the standard working week.</w:t>
      </w:r>
    </w:p>
    <w:p w14:paraId="7EE2F1E3">
      <w:pPr>
        <w:spacing w:after="160"/>
      </w:pPr>
      <w:r>
        <w:rPr>
          <w:rFonts w:ascii="Arial" w:hAnsi="Arial" w:eastAsia="Arial" w:cs="Arial"/>
          <w:sz w:val="20"/>
          <w:szCs w:val="20"/>
        </w:rPr>
        <w:t>Ordinary time in Australia is capped at 38 hours per week. Hours beyond that qualify as overtime, which attracts penalty rates under the Fair Work Act and the relevant Modern Award. The first few overtime hours are usually paid at time-and-a-half (150%), while Sunday work often hits double time (200%). Getting this right matters because underpaying overtime is one of the most common compliance breaches Fair Work investigates.</w:t>
      </w:r>
    </w:p>
    <w:p w14:paraId="5B460329">
      <w:pPr>
        <w:spacing w:after="160"/>
      </w:pPr>
      <w:r>
        <w:rPr>
          <w:rFonts w:ascii="Arial" w:hAnsi="Arial" w:eastAsia="Arial" w:cs="Arial"/>
          <w:sz w:val="20"/>
          <w:szCs w:val="20"/>
        </w:rPr>
        <w:t>The payroll system either pulls attendance data automatically from a connected time-tracking tool, or lets the payroll admin enter it manually each period. Either way, the figures get locked in and reviewed before the pay run is approved. No attendance data, no pay run.</w:t>
      </w:r>
    </w:p>
    <w:p w14:paraId="210BF8F0">
      <w:pPr>
        <w:pBdr>
          <w:bottom w:val="single" w:color="BBBBBB" w:sz="2" w:space="1"/>
        </w:pBdr>
        <w:spacing w:after="240"/>
      </w:pPr>
    </w:p>
    <w:p w14:paraId="24A27E06">
      <w:pPr>
        <w:pStyle w:val="2"/>
      </w:pPr>
      <w:r>
        <w:rPr>
          <w:rFonts w:ascii="Arial" w:hAnsi="Arial" w:eastAsia="Arial" w:cs="Arial"/>
        </w:rPr>
        <w:t>2. Salary Structure</w:t>
      </w:r>
    </w:p>
    <w:p w14:paraId="3DEC37B2">
      <w:pPr>
        <w:spacing w:after="160"/>
      </w:pPr>
      <w:r>
        <w:rPr>
          <w:rFonts w:ascii="Arial" w:hAnsi="Arial" w:eastAsia="Arial" w:cs="Arial"/>
          <w:sz w:val="20"/>
          <w:szCs w:val="20"/>
        </w:rPr>
        <w:t xml:space="preserve">Most people think of salary as a single figure, but in practice it rarely works that way. What lands in an employee’s gross pay each period is usually a mix of several things </w:t>
      </w:r>
      <w:r>
        <w:rPr>
          <w:rFonts w:cs="Arial"/>
          <w:sz w:val="20"/>
          <w:szCs w:val="20"/>
          <w:lang w:val="en-IN"/>
        </w:rPr>
        <w:t>-</w:t>
      </w:r>
      <w:r>
        <w:rPr>
          <w:rFonts w:ascii="Arial" w:hAnsi="Arial" w:eastAsia="Arial" w:cs="Arial"/>
          <w:sz w:val="20"/>
          <w:szCs w:val="20"/>
        </w:rPr>
        <w:t>the contracted rate, add-ons for specific conditions, and adjustments for how or when they worked.</w:t>
      </w:r>
    </w:p>
    <w:p w14:paraId="357F1D22">
      <w:pPr>
        <w:spacing w:after="160"/>
      </w:pPr>
      <w:r>
        <w:rPr>
          <w:rFonts w:ascii="Arial" w:hAnsi="Arial" w:eastAsia="Arial" w:cs="Arial"/>
          <w:sz w:val="20"/>
          <w:szCs w:val="20"/>
        </w:rPr>
        <w:t xml:space="preserve">The contracted rate </w:t>
      </w:r>
      <w:r>
        <w:rPr>
          <w:rFonts w:cs="Arial"/>
          <w:sz w:val="20"/>
          <w:szCs w:val="20"/>
          <w:lang w:val="en-IN"/>
        </w:rPr>
        <w:t>-</w:t>
      </w:r>
      <w:r>
        <w:rPr>
          <w:rFonts w:ascii="Arial" w:hAnsi="Arial" w:eastAsia="Arial" w:cs="Arial"/>
          <w:sz w:val="20"/>
          <w:szCs w:val="20"/>
        </w:rPr>
        <w:t xml:space="preserve">whether that’s an annual salary or an hourly figure </w:t>
      </w:r>
      <w:r>
        <w:rPr>
          <w:rFonts w:cs="Arial"/>
          <w:sz w:val="20"/>
          <w:szCs w:val="20"/>
          <w:lang w:val="en-IN"/>
        </w:rPr>
        <w:t>-</w:t>
      </w:r>
      <w:r>
        <w:rPr>
          <w:rFonts w:ascii="Arial" w:hAnsi="Arial" w:eastAsia="Arial" w:cs="Arial"/>
          <w:sz w:val="20"/>
          <w:szCs w:val="20"/>
        </w:rPr>
        <w:t>is the starting point. From there, allowances come into play. These exist to compensate for particular working conditions: tool allowances for tradies who supply their own equipment, travel allowances for roles that involve moving between sites, remote area allowances for staff based far from urban centres. What applies depends on the industry award or individual agreement covering the role.</w:t>
      </w:r>
    </w:p>
    <w:p w14:paraId="64AF9FC7">
      <w:pPr>
        <w:spacing w:after="160"/>
      </w:pPr>
      <w:r>
        <w:rPr>
          <w:rFonts w:ascii="Arial" w:hAnsi="Arial" w:eastAsia="Arial" w:cs="Arial"/>
          <w:sz w:val="20"/>
          <w:szCs w:val="20"/>
        </w:rPr>
        <w:t xml:space="preserve">Overtime adds another layer. Past 38 hours in a week, the rate goes up </w:t>
      </w:r>
      <w:r>
        <w:rPr>
          <w:rFonts w:cs="Arial"/>
          <w:sz w:val="20"/>
          <w:szCs w:val="20"/>
          <w:lang w:val="en-IN"/>
        </w:rPr>
        <w:t>-</w:t>
      </w:r>
      <w:r>
        <w:rPr>
          <w:rFonts w:ascii="Arial" w:hAnsi="Arial" w:eastAsia="Arial" w:cs="Arial"/>
          <w:sz w:val="20"/>
          <w:szCs w:val="20"/>
        </w:rPr>
        <w:t>typically 150% for the first few extra hours, then higher on weekends and public holidays depending on the award. Leave loading is something a lot of people forget about: many awards tack on an extra 17.5% during annual leave periods, compensating for the loss of any casual overtime or allowances the employee would normally pick up. Roles with sales targets or performance metrics often carry commission or bonus components that vary period to period. All of these need to be stored in the employee profile and applied correctly each time a pay run runs.</w:t>
      </w:r>
    </w:p>
    <w:p w14:paraId="4D14B2F4">
      <w:pPr>
        <w:pBdr>
          <w:bottom w:val="single" w:color="BBBBBB" w:sz="2" w:space="1"/>
        </w:pBdr>
        <w:spacing w:after="240"/>
      </w:pPr>
    </w:p>
    <w:p w14:paraId="7EE04332">
      <w:pPr>
        <w:pStyle w:val="2"/>
      </w:pPr>
      <w:r>
        <w:rPr>
          <w:rFonts w:ascii="Arial" w:hAnsi="Arial" w:eastAsia="Arial" w:cs="Arial"/>
        </w:rPr>
        <w:t>3. Taxation Rules</w:t>
      </w:r>
    </w:p>
    <w:p w14:paraId="340E64D5">
      <w:pPr>
        <w:spacing w:after="160"/>
      </w:pPr>
      <w:r>
        <w:rPr>
          <w:rFonts w:ascii="Arial" w:hAnsi="Arial" w:eastAsia="Arial" w:cs="Arial"/>
          <w:sz w:val="20"/>
          <w:szCs w:val="20"/>
        </w:rPr>
        <w:t xml:space="preserve">Australia taxes income on a sliding scale, so the more someone earns, the higher the rate on each additional dollar </w:t>
      </w:r>
      <w:r>
        <w:rPr>
          <w:rFonts w:cs="Arial"/>
          <w:sz w:val="20"/>
          <w:szCs w:val="20"/>
          <w:lang w:val="en-IN"/>
        </w:rPr>
        <w:t>-</w:t>
      </w:r>
      <w:r>
        <w:rPr>
          <w:rFonts w:ascii="Arial" w:hAnsi="Arial" w:eastAsia="Arial" w:cs="Arial"/>
          <w:sz w:val="20"/>
          <w:szCs w:val="20"/>
        </w:rPr>
        <w:t>but only on the income within each band, not the total. Since 1 July 2024, the brackets for Australian residents are as follows: no tax up to $18,200; 16% from $18,201 to $45,000; 30% from $45,001 to $135,000; 37% from $135,001 to $190,000; and 45% on anything above $190,000. These rates were updated as part of the federal government’s Stage 3 tax cuts and replaced the older schedule that had a 19% and a 32.5% bracket.</w:t>
      </w:r>
    </w:p>
    <w:p w14:paraId="69D8460E">
      <w:pPr>
        <w:spacing w:after="160"/>
      </w:pPr>
      <w:r>
        <w:rPr>
          <w:rFonts w:ascii="Arial" w:hAnsi="Arial" w:eastAsia="Arial" w:cs="Arial"/>
          <w:sz w:val="20"/>
          <w:szCs w:val="20"/>
        </w:rPr>
        <w:t>On top of income tax, the Medicare Levy adds another 2% to most employees’ bills. It funds the public health system and applies to anyone earning above the low-income threshold. High earners who don’t hold private hospital cover may also be hit with the Medicare Levy Surcharge, which adds between 1% and 1.5% on top.</w:t>
      </w:r>
    </w:p>
    <w:p w14:paraId="0CACE64B">
      <w:pPr>
        <w:spacing w:after="160"/>
      </w:pPr>
      <w:r>
        <w:rPr>
          <w:rFonts w:ascii="Arial" w:hAnsi="Arial" w:eastAsia="Arial" w:cs="Arial"/>
          <w:sz w:val="20"/>
          <w:szCs w:val="20"/>
        </w:rPr>
        <w:t xml:space="preserve">The PAYG withholding calculation uses the ATO’s published tax tables, which are specific to each pay frequency. A monthly earner’s tax withheld per pay period differs from a weekly earner on the same annual salary, because the tables account for how the income annualises. Whether the employee has claimed the tax-free threshold on their TFN Declaration also changes the outcome </w:t>
      </w:r>
      <w:r>
        <w:rPr>
          <w:rFonts w:cs="Arial"/>
          <w:sz w:val="20"/>
          <w:szCs w:val="20"/>
          <w:lang w:val="en-IN"/>
        </w:rPr>
        <w:t>-</w:t>
      </w:r>
      <w:r>
        <w:rPr>
          <w:rFonts w:ascii="Arial" w:hAnsi="Arial" w:eastAsia="Arial" w:cs="Arial"/>
          <w:sz w:val="20"/>
          <w:szCs w:val="20"/>
        </w:rPr>
        <w:t>those who haven’t claimed it pay more each period. Employees with HECS or HELP debt have an additional repayment amount withheld based on their income level.</w:t>
      </w:r>
    </w:p>
    <w:p w14:paraId="085366F1">
      <w:pPr>
        <w:pBdr>
          <w:bottom w:val="single" w:color="BBBBBB" w:sz="2" w:space="1"/>
        </w:pBdr>
        <w:spacing w:after="240"/>
      </w:pPr>
    </w:p>
    <w:p w14:paraId="5EA144A8">
      <w:pPr>
        <w:pStyle w:val="2"/>
      </w:pPr>
      <w:r>
        <w:rPr>
          <w:rFonts w:ascii="Arial" w:hAnsi="Arial" w:eastAsia="Arial" w:cs="Arial"/>
        </w:rPr>
        <w:t>4. Salary Calculation</w:t>
      </w:r>
    </w:p>
    <w:p w14:paraId="45596C84">
      <w:pPr>
        <w:spacing w:after="160"/>
        <w:rPr>
          <w:rFonts w:hint="default" w:ascii="Arial" w:hAnsi="Arial" w:eastAsia="Arial" w:cs="Arial"/>
          <w:sz w:val="20"/>
          <w:szCs w:val="20"/>
        </w:rPr>
      </w:pPr>
      <w:r>
        <w:rPr>
          <w:rFonts w:hint="default" w:ascii="Arial" w:hAnsi="Arial" w:eastAsia="Arial" w:cs="Arial"/>
          <w:sz w:val="20"/>
          <w:szCs w:val="20"/>
        </w:rPr>
        <w:t xml:space="preserve">Every pay run works through the same steps, though the numbers change each period depending on what the employee actually did. The starting point is gross pay </w:t>
      </w:r>
      <w:r>
        <w:rPr>
          <w:rFonts w:hint="default" w:cs="Arial"/>
          <w:sz w:val="20"/>
          <w:szCs w:val="20"/>
          <w:lang w:val="en-IN"/>
        </w:rPr>
        <w:t>-</w:t>
      </w:r>
      <w:r>
        <w:rPr>
          <w:rFonts w:hint="default" w:ascii="Arial" w:hAnsi="Arial" w:eastAsia="Arial" w:cs="Arial"/>
          <w:sz w:val="20"/>
          <w:szCs w:val="20"/>
        </w:rPr>
        <w:t>take the contracted salary or multiply the hourly rate by hours worked, then add in whatever else applies: allowances, overtime, leave loading, any bonus that fell due. That total is what the employee earned before anything gets taken out.</w:t>
      </w:r>
    </w:p>
    <w:p w14:paraId="31AA99FD">
      <w:pPr>
        <w:spacing w:after="160"/>
        <w:rPr>
          <w:rFonts w:hint="default" w:ascii="Arial" w:hAnsi="Arial" w:eastAsia="Arial" w:cs="Arial"/>
          <w:sz w:val="20"/>
          <w:szCs w:val="20"/>
        </w:rPr>
      </w:pPr>
      <w:r>
        <w:rPr>
          <w:rFonts w:hint="default" w:ascii="Arial" w:hAnsi="Arial" w:eastAsia="Arial" w:cs="Arial"/>
          <w:sz w:val="20"/>
          <w:szCs w:val="20"/>
        </w:rPr>
        <w:t>If the employee has salary packaging in place, those pre-tax amounts drop off next. A novated lease or salary-sacrificed super contribution both reduce the taxable income figure at this stage, which is worth doing before the tax calculation runs because it directly affects how much gets withheld.</w:t>
      </w:r>
    </w:p>
    <w:p w14:paraId="40C7871C">
      <w:pPr>
        <w:spacing w:after="160"/>
        <w:rPr>
          <w:rFonts w:hint="default" w:ascii="Arial" w:hAnsi="Arial" w:eastAsia="Arial" w:cs="Arial"/>
          <w:sz w:val="20"/>
          <w:szCs w:val="20"/>
        </w:rPr>
      </w:pPr>
      <w:r>
        <w:rPr>
          <w:rFonts w:hint="default" w:ascii="Arial" w:hAnsi="Arial" w:eastAsia="Arial" w:cs="Arial"/>
          <w:sz w:val="20"/>
          <w:szCs w:val="20"/>
        </w:rPr>
        <w:t xml:space="preserve">PAYG tax then gets worked out against that reduced taxable income, using the ATO's withholding tables for whichever pay frequency the business runs on </w:t>
      </w:r>
      <w:r>
        <w:rPr>
          <w:rFonts w:hint="default" w:cs="Arial"/>
          <w:sz w:val="20"/>
          <w:szCs w:val="20"/>
          <w:lang w:val="en-IN"/>
        </w:rPr>
        <w:t>-</w:t>
      </w:r>
      <w:r>
        <w:rPr>
          <w:rFonts w:hint="default" w:ascii="Arial" w:hAnsi="Arial" w:eastAsia="Arial" w:cs="Arial"/>
          <w:sz w:val="20"/>
          <w:szCs w:val="20"/>
        </w:rPr>
        <w:t xml:space="preserve">weekly, fortnightly or monthly tables each give slightly different results for the same annual salary. The Medicare Levy gets added in at 2% on top. Once those are settled, post-tax deductions come off </w:t>
      </w:r>
      <w:r>
        <w:rPr>
          <w:rFonts w:hint="default" w:cs="Arial"/>
          <w:sz w:val="20"/>
          <w:szCs w:val="20"/>
          <w:lang w:val="en-IN"/>
        </w:rPr>
        <w:t>-</w:t>
      </w:r>
      <w:r>
        <w:rPr>
          <w:rFonts w:hint="default" w:ascii="Arial" w:hAnsi="Arial" w:eastAsia="Arial" w:cs="Arial"/>
          <w:sz w:val="20"/>
          <w:szCs w:val="20"/>
        </w:rPr>
        <w:t>private health cover, union fees, anything the employee has agreed to pay from their after-tax income. Whatever remains is the net pay that hits their bank account on payday.</w:t>
      </w:r>
    </w:p>
    <w:p w14:paraId="2FBC4CC2">
      <w:pPr>
        <w:spacing w:after="160"/>
      </w:pPr>
      <w:r>
        <w:rPr>
          <w:rFonts w:hint="default" w:ascii="Arial" w:hAnsi="Arial" w:eastAsia="Arial" w:cs="Arial"/>
          <w:sz w:val="20"/>
          <w:szCs w:val="20"/>
        </w:rPr>
        <w:t xml:space="preserve">Super sits completely outside this sequence. The employer owes 11.5% of the employee's ordinary time earnings on top of wages </w:t>
      </w:r>
      <w:r>
        <w:rPr>
          <w:rFonts w:hint="default" w:cs="Arial"/>
          <w:sz w:val="20"/>
          <w:szCs w:val="20"/>
          <w:lang w:val="en-IN"/>
        </w:rPr>
        <w:t>-</w:t>
      </w:r>
      <w:r>
        <w:rPr>
          <w:rFonts w:hint="default" w:ascii="Arial" w:hAnsi="Arial" w:eastAsia="Arial" w:cs="Arial"/>
          <w:sz w:val="20"/>
          <w:szCs w:val="20"/>
        </w:rPr>
        <w:t>it doesn't reduce what the employee receives and doesn't factor into the net pay figure at all. The system holds it as a growing liability through the quarter until the payment due date arrives.</w:t>
      </w:r>
    </w:p>
    <w:p w14:paraId="34B029CF">
      <w:pPr>
        <w:pBdr>
          <w:bottom w:val="single" w:color="BBBBBB" w:sz="2" w:space="1"/>
        </w:pBdr>
        <w:spacing w:after="240"/>
      </w:pPr>
    </w:p>
    <w:p w14:paraId="0684C9A1">
      <w:pPr>
        <w:pStyle w:val="2"/>
        <w:rPr>
          <w:rFonts w:hint="default" w:ascii="Arial" w:hAnsi="Arial" w:eastAsia="Arial" w:cs="Arial"/>
          <w:sz w:val="20"/>
          <w:szCs w:val="20"/>
        </w:rPr>
      </w:pPr>
      <w:r>
        <w:rPr>
          <w:rFonts w:ascii="Arial" w:hAnsi="Arial" w:eastAsia="Arial" w:cs="Arial"/>
        </w:rPr>
        <w:t xml:space="preserve">5. Connection with Payer Account </w:t>
      </w:r>
      <w:r>
        <w:rPr>
          <w:rFonts w:cs="Arial"/>
          <w:lang w:val="en-IN"/>
        </w:rPr>
        <w:t>-</w:t>
      </w:r>
      <w:r>
        <w:rPr>
          <w:rFonts w:ascii="Arial" w:hAnsi="Arial" w:eastAsia="Arial" w:cs="Arial"/>
        </w:rPr>
        <w:t>Withdraw</w:t>
      </w:r>
    </w:p>
    <w:p w14:paraId="08C41F9F">
      <w:pPr>
        <w:pBdr>
          <w:bottom w:val="single" w:color="BBBBBB" w:sz="2" w:space="1"/>
        </w:pBdr>
        <w:spacing w:after="240"/>
        <w:rPr>
          <w:rFonts w:hint="default" w:ascii="Arial" w:hAnsi="Arial" w:eastAsia="Arial" w:cs="Arial"/>
          <w:sz w:val="20"/>
          <w:szCs w:val="20"/>
        </w:rPr>
      </w:pPr>
      <w:r>
        <w:rPr>
          <w:rFonts w:hint="default" w:ascii="Arial" w:hAnsi="Arial" w:eastAsia="Arial" w:cs="Arial"/>
          <w:sz w:val="20"/>
          <w:szCs w:val="20"/>
        </w:rPr>
        <w:t xml:space="preserve">Think of the payer account as the business's dedicated wage account </w:t>
      </w:r>
      <w:r>
        <w:rPr>
          <w:rFonts w:hint="default" w:cs="Arial"/>
          <w:sz w:val="20"/>
          <w:szCs w:val="20"/>
          <w:lang w:val="en-IN"/>
        </w:rPr>
        <w:t>-</w:t>
      </w:r>
      <w:r>
        <w:rPr>
          <w:rFonts w:hint="default" w:ascii="Arial" w:hAnsi="Arial" w:eastAsia="Arial" w:cs="Arial"/>
          <w:sz w:val="20"/>
          <w:szCs w:val="20"/>
        </w:rPr>
        <w:t>the one that actually sends money to employees. It sounds simple, but keeping it funded on time is something smaller businesses occasionally struggle with, especially when cash flow is uneven across the month.</w:t>
      </w:r>
    </w:p>
    <w:p w14:paraId="755C9F79">
      <w:pPr>
        <w:pBdr>
          <w:bottom w:val="single" w:color="BBBBBB" w:sz="2" w:space="1"/>
        </w:pBdr>
        <w:spacing w:after="240"/>
        <w:rPr>
          <w:rFonts w:hint="default" w:ascii="Arial" w:hAnsi="Arial" w:eastAsia="Arial" w:cs="Arial"/>
          <w:sz w:val="20"/>
          <w:szCs w:val="20"/>
        </w:rPr>
      </w:pPr>
      <w:r>
        <w:rPr>
          <w:rFonts w:hint="default" w:ascii="Arial" w:hAnsi="Arial" w:eastAsia="Arial" w:cs="Arial"/>
          <w:sz w:val="20"/>
          <w:szCs w:val="20"/>
        </w:rPr>
        <w:t xml:space="preserve">Once a pay run is approved, the system adds up every employee's net pay and presents that as the total amount needed. The payroll admin checks it against what's sitting in the account. If the business keeps its operating funds in a separate account </w:t>
      </w:r>
      <w:r>
        <w:rPr>
          <w:rFonts w:hint="default" w:cs="Arial"/>
          <w:sz w:val="20"/>
          <w:szCs w:val="20"/>
          <w:lang w:val="en-IN"/>
        </w:rPr>
        <w:t>-</w:t>
      </w:r>
      <w:r>
        <w:rPr>
          <w:rFonts w:hint="default" w:ascii="Arial" w:hAnsi="Arial" w:eastAsia="Arial" w:cs="Arial"/>
          <w:sz w:val="20"/>
          <w:szCs w:val="20"/>
        </w:rPr>
        <w:t xml:space="preserve">which most do </w:t>
      </w:r>
      <w:r>
        <w:rPr>
          <w:rFonts w:hint="default" w:cs="Arial"/>
          <w:sz w:val="20"/>
          <w:szCs w:val="20"/>
          <w:lang w:val="en-IN"/>
        </w:rPr>
        <w:t>-</w:t>
      </w:r>
      <w:r>
        <w:rPr>
          <w:rFonts w:hint="default" w:ascii="Arial" w:hAnsi="Arial" w:eastAsia="Arial" w:cs="Arial"/>
          <w:sz w:val="20"/>
          <w:szCs w:val="20"/>
        </w:rPr>
        <w:t>someone has to move the right amount across before payday. Leave it too late and employees don't get paid on time, which is a Fair Work issue.</w:t>
      </w:r>
    </w:p>
    <w:p w14:paraId="6A71FCB7">
      <w:pPr>
        <w:pBdr>
          <w:bottom w:val="single" w:color="BBBBBB" w:sz="2" w:space="1"/>
        </w:pBdr>
        <w:spacing w:after="240"/>
        <w:rPr>
          <w:rFonts w:hint="default" w:ascii="Arial" w:hAnsi="Arial" w:eastAsia="Arial" w:cs="Arial"/>
          <w:sz w:val="20"/>
          <w:szCs w:val="20"/>
        </w:rPr>
      </w:pPr>
    </w:p>
    <w:p w14:paraId="055688F4">
      <w:pPr>
        <w:pBdr>
          <w:bottom w:val="single" w:color="BBBBBB" w:sz="2" w:space="1"/>
        </w:pBdr>
        <w:spacing w:after="240"/>
        <w:rPr>
          <w:rFonts w:hint="default" w:ascii="Arial" w:hAnsi="Arial" w:eastAsia="Arial" w:cs="Arial"/>
          <w:sz w:val="20"/>
          <w:szCs w:val="20"/>
        </w:rPr>
      </w:pPr>
    </w:p>
    <w:p w14:paraId="6C6B97B4">
      <w:pPr>
        <w:pBdr>
          <w:bottom w:val="single" w:color="BBBBBB" w:sz="2" w:space="1"/>
        </w:pBdr>
        <w:spacing w:after="240"/>
      </w:pPr>
      <w:r>
        <w:rPr>
          <w:rFonts w:hint="default" w:ascii="Arial" w:hAnsi="Arial" w:eastAsia="Arial" w:cs="Arial"/>
          <w:sz w:val="20"/>
          <w:szCs w:val="20"/>
        </w:rPr>
        <w:t xml:space="preserve">Worth being clear on what the system does and doesn't do here. It doesn't touch the bank account directly. What it produces is an ABA file </w:t>
      </w:r>
      <w:r>
        <w:rPr>
          <w:rFonts w:hint="default" w:cs="Arial"/>
          <w:sz w:val="20"/>
          <w:szCs w:val="20"/>
          <w:lang w:val="en-IN"/>
        </w:rPr>
        <w:t>-</w:t>
      </w:r>
      <w:r>
        <w:rPr>
          <w:rFonts w:hint="default" w:ascii="Arial" w:hAnsi="Arial" w:eastAsia="Arial" w:cs="Arial"/>
          <w:sz w:val="20"/>
          <w:szCs w:val="20"/>
        </w:rPr>
        <w:t xml:space="preserve">a payment instruction file in the format Australian banks use for batch transfers. The admin takes that file, logs into the business banking portal, uploads it, and the bank handles the rest. Every employee gets paid from a single debit on the business side, which keeps reconciliation clean and leaves a clear record of what went out and when. Having a person physically upload and confirm that file is a deliberate checkpoint </w:t>
      </w:r>
      <w:r>
        <w:rPr>
          <w:rFonts w:hint="default" w:cs="Arial"/>
          <w:sz w:val="20"/>
          <w:szCs w:val="20"/>
          <w:lang w:val="en-IN"/>
        </w:rPr>
        <w:t>-</w:t>
      </w:r>
      <w:r>
        <w:rPr>
          <w:rFonts w:hint="default" w:ascii="Arial" w:hAnsi="Arial" w:eastAsia="Arial" w:cs="Arial"/>
          <w:sz w:val="20"/>
          <w:szCs w:val="20"/>
        </w:rPr>
        <w:t>it stops a miscalculated or accidentally approved pay run from going straight through without anyone catching it.</w:t>
      </w:r>
    </w:p>
    <w:p w14:paraId="3C7C23F5">
      <w:pPr>
        <w:pBdr>
          <w:bottom w:val="single" w:color="BBBBBB" w:sz="2" w:space="1"/>
        </w:pBdr>
        <w:spacing w:after="240"/>
        <w:rPr>
          <w:rFonts w:hint="default" w:ascii="Arial" w:hAnsi="Arial" w:eastAsia="Arial" w:cs="Arial"/>
          <w:sz w:val="20"/>
          <w:szCs w:val="20"/>
        </w:rPr>
      </w:pPr>
    </w:p>
    <w:p w14:paraId="0671A407">
      <w:pPr>
        <w:pBdr>
          <w:bottom w:val="single" w:color="BBBBBB" w:sz="2" w:space="1"/>
        </w:pBdr>
        <w:spacing w:after="240"/>
        <w:rPr>
          <w:rFonts w:hint="default" w:ascii="Arial" w:hAnsi="Arial" w:eastAsia="Arial" w:cs="Arial"/>
          <w:sz w:val="20"/>
          <w:szCs w:val="20"/>
        </w:rPr>
      </w:pPr>
    </w:p>
    <w:p w14:paraId="6D9A287F">
      <w:pPr>
        <w:pStyle w:val="2"/>
      </w:pPr>
      <w:r>
        <w:rPr>
          <w:rFonts w:ascii="Arial" w:hAnsi="Arial" w:eastAsia="Arial" w:cs="Arial"/>
        </w:rPr>
        <w:t xml:space="preserve">6. Connection with Payer Account </w:t>
      </w:r>
      <w:r>
        <w:rPr>
          <w:rFonts w:cs="Arial"/>
          <w:lang w:val="en-IN"/>
        </w:rPr>
        <w:t>-</w:t>
      </w:r>
      <w:r>
        <w:rPr>
          <w:rFonts w:ascii="Arial" w:hAnsi="Arial" w:eastAsia="Arial" w:cs="Arial"/>
        </w:rPr>
        <w:t>Deposit Salary</w:t>
      </w:r>
    </w:p>
    <w:p w14:paraId="4832FF24">
      <w:pPr>
        <w:spacing w:after="160"/>
      </w:pPr>
      <w:r>
        <w:rPr>
          <w:rFonts w:ascii="Arial" w:hAnsi="Arial" w:eastAsia="Arial" w:cs="Arial"/>
          <w:sz w:val="20"/>
          <w:szCs w:val="20"/>
        </w:rPr>
        <w:t>Getting money into employee bank accounts in Australia almost always happens through direct bank transfer, also referred to as EFT. The employer holds the employee’s BSB and account number in the payroll system, and after each approved pay run the system generates an ABA file ready for upload.</w:t>
      </w:r>
    </w:p>
    <w:p w14:paraId="726AD44D">
      <w:pPr>
        <w:spacing w:after="160"/>
      </w:pPr>
      <w:r>
        <w:rPr>
          <w:rFonts w:ascii="Arial" w:hAnsi="Arial" w:eastAsia="Arial" w:cs="Arial"/>
          <w:sz w:val="20"/>
          <w:szCs w:val="20"/>
        </w:rPr>
        <w:t>The ABA format is the standard the Australian Banking Association uses for batch payment instructions. Inside the file, each employee has one record: their BSB, account number, full name, and net pay amount for the period. The payroll admin logs into the business banking portal, uploads the file, and the bank processes every payment as a single batch transaction. One debit comes out of the business account; individual credits land in employee accounts, typically overnight on business days.</w:t>
      </w:r>
    </w:p>
    <w:p w14:paraId="11945EAA">
      <w:pPr>
        <w:spacing w:after="160"/>
      </w:pPr>
      <w:r>
        <w:rPr>
          <w:rFonts w:ascii="Arial" w:hAnsi="Arial" w:eastAsia="Arial" w:cs="Arial"/>
          <w:sz w:val="20"/>
          <w:szCs w:val="20"/>
        </w:rPr>
        <w:t xml:space="preserve">Each employee’s bank details need to be confirmed before a pay run can be finalised </w:t>
      </w:r>
      <w:r>
        <w:rPr>
          <w:rFonts w:cs="Arial"/>
          <w:sz w:val="20"/>
          <w:szCs w:val="20"/>
          <w:lang w:val="en-IN"/>
        </w:rPr>
        <w:t>-</w:t>
      </w:r>
      <w:r>
        <w:rPr>
          <w:rFonts w:ascii="Arial" w:hAnsi="Arial" w:eastAsia="Arial" w:cs="Arial"/>
          <w:sz w:val="20"/>
          <w:szCs w:val="20"/>
        </w:rPr>
        <w:t>the system should flag any missing or incomplete records rather than letting an incorrect payment go through. Payslips are generated at the same time and sent to employees by email or made available through a self-service portal. Payslips must reach the employee no later than one business day after payday under the Fair Work Regulations.</w:t>
      </w:r>
    </w:p>
    <w:p w14:paraId="172B0CB1">
      <w:pPr>
        <w:pBdr>
          <w:bottom w:val="single" w:color="BBBBBB" w:sz="2" w:space="1"/>
        </w:pBdr>
        <w:spacing w:after="240"/>
      </w:pPr>
    </w:p>
    <w:p w14:paraId="43AE6FF6">
      <w:pPr>
        <w:pStyle w:val="2"/>
      </w:pPr>
      <w:r>
        <w:rPr>
          <w:rFonts w:ascii="Arial" w:hAnsi="Arial" w:eastAsia="Arial" w:cs="Arial"/>
        </w:rPr>
        <w:t xml:space="preserve">7. Connection with ATO </w:t>
      </w:r>
      <w:r>
        <w:rPr>
          <w:rFonts w:cs="Arial"/>
          <w:lang w:val="en-IN"/>
        </w:rPr>
        <w:t>-</w:t>
      </w:r>
      <w:r>
        <w:rPr>
          <w:rFonts w:ascii="Arial" w:hAnsi="Arial" w:eastAsia="Arial" w:cs="Arial"/>
        </w:rPr>
        <w:t>Pay Tax Withholding</w:t>
      </w:r>
    </w:p>
    <w:p w14:paraId="11B6B541">
      <w:pPr>
        <w:spacing w:after="160"/>
      </w:pPr>
      <w:r>
        <w:rPr>
          <w:rFonts w:ascii="Arial" w:hAnsi="Arial" w:eastAsia="Arial" w:cs="Arial"/>
          <w:sz w:val="20"/>
          <w:szCs w:val="20"/>
        </w:rPr>
        <w:t xml:space="preserve">Each time a pay run is processed, the PAYG tax withheld from wages gets reported to the ATO through Single Touch Payroll. STP was introduced in 2019 and is now compulsory for every employer in Australia. The payroll software sends salary, tax withheld, and super data to the ATO electronically on payday </w:t>
      </w:r>
      <w:r>
        <w:rPr>
          <w:rFonts w:cs="Arial"/>
          <w:sz w:val="20"/>
          <w:szCs w:val="20"/>
          <w:lang w:val="en-IN"/>
        </w:rPr>
        <w:t>-</w:t>
      </w:r>
      <w:r>
        <w:rPr>
          <w:rFonts w:ascii="Arial" w:hAnsi="Arial" w:eastAsia="Arial" w:cs="Arial"/>
          <w:sz w:val="20"/>
          <w:szCs w:val="20"/>
        </w:rPr>
        <w:t>there’s no separate lodgement step required from the employer.</w:t>
      </w:r>
    </w:p>
    <w:p w14:paraId="1BE1FFB2">
      <w:pPr>
        <w:spacing w:after="160"/>
      </w:pPr>
      <w:r>
        <w:rPr>
          <w:rFonts w:ascii="Arial" w:hAnsi="Arial" w:eastAsia="Arial" w:cs="Arial"/>
          <w:sz w:val="20"/>
          <w:szCs w:val="20"/>
        </w:rPr>
        <w:t>Paying the withheld amounts to the ATO is a separate process from the STP reporting. It happens through the Business Activity Statement on either a quarterly, monthly, or near-real-time basis depending on the business’s withholder category. Small businesses that withhold less than $25,000 a year pay quarterly alongside their BAS. Medium withholders between $25,001 and $1 million pay monthly. Large withholders above $1 million have to transfer withheld amounts within six to eight business days of each pay event.</w:t>
      </w:r>
    </w:p>
    <w:p w14:paraId="0EC771E4">
      <w:pPr>
        <w:spacing w:after="160"/>
      </w:pPr>
      <w:r>
        <w:rPr>
          <w:rFonts w:ascii="Arial" w:hAnsi="Arial" w:eastAsia="Arial" w:cs="Arial"/>
          <w:sz w:val="20"/>
          <w:szCs w:val="20"/>
        </w:rPr>
        <w:t>The BAS uses three key fields for payroll: W1 captures the gross wages and salaries paid; W2 is the total PAYG tax withheld from those wages; and W5 is the combined total owed to the ATO. Payment goes through BPAY, direct debit, or EFT using the reference on the BAS. The payroll system accumulates these figures automatically each period so the admin can transfer them straight to the BAS form when lodging.</w:t>
      </w:r>
    </w:p>
    <w:p w14:paraId="5F7353B3">
      <w:pPr>
        <w:pBdr>
          <w:bottom w:val="single" w:color="BBBBBB" w:sz="2" w:space="1"/>
        </w:pBdr>
        <w:spacing w:after="240"/>
      </w:pPr>
    </w:p>
    <w:p w14:paraId="6B6D84C2">
      <w:pPr>
        <w:pStyle w:val="2"/>
        <w:rPr>
          <w:rFonts w:ascii="Arial" w:hAnsi="Arial" w:eastAsia="Arial" w:cs="Arial"/>
        </w:rPr>
      </w:pPr>
    </w:p>
    <w:p w14:paraId="65D4EC19">
      <w:pPr>
        <w:pStyle w:val="2"/>
      </w:pPr>
      <w:r>
        <w:rPr>
          <w:rFonts w:ascii="Arial" w:hAnsi="Arial" w:eastAsia="Arial" w:cs="Arial"/>
        </w:rPr>
        <w:t>8. Super Amount Calculation and Holding</w:t>
      </w:r>
    </w:p>
    <w:p w14:paraId="0C3741E1">
      <w:pPr>
        <w:spacing w:after="160"/>
      </w:pPr>
      <w:r>
        <w:rPr>
          <w:rFonts w:ascii="Arial" w:hAnsi="Arial" w:eastAsia="Arial" w:cs="Arial"/>
          <w:sz w:val="20"/>
          <w:szCs w:val="20"/>
        </w:rPr>
        <w:t xml:space="preserve">Superannuation is one of those employer obligations that sits quietly in the background of every pay run, building up as a liability until the quarterly payment falls due. The current Super Guarantee rate is 11.5% of each employee’s Ordinary Time Earnings </w:t>
      </w:r>
      <w:r>
        <w:rPr>
          <w:rFonts w:cs="Arial"/>
          <w:sz w:val="20"/>
          <w:szCs w:val="20"/>
          <w:lang w:val="en-IN"/>
        </w:rPr>
        <w:t>-</w:t>
      </w:r>
      <w:r>
        <w:rPr>
          <w:rFonts w:ascii="Arial" w:hAnsi="Arial" w:eastAsia="Arial" w:cs="Arial"/>
          <w:sz w:val="20"/>
          <w:szCs w:val="20"/>
        </w:rPr>
        <w:t>a figure that includes their base pay, shift loadings, allowances and commissions, but not overtime. From 1 July 2025 this rate increases to 12%.</w:t>
      </w:r>
    </w:p>
    <w:p w14:paraId="20630E21">
      <w:pPr>
        <w:spacing w:after="160"/>
      </w:pPr>
      <w:r>
        <w:rPr>
          <w:rFonts w:ascii="Arial" w:hAnsi="Arial" w:eastAsia="Arial" w:cs="Arial"/>
          <w:sz w:val="20"/>
          <w:szCs w:val="20"/>
        </w:rPr>
        <w:t xml:space="preserve">The system calculates super for each employee on every pay run and records it as an amount owing </w:t>
      </w:r>
      <w:r>
        <w:rPr>
          <w:rFonts w:cs="Arial"/>
          <w:sz w:val="20"/>
          <w:szCs w:val="20"/>
          <w:lang w:val="en-IN"/>
        </w:rPr>
        <w:t>-</w:t>
      </w:r>
      <w:r>
        <w:rPr>
          <w:rFonts w:ascii="Arial" w:hAnsi="Arial" w:eastAsia="Arial" w:cs="Arial"/>
          <w:sz w:val="20"/>
          <w:szCs w:val="20"/>
        </w:rPr>
        <w:t>it doesn’t come out of the employee’s pocket; it’s an additional employer cost on top of wages. Over the quarter, these per-period amounts accumulate until the payment due date. The four quarterly due dates are 28 October, 28 January, 28 April, and 28 July.</w:t>
      </w:r>
    </w:p>
    <w:p w14:paraId="78B1D1F5">
      <w:pPr>
        <w:spacing w:after="160"/>
      </w:pPr>
      <w:r>
        <w:rPr>
          <w:rFonts w:ascii="Arial" w:hAnsi="Arial" w:eastAsia="Arial" w:cs="Arial"/>
          <w:sz w:val="20"/>
          <w:szCs w:val="20"/>
        </w:rPr>
        <w:t xml:space="preserve">If the due date is missed, the Super Guarantee Charge kicks in </w:t>
      </w:r>
      <w:r>
        <w:rPr>
          <w:rFonts w:cs="Arial"/>
          <w:sz w:val="20"/>
          <w:szCs w:val="20"/>
          <w:lang w:val="en-IN"/>
        </w:rPr>
        <w:t>-</w:t>
      </w:r>
      <w:r>
        <w:rPr>
          <w:rFonts w:ascii="Arial" w:hAnsi="Arial" w:eastAsia="Arial" w:cs="Arial"/>
          <w:sz w:val="20"/>
          <w:szCs w:val="20"/>
        </w:rPr>
        <w:t>this is a penalty that goes to the ATO rather than the employee’s fund, and it includes the unpaid contribution, interest at 10% per annum, and an administration fee. Worth noting for future planning: from 1 July 2026 the ‘Payday Super’ legislation will require contributions to be paid on every payday rather than quarterly, which is a meaningful shift in how payroll systems will need to handle super timing.</w:t>
      </w:r>
    </w:p>
    <w:p w14:paraId="1E7EBB76">
      <w:pPr>
        <w:pBdr>
          <w:bottom w:val="single" w:color="BBBBBB" w:sz="2" w:space="1"/>
        </w:pBdr>
        <w:spacing w:after="240"/>
      </w:pPr>
    </w:p>
    <w:p w14:paraId="71E2B174">
      <w:pPr>
        <w:pStyle w:val="2"/>
      </w:pPr>
      <w:r>
        <w:rPr>
          <w:rFonts w:ascii="Arial" w:hAnsi="Arial" w:eastAsia="Arial" w:cs="Arial"/>
        </w:rPr>
        <w:t>9. Salary Packaging Options</w:t>
      </w:r>
    </w:p>
    <w:p w14:paraId="7F6106DB">
      <w:pPr>
        <w:spacing w:after="160"/>
      </w:pPr>
      <w:r>
        <w:rPr>
          <w:rFonts w:ascii="Arial" w:hAnsi="Arial" w:eastAsia="Arial" w:cs="Arial"/>
          <w:sz w:val="20"/>
          <w:szCs w:val="20"/>
        </w:rPr>
        <w:t xml:space="preserve">Salary packaging </w:t>
      </w:r>
      <w:r>
        <w:rPr>
          <w:rFonts w:cs="Arial"/>
          <w:sz w:val="20"/>
          <w:szCs w:val="20"/>
          <w:lang w:val="en-IN"/>
        </w:rPr>
        <w:t>-</w:t>
      </w:r>
      <w:r>
        <w:rPr>
          <w:rFonts w:ascii="Arial" w:hAnsi="Arial" w:eastAsia="Arial" w:cs="Arial"/>
          <w:sz w:val="20"/>
          <w:szCs w:val="20"/>
        </w:rPr>
        <w:t xml:space="preserve">or salary sacrificing as it’s sometimes called </w:t>
      </w:r>
      <w:r>
        <w:rPr>
          <w:rFonts w:cs="Arial"/>
          <w:sz w:val="20"/>
          <w:szCs w:val="20"/>
          <w:lang w:val="en-IN"/>
        </w:rPr>
        <w:t>-</w:t>
      </w:r>
      <w:r>
        <w:rPr>
          <w:rFonts w:ascii="Arial" w:hAnsi="Arial" w:eastAsia="Arial" w:cs="Arial"/>
          <w:sz w:val="20"/>
          <w:szCs w:val="20"/>
        </w:rPr>
        <w:t>gives employees a way to restructure part of their pay so some of it comes through as non-cash benefits instead of taxable wages. Because those packaged amounts are pulled from gross pay before PAYG tax is calculated, the employee’s taxable income shrinks. Done right, it means more in the pocket at the end of the month for the same total employment cost to the employer.</w:t>
      </w:r>
    </w:p>
    <w:p w14:paraId="32EA028A">
      <w:pPr>
        <w:spacing w:after="160"/>
      </w:pPr>
      <w:r>
        <w:rPr>
          <w:rFonts w:ascii="Arial" w:hAnsi="Arial" w:eastAsia="Arial" w:cs="Arial"/>
          <w:sz w:val="20"/>
          <w:szCs w:val="20"/>
        </w:rPr>
        <w:t xml:space="preserve">Car leasing is the most widely used option in private sector jobs. A novated lease arrangement lets the employer make the vehicle payments on behalf of the employee and recover the cost through pre-tax payroll deductions. Fringe Benefits Tax normally applies to these </w:t>
      </w:r>
      <w:r>
        <w:rPr>
          <w:rFonts w:cs="Arial"/>
          <w:sz w:val="20"/>
          <w:szCs w:val="20"/>
          <w:lang w:val="en-IN"/>
        </w:rPr>
        <w:t>-</w:t>
      </w:r>
      <w:r>
        <w:rPr>
          <w:rFonts w:ascii="Arial" w:hAnsi="Arial" w:eastAsia="Arial" w:cs="Arial"/>
          <w:sz w:val="20"/>
          <w:szCs w:val="20"/>
        </w:rPr>
        <w:t>but not for electric vehicles, which have been exempt from FBT since July 2022, making EVs noticeably cheaper to run through a salary sacrifice arrangement. Employees who want to grow their retirement savings faster can also direct extra money into super via salary sacrifice; contributions going in that way are taxed at just 15% inside the fund, which is better than most people’s marginal rate.</w:t>
      </w:r>
    </w:p>
    <w:p w14:paraId="01E9E72B">
      <w:pPr>
        <w:spacing w:after="160"/>
      </w:pPr>
      <w:r>
        <w:rPr>
          <w:rFonts w:ascii="Arial" w:hAnsi="Arial" w:eastAsia="Arial" w:cs="Arial"/>
          <w:sz w:val="20"/>
          <w:szCs w:val="20"/>
        </w:rPr>
        <w:t xml:space="preserve">Work laptops and phones used mainly for work qualify as FBT-exempt benefits and can be packaged cleanly. The more generous concessions sit with not-for-profit and charitable organisations, where staff can sacrifice living expenses </w:t>
      </w:r>
      <w:r>
        <w:rPr>
          <w:rFonts w:cs="Arial"/>
          <w:sz w:val="20"/>
          <w:szCs w:val="20"/>
          <w:lang w:val="en-IN"/>
        </w:rPr>
        <w:t>-</w:t>
      </w:r>
      <w:r>
        <w:rPr>
          <w:rFonts w:ascii="Arial" w:hAnsi="Arial" w:eastAsia="Arial" w:cs="Arial"/>
          <w:sz w:val="20"/>
          <w:szCs w:val="20"/>
        </w:rPr>
        <w:t xml:space="preserve">rent, mortgage payments, utility bills </w:t>
      </w:r>
      <w:r>
        <w:rPr>
          <w:rFonts w:cs="Arial"/>
          <w:sz w:val="20"/>
          <w:szCs w:val="20"/>
          <w:lang w:val="en-IN"/>
        </w:rPr>
        <w:t>-</w:t>
      </w:r>
      <w:r>
        <w:rPr>
          <w:rFonts w:ascii="Arial" w:hAnsi="Arial" w:eastAsia="Arial" w:cs="Arial"/>
          <w:sz w:val="20"/>
          <w:szCs w:val="20"/>
        </w:rPr>
        <w:t>up to $15,900 per FBT year without any fringe benefits tax. Hospital and ambulance workers have their own cap at $9,010. Meal entertainment packaging up to $2,650 per year is also available to NFP employees.</w:t>
      </w:r>
    </w:p>
    <w:p w14:paraId="2A722629">
      <w:pPr>
        <w:spacing w:after="160"/>
      </w:pPr>
      <w:r>
        <w:rPr>
          <w:rFonts w:ascii="Arial" w:hAnsi="Arial" w:eastAsia="Arial" w:cs="Arial"/>
          <w:sz w:val="20"/>
          <w:szCs w:val="20"/>
        </w:rPr>
        <w:t>From a system perspective, each active packaging arrangement needs to be stored against the employee record, with pre-tax components applied before the PAYG calculation runs. Post-tax items come out after tax. FBT liabilities on packaged benefits sit with the employer and need to be tracked separately.</w:t>
      </w:r>
    </w:p>
    <w:p w14:paraId="12A7AB13">
      <w:pPr>
        <w:pBdr>
          <w:bottom w:val="single" w:color="BBBBBB" w:sz="2" w:space="1"/>
        </w:pBdr>
        <w:spacing w:after="240"/>
      </w:pPr>
    </w:p>
    <w:p w14:paraId="38A01788">
      <w:pPr>
        <w:pStyle w:val="2"/>
      </w:pPr>
      <w:r>
        <w:rPr>
          <w:rFonts w:ascii="Arial" w:hAnsi="Arial" w:eastAsia="Arial" w:cs="Arial"/>
        </w:rPr>
        <w:t>10. Connection with Super Company Systems</w:t>
      </w:r>
    </w:p>
    <w:p w14:paraId="68CEC11C">
      <w:pPr>
        <w:spacing w:after="160"/>
      </w:pPr>
      <w:r>
        <w:rPr>
          <w:rFonts w:ascii="Arial" w:hAnsi="Arial" w:eastAsia="Arial" w:cs="Arial"/>
          <w:sz w:val="20"/>
          <w:szCs w:val="20"/>
        </w:rPr>
        <w:t xml:space="preserve">Super payments can’t go through regular banking channels the way salary does. Since 2012, all employer contributions must flow through SuperStream </w:t>
      </w:r>
      <w:r>
        <w:rPr>
          <w:rFonts w:cs="Arial"/>
          <w:sz w:val="20"/>
          <w:szCs w:val="20"/>
          <w:lang w:val="en-IN"/>
        </w:rPr>
        <w:t>-</w:t>
      </w:r>
      <w:r>
        <w:rPr>
          <w:rFonts w:ascii="Arial" w:hAnsi="Arial" w:eastAsia="Arial" w:cs="Arial"/>
          <w:sz w:val="20"/>
          <w:szCs w:val="20"/>
        </w:rPr>
        <w:t>a government-mandated electronic standard that bundles the payment with the contribution data and links them via a unique Payment Reference Number. This replaced the old world of posting cheques to individual funds or making unstructured bank transfers.</w:t>
      </w:r>
    </w:p>
    <w:p w14:paraId="6A5C274C">
      <w:pPr>
        <w:spacing w:after="160"/>
      </w:pPr>
      <w:r>
        <w:rPr>
          <w:rFonts w:ascii="Arial" w:hAnsi="Arial" w:eastAsia="Arial" w:cs="Arial"/>
          <w:sz w:val="20"/>
          <w:szCs w:val="20"/>
        </w:rPr>
        <w:t xml:space="preserve">There are a few practical ways to connect to the SuperStream system. Most small and medium businesses use payroll software that has SuperStream built in </w:t>
      </w:r>
      <w:r>
        <w:rPr>
          <w:rFonts w:cs="Arial"/>
          <w:sz w:val="20"/>
          <w:szCs w:val="20"/>
          <w:lang w:val="en-IN"/>
        </w:rPr>
        <w:t>-</w:t>
      </w:r>
      <w:r>
        <w:rPr>
          <w:rFonts w:ascii="Arial" w:hAnsi="Arial" w:eastAsia="Arial" w:cs="Arial"/>
          <w:sz w:val="20"/>
          <w:szCs w:val="20"/>
        </w:rPr>
        <w:t>platforms like Xero, MYOB and QuickBooks all handle it natively. Alternatively, many large super funds like AustralianSuper and REST give employer partners free access to their own clearing house portal. The ATO also runs the Small Business Superannuation Clearing House, which is free for businesses with fewer than 20 employees, though it’s being retired on 1 July 2026 so businesses using it will need to transition to another option before then. Commercial clearing houses like QuickSuper and SuperChoice are also available, typically for larger operations.</w:t>
      </w:r>
    </w:p>
    <w:p w14:paraId="771F88DF">
      <w:pPr>
        <w:spacing w:after="160"/>
      </w:pPr>
      <w:r>
        <w:rPr>
          <w:rFonts w:ascii="Arial" w:hAnsi="Arial" w:eastAsia="Arial" w:cs="Arial"/>
          <w:sz w:val="20"/>
          <w:szCs w:val="20"/>
        </w:rPr>
        <w:t>For each employee, the payroll system needs to store their fund’s name, the fund’s ABN, and the Unique Superannuation Identifier (USI). The employee’s member number within that fund is also required. For employees with a Self-Managed Super Fund, the system needs the fund’s BSB, account number, and Electronic Service Address so data can be transmitted alongside the payment.</w:t>
      </w:r>
    </w:p>
    <w:p w14:paraId="1F85E4AF">
      <w:pPr>
        <w:spacing w:after="160"/>
      </w:pPr>
      <w:r>
        <w:rPr>
          <w:rFonts w:ascii="Arial" w:hAnsi="Arial" w:eastAsia="Arial" w:cs="Arial"/>
          <w:sz w:val="20"/>
          <w:szCs w:val="20"/>
        </w:rPr>
        <w:t xml:space="preserve">When a new employee joins, the employer has 28 days to hand them a Standard Choice Form so they can nominate their preferred fund. If they don’t nominate one, the employer checks the ATO for a ‘stapled’ fund </w:t>
      </w:r>
      <w:r>
        <w:rPr>
          <w:rFonts w:cs="Arial"/>
          <w:sz w:val="20"/>
          <w:szCs w:val="20"/>
          <w:lang w:val="en-IN"/>
        </w:rPr>
        <w:t>-</w:t>
      </w:r>
      <w:r>
        <w:rPr>
          <w:rFonts w:ascii="Arial" w:hAnsi="Arial" w:eastAsia="Arial" w:cs="Arial"/>
          <w:sz w:val="20"/>
          <w:szCs w:val="20"/>
        </w:rPr>
        <w:t>an existing super account linked to that person’s TFN from a previous job. Nothing shows up? Contributions go to the employer’s default fund.</w:t>
      </w:r>
    </w:p>
    <w:p w14:paraId="46CB93D8">
      <w:pPr>
        <w:pBdr>
          <w:bottom w:val="single" w:color="BBBBBB" w:sz="2" w:space="1"/>
        </w:pBdr>
        <w:spacing w:after="240"/>
      </w:pPr>
    </w:p>
    <w:p w14:paraId="1235484A">
      <w:pPr>
        <w:pStyle w:val="2"/>
      </w:pPr>
      <w:r>
        <w:rPr>
          <w:rFonts w:ascii="Arial" w:hAnsi="Arial" w:eastAsia="Arial" w:cs="Arial"/>
        </w:rPr>
        <w:t>11. Making Payment to Super</w:t>
      </w:r>
    </w:p>
    <w:p w14:paraId="05C48C6D">
      <w:pPr>
        <w:spacing w:after="160"/>
      </w:pPr>
      <w:r>
        <w:rPr>
          <w:rFonts w:ascii="Arial" w:hAnsi="Arial" w:eastAsia="Arial" w:cs="Arial"/>
          <w:sz w:val="20"/>
          <w:szCs w:val="20"/>
        </w:rPr>
        <w:t>When the quarterly super deadline approaches, the employer pulls together the accumulated contribution amounts for each employee and submits them through their chosen SuperStream-compliant channel. The process is clean once the system is set up: contribution data goes in, a single payment leaves the business account, and the clearing house routes the correct amount to each individual fund.</w:t>
      </w:r>
    </w:p>
    <w:p w14:paraId="6C0B3E9B">
      <w:pPr>
        <w:spacing w:after="160"/>
      </w:pPr>
      <w:r>
        <w:rPr>
          <w:rFonts w:ascii="Arial" w:hAnsi="Arial" w:eastAsia="Arial" w:cs="Arial"/>
          <w:sz w:val="20"/>
          <w:szCs w:val="20"/>
        </w:rPr>
        <w:t xml:space="preserve">Clearing houses typically take three to seven business days to distribute payments to individual funds after receiving them. Because of this lag, most providers recommend lodging at least five business days before the quarterly deadline. The obligation is considered met when the money reaches the fund </w:t>
      </w:r>
      <w:r>
        <w:rPr>
          <w:rFonts w:cs="Arial"/>
          <w:sz w:val="20"/>
          <w:szCs w:val="20"/>
          <w:lang w:val="en-IN"/>
        </w:rPr>
        <w:t>-</w:t>
      </w:r>
      <w:r>
        <w:rPr>
          <w:rFonts w:ascii="Arial" w:hAnsi="Arial" w:eastAsia="Arial" w:cs="Arial"/>
          <w:sz w:val="20"/>
          <w:szCs w:val="20"/>
        </w:rPr>
        <w:t>not when it leaves the employer’s account. That distinction matters when deadlines are close.</w:t>
      </w:r>
    </w:p>
    <w:p w14:paraId="2B4885C9">
      <w:pPr>
        <w:spacing w:after="160"/>
      </w:pPr>
      <w:r>
        <w:rPr>
          <w:rFonts w:ascii="Arial" w:hAnsi="Arial" w:eastAsia="Arial" w:cs="Arial"/>
          <w:sz w:val="20"/>
          <w:szCs w:val="20"/>
        </w:rPr>
        <w:t>Miss the deadline and the Super Guarantee Charge applies. Unlike the ordinary contribution which goes straight to the employee’s fund, the SGC is paid to the ATO and includes the shortfall, interest at 10% per annum, and a flat admin fee per employee. It’s a meaningful penalty that makes timely lodgement worth taking seriously.</w:t>
      </w:r>
    </w:p>
    <w:p w14:paraId="1C24269C">
      <w:pPr>
        <w:spacing w:after="160"/>
      </w:pPr>
      <w:r>
        <w:rPr>
          <w:rFonts w:ascii="Arial" w:hAnsi="Arial" w:eastAsia="Arial" w:cs="Arial"/>
          <w:sz w:val="20"/>
          <w:szCs w:val="20"/>
        </w:rPr>
        <w:t xml:space="preserve">From 1 July 2026, the Payday Super legislation changes the picture significantly. Instead of quarterly batches, contributions will need to reach each employee’s fund on the same day as wages are paid. Payroll systems will need to process SuperStream submissions alongside every pay run rather than once a quarter </w:t>
      </w:r>
      <w:r>
        <w:rPr>
          <w:rFonts w:cs="Arial"/>
          <w:sz w:val="20"/>
          <w:szCs w:val="20"/>
          <w:lang w:val="en-IN"/>
        </w:rPr>
        <w:t>-</w:t>
      </w:r>
      <w:r>
        <w:rPr>
          <w:rFonts w:ascii="Arial" w:hAnsi="Arial" w:eastAsia="Arial" w:cs="Arial"/>
          <w:sz w:val="20"/>
          <w:szCs w:val="20"/>
        </w:rPr>
        <w:t>a much higher frequency than most businesses are used to. The ATO is working with software providers to update SuperStream’s data standards ahead of that deadline.</w:t>
      </w:r>
    </w:p>
    <w:p w14:paraId="60938604">
      <w:pPr>
        <w:spacing w:after="120"/>
      </w:pPr>
    </w:p>
    <w:p w14:paraId="3D7E42A8">
      <w:pPr>
        <w:pStyle w:val="2"/>
      </w:pPr>
      <w:r>
        <w:rPr>
          <w:rFonts w:ascii="Arial" w:hAnsi="Arial" w:eastAsia="Arial" w:cs="Arial"/>
        </w:rPr>
        <w:t>Sources</w:t>
      </w:r>
    </w:p>
    <w:p w14:paraId="412D3266">
      <w:pPr>
        <w:spacing w:after="160"/>
      </w:pPr>
      <w:r>
        <w:rPr>
          <w:rFonts w:ascii="Arial" w:hAnsi="Arial" w:eastAsia="Arial" w:cs="Arial"/>
          <w:sz w:val="20"/>
          <w:szCs w:val="20"/>
        </w:rPr>
        <w:t xml:space="preserve">[1] ATO </w:t>
      </w:r>
      <w:r>
        <w:rPr>
          <w:rFonts w:cs="Arial"/>
          <w:sz w:val="20"/>
          <w:szCs w:val="20"/>
          <w:lang w:val="en-IN"/>
        </w:rPr>
        <w:t>-</w:t>
      </w:r>
      <w:r>
        <w:rPr>
          <w:rFonts w:ascii="Arial" w:hAnsi="Arial" w:eastAsia="Arial" w:cs="Arial"/>
          <w:sz w:val="20"/>
          <w:szCs w:val="20"/>
        </w:rPr>
        <w:t>SuperStream for Employers
https://www.ato.gov.au/businesses-and-organisations/super-for-employers/paying-super-contributions/how-to-pay-super/superstream-for-employers</w:t>
      </w:r>
    </w:p>
    <w:p w14:paraId="4DE61AAE">
      <w:pPr>
        <w:spacing w:after="160"/>
      </w:pPr>
      <w:r>
        <w:rPr>
          <w:rFonts w:ascii="Arial" w:hAnsi="Arial" w:eastAsia="Arial" w:cs="Arial"/>
          <w:sz w:val="20"/>
          <w:szCs w:val="20"/>
        </w:rPr>
        <w:t xml:space="preserve">[2] ATO </w:t>
      </w:r>
      <w:r>
        <w:rPr>
          <w:rFonts w:cs="Arial"/>
          <w:sz w:val="20"/>
          <w:szCs w:val="20"/>
          <w:lang w:val="en-IN"/>
        </w:rPr>
        <w:t>-</w:t>
      </w:r>
      <w:r>
        <w:rPr>
          <w:rFonts w:ascii="Arial" w:hAnsi="Arial" w:eastAsia="Arial" w:cs="Arial"/>
          <w:sz w:val="20"/>
          <w:szCs w:val="20"/>
        </w:rPr>
        <w:t>Super Payment Due Dates
https://www.ato.gov.au/businesses-and-organisations/super-for-employers/paying-super-contributions/super-payment-due-dates</w:t>
      </w:r>
    </w:p>
    <w:p w14:paraId="6D65337E">
      <w:pPr>
        <w:spacing w:after="160"/>
      </w:pPr>
      <w:r>
        <w:rPr>
          <w:rFonts w:ascii="Arial" w:hAnsi="Arial" w:eastAsia="Arial" w:cs="Arial"/>
          <w:sz w:val="20"/>
          <w:szCs w:val="20"/>
        </w:rPr>
        <w:t xml:space="preserve">[3] ATO </w:t>
      </w:r>
      <w:r>
        <w:rPr>
          <w:rFonts w:cs="Arial"/>
          <w:sz w:val="20"/>
          <w:szCs w:val="20"/>
          <w:lang w:val="en-IN"/>
        </w:rPr>
        <w:t>-</w:t>
      </w:r>
      <w:r>
        <w:rPr>
          <w:rFonts w:ascii="Arial" w:hAnsi="Arial" w:eastAsia="Arial" w:cs="Arial"/>
          <w:sz w:val="20"/>
          <w:szCs w:val="20"/>
        </w:rPr>
        <w:t>PAYG Withholding
https://www.ato.gov.au/businesses-and-organisations/hiring-and-paying-your-workers/payg-withholding</w:t>
      </w:r>
    </w:p>
    <w:p w14:paraId="0AFB7A1B">
      <w:pPr>
        <w:spacing w:after="160"/>
      </w:pPr>
      <w:r>
        <w:rPr>
          <w:rFonts w:ascii="Arial" w:hAnsi="Arial" w:eastAsia="Arial" w:cs="Arial"/>
          <w:sz w:val="20"/>
          <w:szCs w:val="20"/>
        </w:rPr>
        <w:t xml:space="preserve">[4] Fair Work Ombudsman </w:t>
      </w:r>
      <w:r>
        <w:rPr>
          <w:rFonts w:cs="Arial"/>
          <w:sz w:val="20"/>
          <w:szCs w:val="20"/>
          <w:lang w:val="en-IN"/>
        </w:rPr>
        <w:t>-</w:t>
      </w:r>
      <w:r>
        <w:rPr>
          <w:rFonts w:ascii="Arial" w:hAnsi="Arial" w:eastAsia="Arial" w:cs="Arial"/>
          <w:sz w:val="20"/>
          <w:szCs w:val="20"/>
        </w:rPr>
        <w:t>Paying Wages
https://www.fairwork.gov.au/pay-and-wages/paying-wages</w:t>
      </w:r>
    </w:p>
    <w:p w14:paraId="07087C44">
      <w:pPr>
        <w:spacing w:after="160"/>
      </w:pPr>
      <w:r>
        <w:rPr>
          <w:rFonts w:ascii="Arial" w:hAnsi="Arial" w:eastAsia="Arial" w:cs="Arial"/>
          <w:sz w:val="20"/>
          <w:szCs w:val="20"/>
        </w:rPr>
        <w:t xml:space="preserve">[5] NALSPA </w:t>
      </w:r>
      <w:r>
        <w:rPr>
          <w:rFonts w:cs="Arial"/>
          <w:sz w:val="20"/>
          <w:szCs w:val="20"/>
          <w:lang w:val="en-IN"/>
        </w:rPr>
        <w:t>-</w:t>
      </w:r>
      <w:r>
        <w:rPr>
          <w:rFonts w:ascii="Arial" w:hAnsi="Arial" w:eastAsia="Arial" w:cs="Arial"/>
          <w:sz w:val="20"/>
          <w:szCs w:val="20"/>
        </w:rPr>
        <w:t>Salary Packaging Options
https://nalspa.org.au/sectors/salary-packaging/</w:t>
      </w:r>
    </w:p>
    <w:p w14:paraId="771BAD58">
      <w:pPr>
        <w:spacing w:after="160"/>
      </w:pPr>
      <w:r>
        <w:rPr>
          <w:rFonts w:ascii="Arial" w:hAnsi="Arial" w:eastAsia="Arial" w:cs="Arial"/>
          <w:sz w:val="20"/>
          <w:szCs w:val="20"/>
        </w:rPr>
        <w:t xml:space="preserve">[6] AustralianSuper </w:t>
      </w:r>
      <w:r>
        <w:rPr>
          <w:rFonts w:cs="Arial"/>
          <w:sz w:val="20"/>
          <w:szCs w:val="20"/>
          <w:lang w:val="en-IN"/>
        </w:rPr>
        <w:t>-</w:t>
      </w:r>
      <w:r>
        <w:rPr>
          <w:rFonts w:ascii="Arial" w:hAnsi="Arial" w:eastAsia="Arial" w:cs="Arial"/>
          <w:sz w:val="20"/>
          <w:szCs w:val="20"/>
        </w:rPr>
        <w:t>How to Pay Super
https://www.australiansuper.com/employers/making-payments</w:t>
      </w:r>
    </w:p>
    <w:p w14:paraId="3B12E010">
      <w:pPr>
        <w:spacing w:after="160"/>
      </w:pPr>
      <w:r>
        <w:rPr>
          <w:rFonts w:ascii="Arial" w:hAnsi="Arial" w:eastAsia="Arial" w:cs="Arial"/>
          <w:sz w:val="20"/>
          <w:szCs w:val="20"/>
        </w:rPr>
        <w:t xml:space="preserve">[7] Treasury </w:t>
      </w:r>
      <w:r>
        <w:rPr>
          <w:rFonts w:cs="Arial"/>
          <w:sz w:val="20"/>
          <w:szCs w:val="20"/>
          <w:lang w:val="en-IN"/>
        </w:rPr>
        <w:t>-</w:t>
      </w:r>
      <w:r>
        <w:rPr>
          <w:rFonts w:ascii="Arial" w:hAnsi="Arial" w:eastAsia="Arial" w:cs="Arial"/>
          <w:sz w:val="20"/>
          <w:szCs w:val="20"/>
        </w:rPr>
        <w:t>Payday Super Factsheet
https://treasury.gov.au/sites/default/files/2024-09/p2024-581438-payday-super-factsheet.pdf</w:t>
      </w:r>
    </w:p>
    <w:p w14:paraId="445711DC">
      <w:pPr>
        <w:spacing w:after="160"/>
      </w:pPr>
      <w:r>
        <w:rPr>
          <w:rFonts w:ascii="Arial" w:hAnsi="Arial" w:eastAsia="Arial" w:cs="Arial"/>
          <w:sz w:val="20"/>
          <w:szCs w:val="20"/>
        </w:rPr>
        <w:t xml:space="preserve">[8] ANZ </w:t>
      </w:r>
      <w:r>
        <w:rPr>
          <w:rFonts w:cs="Arial"/>
          <w:sz w:val="20"/>
          <w:szCs w:val="20"/>
          <w:lang w:val="en-IN"/>
        </w:rPr>
        <w:t>-</w:t>
      </w:r>
      <w:r>
        <w:rPr>
          <w:rFonts w:ascii="Arial" w:hAnsi="Arial" w:eastAsia="Arial" w:cs="Arial"/>
          <w:sz w:val="20"/>
          <w:szCs w:val="20"/>
        </w:rPr>
        <w:t>Business Payroll Payments
https://www.anz.com.au/support/internet-banking/pay-transfer-business/payroll/make-payments/</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D4E22">
    <w:pPr>
      <w:jc w:val="center"/>
    </w:pPr>
    <w:r>
      <w:rPr>
        <w:rFonts w:ascii="Arial" w:hAnsi="Arial" w:eastAsia="Arial" w:cs="Arial"/>
        <w:sz w:val="16"/>
        <w:szCs w:val="16"/>
      </w:rPr>
      <w:t xml:space="preserve">Payroll Processing  |  Page </w:t>
    </w:r>
    <w:r>
      <w:rPr>
        <w:rFonts w:ascii="Arial" w:hAnsi="Arial" w:eastAsia="Arial" w:cs="Arial"/>
        <w:sz w:val="16"/>
        <w:szCs w:val="16"/>
      </w:rPr>
      <w:fldChar w:fldCharType="begin"/>
    </w:r>
    <w:r>
      <w:rPr>
        <w:rFonts w:ascii="Arial" w:hAnsi="Arial" w:eastAsia="Arial" w:cs="Arial"/>
        <w:sz w:val="16"/>
        <w:szCs w:val="16"/>
      </w:rPr>
      <w:instrText xml:space="preserve">PAGE</w:instrText>
    </w:r>
    <w:r>
      <w:rPr>
        <w:rFonts w:ascii="Arial" w:hAnsi="Arial" w:eastAsia="Arial" w:cs="Arial"/>
        <w:sz w:val="16"/>
        <w:szCs w:val="16"/>
      </w:rPr>
      <w:fldChar w:fldCharType="separate"/>
    </w:r>
    <w:r>
      <w:rPr>
        <w:rFonts w:ascii="Arial" w:hAnsi="Arial" w:eastAsia="Arial" w:cs="Arial"/>
        <w:sz w:val="16"/>
        <w:szCs w:val="16"/>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B6813FA"/>
    <w:rsid w:val="2798776A"/>
    <w:rsid w:val="46B128E7"/>
    <w:rsid w:val="51526248"/>
    <w:rsid w:val="58007A60"/>
    <w:rsid w:val="6B8B135B"/>
    <w:rsid w:val="6FE74D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360" w:after="160"/>
      <w:outlineLvl w:val="0"/>
    </w:pPr>
    <w:rPr>
      <w:rFonts w:ascii="Arial" w:hAnsi="Arial" w:eastAsia="Arial" w:cs="Arial"/>
      <w:b/>
      <w:bCs/>
      <w:color w:val="000000"/>
      <w:sz w:val="28"/>
      <w:szCs w:val="28"/>
    </w:rPr>
  </w:style>
  <w:style w:type="paragraph" w:styleId="3">
    <w:name w:val="heading 2"/>
    <w:next w:val="1"/>
    <w:qFormat/>
    <w:uiPriority w:val="0"/>
    <w:pPr>
      <w:spacing w:before="240" w:after="120"/>
      <w:outlineLvl w:val="1"/>
    </w:pPr>
    <w:rPr>
      <w:rFonts w:ascii="Arial" w:hAnsi="Arial" w:eastAsia="Arial" w:cs="Arial"/>
      <w:b/>
      <w:bCs/>
      <w:color w:val="000000"/>
      <w:sz w:val="22"/>
      <w:szCs w:val="22"/>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6"/>
    <w:semiHidden/>
    <w:unhideWhenUsed/>
    <w:qFormat/>
    <w:uiPriority w:val="99"/>
    <w:pPr>
      <w:spacing w:after="0" w:line="240" w:lineRule="auto"/>
    </w:pPr>
    <w:rPr>
      <w:rFonts w:ascii="Arial" w:hAnsi="Arial" w:eastAsia="Arial" w:cs="Arial"/>
      <w:sz w:val="20"/>
      <w:szCs w:val="20"/>
    </w:rPr>
  </w:style>
  <w:style w:type="paragraph" w:styleId="12">
    <w:name w:val="header"/>
    <w:basedOn w:val="1"/>
    <w:uiPriority w:val="0"/>
    <w:pPr>
      <w:tabs>
        <w:tab w:val="center" w:pos="4153"/>
        <w:tab w:val="right" w:pos="8306"/>
      </w:tabs>
      <w:snapToGrid w:val="0"/>
    </w:pPr>
    <w:rPr>
      <w:sz w:val="18"/>
      <w:szCs w:val="18"/>
    </w:rPr>
  </w:style>
  <w:style w:type="character" w:styleId="13">
    <w:name w:val="Hyperlink"/>
    <w:unhideWhenUsed/>
    <w:qFormat/>
    <w:uiPriority w:val="99"/>
    <w:rPr>
      <w:color w:val="0563C1"/>
      <w:u w:val="single"/>
    </w:rPr>
  </w:style>
  <w:style w:type="paragraph" w:styleId="14">
    <w:name w:val="Title"/>
    <w:qFormat/>
    <w:uiPriority w:val="0"/>
    <w:rPr>
      <w:rFonts w:ascii="Arial" w:hAnsi="Arial" w:eastAsia="Arial" w:cs="Arial"/>
      <w:sz w:val="56"/>
      <w:szCs w:val="56"/>
    </w:rPr>
  </w:style>
  <w:style w:type="paragraph" w:styleId="15">
    <w:name w:val="List Paragraph"/>
    <w:qFormat/>
    <w:uiPriority w:val="0"/>
    <w:rPr>
      <w:rFonts w:ascii="Arial" w:hAnsi="Arial" w:eastAsia="Arial" w:cs="Arial"/>
      <w:sz w:val="20"/>
      <w:szCs w:val="20"/>
    </w:rPr>
  </w:style>
  <w:style w:type="character" w:customStyle="1" w:styleId="16">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2634</Words>
  <Characters>14198</Characters>
  <TotalTime>71</TotalTime>
  <ScaleCrop>false</ScaleCrop>
  <LinksUpToDate>false</LinksUpToDate>
  <CharactersWithSpaces>16772</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2026-03-28T07:51:00Z</dcterms:created>
  <dc:creator>Un-named</dc:creator>
  <cp:lastModifiedBy>Daljeet Singh</cp:lastModifiedBy>
  <dcterms:modified xsi:type="dcterms:W3CDTF">2026-03-28T09:14:25Z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eyJoZGlkIjoiNjI1Njk5ZmQyOTNmYWJlODZmMDE2ZjI3YjNmZjc0MWQiLCJ1c2VySWQiOiI1Njc0NzM0NDA0NzEifQ==</vt:lpwstr>
  </property>
  <property fmtid="{D5CDD505-2E9C-101B-9397-08002B2CF9AE}" pid="3" name="KSOProductBuildVer">
    <vt:lpwstr>1033-12.1.0.25242</vt:lpwstr>
  </property>
  <property fmtid="{D5CDD505-2E9C-101B-9397-08002B2CF9AE}" pid="4" name="ICV">
    <vt:lpwstr>4055C2EDA8DD4CEFA6C9A5190864A787_12</vt:lpwstr>
  </property>
</Properties>
</file>