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ServiceNow-Based Employee Laptop Request Application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67.5399361022364"/>
        <w:gridCol w:w="1903.8977635782746"/>
        <w:gridCol w:w="6688.562300319489"/>
        <w:tblGridChange w:id="0">
          <w:tblGrid>
            <w:gridCol w:w="767.5399361022364"/>
            <w:gridCol w:w="1903.8977635782746"/>
            <w:gridCol w:w="6688.56230031948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60" w:line="259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S.No.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line="259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160" w:line="259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Screenshot /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Data Rendered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Employee laptop request data is rendered in the ServiceNow application, including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Request Number, Employee Name, Employee ID, Department, Laptop Type, Request Status, Approval Status, Assigned IT Group, Asset Number, and Requested Date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Data Preprocessing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is validated and prepared before processing. Mandatory fields are checked, invalid or incomplete employee/request details are restricted, and request information is standardized for workflow processing.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Utilization of Data Filters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Filters are used to view requests based on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Request Number, Department, Laptop Type, Request Status, Approval Status, Assigned Group, and Requested Date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DAX Queries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Not Applicable (N/A)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– The solution is developed using ServiceNow features and does not use Power BI DAX queries. ServiceNow filters, reports, and platform configurations are used instead.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Dashboard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No. of Visualizations / Graphs – 4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. Dashboard can display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Total Laptop Requests, Pending Approvals, Requests In Progress, and Completed Requests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Report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No. of Visualizations / Graphs – 3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. Reports can include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Requests by Department, Requests by Laptop Type, and Request Status Summary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