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8: PROJECT DEMONSTRATION PHASE</w:t>
      </w:r>
    </w:p>
    <w:p w:rsidR="00000000" w:rsidDel="00000000" w:rsidP="00000000" w:rsidRDefault="00000000" w:rsidRPr="00000000" w14:paraId="00000002">
      <w:pPr>
        <w:rPr/>
      </w:pPr>
      <w:r w:rsidDel="00000000" w:rsidR="00000000" w:rsidRPr="00000000">
        <w:rPr>
          <w:rtl w:val="0"/>
        </w:rPr>
        <w:t xml:space="preserve">1. System Host Deployment Overview [1]</w:t>
      </w:r>
    </w:p>
    <w:p w:rsidR="00000000" w:rsidDel="00000000" w:rsidP="00000000" w:rsidRDefault="00000000" w:rsidRPr="00000000" w14:paraId="00000003">
      <w:pPr>
        <w:rPr/>
      </w:pPr>
      <w:r w:rsidDel="00000000" w:rsidR="00000000" w:rsidRPr="00000000">
        <w:rPr>
          <w:rtl w:val="0"/>
        </w:rPr>
        <w:t xml:space="preserve">The final deployment verification loop targets local hosting configurations using a high-speed ASGI server environment. Launching Uvicorn instances with hot-reload modules enabled allows full validation under local network sub-domains, simulating cloud delivery processes.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Step-by-Step Local Bootstrap Deployment Sequence [1]</w:t>
      </w:r>
    </w:p>
    <w:p w:rsidR="00000000" w:rsidDel="00000000" w:rsidP="00000000" w:rsidRDefault="00000000" w:rsidRPr="00000000" w14:paraId="00000006">
      <w:pPr>
        <w:rPr/>
      </w:pPr>
      <w:r w:rsidDel="00000000" w:rsidR="00000000" w:rsidRPr="00000000">
        <w:rPr>
          <w:rtl w:val="0"/>
        </w:rPr>
        <w:t xml:space="preserve"> * Virtual Layer Activation: Open the terminal console inside the project root folder directory zone and run the activation path scripts: comiccraft-env\Scripts\activate (on Windows systems) or source comiccraft-env/bin/activate (on macOS/Linux architectures).</w:t>
      </w:r>
    </w:p>
    <w:p w:rsidR="00000000" w:rsidDel="00000000" w:rsidP="00000000" w:rsidRDefault="00000000" w:rsidRPr="00000000" w14:paraId="00000007">
      <w:pPr>
        <w:rPr/>
      </w:pPr>
      <w:r w:rsidDel="00000000" w:rsidR="00000000" w:rsidRPr="00000000">
        <w:rPr>
          <w:rtl w:val="0"/>
        </w:rPr>
        <w:t xml:space="preserve"> * Package Checklist Verification: Confirm all required dependencies are locked inside the active environment instance by running the installer check commands list: pip install fastapi uvicorn jinja2 google-generativeai diffusers transformers fpdf Pillow python-multipart python-dotenv.</w:t>
      </w:r>
    </w:p>
    <w:p w:rsidR="00000000" w:rsidDel="00000000" w:rsidP="00000000" w:rsidRDefault="00000000" w:rsidRPr="00000000" w14:paraId="00000008">
      <w:pPr>
        <w:rPr/>
      </w:pPr>
      <w:r w:rsidDel="00000000" w:rsidR="00000000" w:rsidRPr="00000000">
        <w:rPr>
          <w:rtl w:val="0"/>
        </w:rPr>
        <w:t xml:space="preserve"> * Launching the Web Server: Boot the live web framework routing instance by executing the uvicorn bootstrapper module command: uvicorn main:app --reload. The local framework console immediately displays real-time server threads, printing the successful boot log line: INFO: Uvicorn server running on [http://127.0.0.1:8000](http://127.0.0.1:8000).</w:t>
      </w:r>
    </w:p>
    <w:p w:rsidR="00000000" w:rsidDel="00000000" w:rsidP="00000000" w:rsidRDefault="00000000" w:rsidRPr="00000000" w14:paraId="00000009">
      <w:pPr>
        <w:rPr/>
      </w:pPr>
      <w:r w:rsidDel="00000000" w:rsidR="00000000" w:rsidRPr="00000000">
        <w:rPr>
          <w:rtl w:val="0"/>
        </w:rPr>
        <w:t xml:space="preserve"> * Interactive Dashboard Viewport Access: Open Google Chrome and navigate to the local sub-root path address: [http://127.0.0.1:8000](http://127.0.0.1:8000). The homepage interface form cleanly displays, allowing the user to enter text prompts, choose artistic attributes, and generate custom comic creations. Developers can also open [http://127.0.0.1:8000/docs](http://127.0.0.1:8000/docs) to test endpoints via interactive Swagger UI views.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Platform SWOT Engineering Matrix Analysis Summary [1]</w:t>
      </w:r>
    </w:p>
    <w:p w:rsidR="00000000" w:rsidDel="00000000" w:rsidP="00000000" w:rsidRDefault="00000000" w:rsidRPr="00000000" w14:paraId="0000000C">
      <w:pPr>
        <w:rPr/>
      </w:pPr>
      <w:r w:rsidDel="00000000" w:rsidR="00000000" w:rsidRPr="00000000">
        <w:rPr>
          <w:rtl w:val="0"/>
        </w:rPr>
        <w:t xml:space="preserve"> * STRENGTHS (S): Features an isolated MVC layout that distributes heavy text and graphics generation down decoupled pipeline segments, rendering publication-ready visual multi-panel digital art assets in under 120 seconds at zero cost.</w:t>
      </w:r>
    </w:p>
    <w:p w:rsidR="00000000" w:rsidDel="00000000" w:rsidP="00000000" w:rsidRDefault="00000000" w:rsidRPr="00000000" w14:paraId="0000000D">
      <w:pPr>
        <w:rPr/>
      </w:pPr>
      <w:r w:rsidDel="00000000" w:rsidR="00000000" w:rsidRPr="00000000">
        <w:rPr>
          <w:rtl w:val="0"/>
        </w:rPr>
        <w:t xml:space="preserve"> * WEAKNESSES (W): Dependent on active third-party cloud connection uptimes to maintain active token generation capabilities across remote multi-modal inference networks.</w:t>
      </w:r>
    </w:p>
    <w:p w:rsidR="00000000" w:rsidDel="00000000" w:rsidP="00000000" w:rsidRDefault="00000000" w:rsidRPr="00000000" w14:paraId="0000000E">
      <w:pPr>
        <w:rPr/>
      </w:pPr>
      <w:r w:rsidDel="00000000" w:rsidR="00000000" w:rsidRPr="00000000">
        <w:rPr>
          <w:rtl w:val="0"/>
        </w:rPr>
        <w:t xml:space="preserve"> * OPPORTUNITIES (O): Highly adaptable modular structure ready to integrate shared prompt consistency matrices to maintain identical protagonist visual features across long frame counts, or add regional language translation microservices engines.</w:t>
      </w:r>
    </w:p>
    <w:p w:rsidR="00000000" w:rsidDel="00000000" w:rsidP="00000000" w:rsidRDefault="00000000" w:rsidRPr="00000000" w14:paraId="0000000F">
      <w:pPr>
        <w:rPr/>
      </w:pPr>
      <w:r w:rsidDel="00000000" w:rsidR="00000000" w:rsidRPr="00000000">
        <w:rPr>
          <w:rtl w:val="0"/>
        </w:rPr>
        <w:t xml:space="preserve"> * THREATS (T): Needs to adapt to shifting API structural request formats from central model providers to maintain long-term runtime compatibility without generating connection exceptions.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Project Development Summary and Future Engineering Path [1]</w:t>
      </w:r>
    </w:p>
    <w:p w:rsidR="00000000" w:rsidDel="00000000" w:rsidP="00000000" w:rsidRDefault="00000000" w:rsidRPr="00000000" w14:paraId="00000012">
      <w:pPr>
        <w:rPr/>
      </w:pPr>
      <w:r w:rsidDel="00000000" w:rsidR="00000000" w:rsidRPr="00000000">
        <w:rPr>
          <w:rtl w:val="0"/>
        </w:rPr>
        <w:t xml:space="preserve">The ComicCraft platform successfully demonstrates how asynchronous python frameworks can chain multi-modal generative artificial intelligence architectures into a single system runtime. By decoupling panel layout mapping, creative dialogue scripting, and visual graphic synthesis, the application entirely removes the domain entry bottlenecks of visual art creation, letting creators print pristine vector digital comics using nothing but raw imagination.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