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sz w:val="28"/>
          <w:szCs w:val="28"/>
        </w:rPr>
        <w:t xml:space="preserve">Lab 1: Requirements Engineering – Requirements Table</w:t>
      </w:r>
    </w:p>
    <w:p>
      <w:pPr>
        <w:spacing w:after="40"/>
      </w:pPr>
      <w:r>
        <w:rPr>
          <w:b/>
          <w:bCs/>
          <w:sz w:val="22"/>
          <w:szCs w:val="22"/>
        </w:rPr>
        <w:t xml:space="preserve">Problem Statement #27 – Warehouse Inventory &amp; Pallet Location Tracker</w:t>
      </w:r>
    </w:p>
    <w:p>
      <w:pPr>
        <w:spacing w:after="240"/>
      </w:pPr>
      <w:r>
        <w:rPr>
          <w:sz w:val="20"/>
          <w:szCs w:val="20"/>
        </w:rPr>
        <w:t xml:space="preserve">Name: Pramiti Ragavendra Udupa    |    SRN: PES1UG24CS331    |    PES University, Dept. of CSE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4100"/>
        <w:gridCol w:w="1000"/>
        <w:gridCol w:w="4500"/>
        <w:gridCol w:w="2100"/>
      </w:tblGrid>
      <w:tr>
        <w:trPr>
          <w:tblHeader/>
        </w:trPr>
        <w:tc>
          <w:tcPr>
            <w:tcW w:type="dxa" w:w="1100"/>
            <w:shd w:fill="D9D9D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Req ID</w:t>
            </w:r>
          </w:p>
        </w:tc>
        <w:tc>
          <w:tcPr>
            <w:tcW w:type="dxa" w:w="1600"/>
            <w:shd w:fill="D9D9D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100"/>
            <w:shd w:fill="D9D9D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000"/>
            <w:shd w:fill="D9D9D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4500"/>
            <w:shd w:fill="D9D9D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2100"/>
            <w:shd w:fill="D9D9D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validate proposed pallet placement coordinates against the rack’s maximum rated load capacity before confirming storage.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pallet is accepted only where the resulting total rack load stays within the rated structural limit. Fail: Placement is permitted on a rack where the resulting total weight exceeds the rated structural limit.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Prevents structural rack collapse and operator injury; this is the core safety control of the warehouse.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register an inbound pallet by capturing its SKU, quantity and gross weight from a barcode or RFID scan of the pallet tag.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Scanning a valid pallet tag creates a pallet record populated with SKU, quantity and gross weight within 2 seconds. Fail: The scan produces no record, or any of the three fields is blank or incorrect.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Scanning is the only data-entry route into the system; every downstream function depends on this record existing and being accurate.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assign and persist a three-part bin coordinate (aisle, rack, level) for every pallet whose placement has been confirmed.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After confirmation the pallet record shows a unique aisle-rack-level coordinate and that bin is flagged occupied. Fail: The coordinate is missing, is duplicated across two pallets, or the bin remains flagged vacant.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Three-dimensional location tracking is the primary purpose of the system, and a unique coordinate is what makes retrieval possible.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write a movement log entry recording pallet ID, source bin, destination bin, operator ID and timestamp for every put-away, relocation and dispatch.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Each of the three movement types produces exactly one log entry containing all five fields. Fail: A movement completes with no log entry, or with any field left empty.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Provides the audit trail required for stock reconciliation, shrinkage investigation and accountability.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return the current bin coordinate of any stored pallet when a user submits its SKU.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 query for a stored SKU returns the correct aisle-rack-level coordinate. Fail: The query returns no result, or returns a coordinate that does not match the pallet’s physical location.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Operators must locate stock on the floor quickly; without retrieval the stored coordinates carry no operational value.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Non-functional (Performance &amp; Security)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warehouse item lookup service shall locate any SKU pallet coordinate across 100,000 bins in under 100 ms.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Benchmarking of 1,000 randomised SKU queries under simulated peak load confirms a 95th-percentile response time below 100 ms over an authenticated channel. Fail: The 95th-percentile response time exceeds 100 ms.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Lookups are performed continuously during picking; slow responses stall forklift operators and reduce throughput.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Non-functional (Security)</w:t>
            </w:r>
          </w:p>
        </w:tc>
        <w:tc>
          <w:tcPr>
            <w:tcW w:type="dxa" w:w="4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system shall restrict modification and deletion of movement log records to users holding the Logistics Supervisor role.</w:t>
            </w:r>
          </w:p>
        </w:tc>
        <w:tc>
          <w:tcPr>
            <w:tcW w:type="dxa" w:w="10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5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Pass: An Operator account attempting to edit or delete a log entry is denied and the attempt is itself recorded. Fail: Any non-supervisor account alters or removes a log record.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Keeps the audit trail trustworthy when stock discrepancies are investigated.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2026-08-27T06:07:33.733Z</dcterms:created>
  <dcterms:modified xsi:type="dcterms:W3CDTF">2026-08-27T06:07:33.746Z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