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30"/>
      </w:pPr>
      <w:r>
        <w:rPr>
          <w:b/>
          <w:bCs/>
          <w:i w:val="false"/>
          <w:iCs w:val="false"/>
          <w:sz w:val="26"/>
          <w:szCs w:val="26"/>
        </w:rPr>
        <w:t xml:space="preserve">Use-Case Flow Specification</w:t>
      </w:r>
    </w:p>
    <w:p>
      <w:pPr>
        <w:spacing w:after="20" w:before="0" w:line="230"/>
      </w:pPr>
      <w:r>
        <w:rPr>
          <w:b/>
          <w:bCs/>
          <w:i w:val="false"/>
          <w:iCs w:val="false"/>
          <w:sz w:val="20"/>
          <w:szCs w:val="20"/>
        </w:rPr>
        <w:t xml:space="preserve">Problem Statement #27 – Warehouse Inventory &amp; Pallet Location Tracker</w:t>
      </w:r>
    </w:p>
    <w:p>
      <w:pPr>
        <w:pBdr>
          <w:bottom w:val="single" w:color="999999" w:sz="6" w:space="2"/>
        </w:pBdr>
        <w:spacing w:after="120" w:before="0" w:line="23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Name: Pramiti Ragavendra Udupa    |    SRN: PES1UG24CS331    |    PES University, Dept. of CSE</w:t>
      </w:r>
    </w:p>
    <w:p>
      <w:pPr>
        <w:spacing w:after="20" w:before="0" w:line="230"/>
      </w:pPr>
      <w:r>
        <w:rPr>
          <w:b/>
          <w:bCs/>
          <w:i w:val="false"/>
          <w:iCs w:val="false"/>
          <w:sz w:val="19"/>
          <w:szCs w:val="19"/>
        </w:rPr>
        <w:t xml:space="preserve">Use Case ID: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UC-02</w:t>
      </w:r>
    </w:p>
    <w:p>
      <w:pPr>
        <w:spacing w:after="20" w:before="0" w:line="230"/>
      </w:pPr>
      <w:r>
        <w:rPr>
          <w:b/>
          <w:bCs/>
          <w:i w:val="false"/>
          <w:iCs w:val="false"/>
          <w:sz w:val="19"/>
          <w:szCs w:val="19"/>
        </w:rPr>
        <w:t xml:space="preserve">Use Case Name: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Store pallet in bin</w:t>
      </w:r>
    </w:p>
    <w:p>
      <w:pPr>
        <w:spacing w:after="20" w:before="0" w:line="230"/>
      </w:pPr>
      <w:r>
        <w:rPr>
          <w:b/>
          <w:bCs/>
          <w:i w:val="false"/>
          <w:iCs w:val="false"/>
          <w:sz w:val="19"/>
          <w:szCs w:val="19"/>
        </w:rPr>
        <w:t xml:space="preserve">Primary Actor: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Warehouse Operator</w:t>
      </w:r>
    </w:p>
    <w:p>
      <w:pPr>
        <w:spacing w:after="20" w:before="0" w:line="230"/>
      </w:pPr>
      <w:r>
        <w:rPr>
          <w:b/>
          <w:bCs/>
          <w:i w:val="false"/>
          <w:iCs w:val="false"/>
          <w:sz w:val="19"/>
          <w:szCs w:val="19"/>
        </w:rPr>
        <w:t xml:space="preserve">Secondary Actor: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Barcode / RFID Scanner (device)</w:t>
      </w:r>
    </w:p>
    <w:p>
      <w:pPr>
        <w:spacing w:after="20" w:before="0" w:line="230"/>
      </w:pPr>
      <w:r>
        <w:rPr>
          <w:b/>
          <w:bCs/>
          <w:i w:val="false"/>
          <w:iCs w:val="false"/>
          <w:sz w:val="19"/>
          <w:szCs w:val="19"/>
        </w:rPr>
        <w:t xml:space="preserve">Related Requirements: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FR-001, FR-003, FR-004</w:t>
      </w:r>
    </w:p>
    <w:p>
      <w:pPr>
        <w:spacing w:after="20" w:before="0" w:line="230"/>
      </w:pPr>
      <w:r>
        <w:rPr>
          <w:b/>
          <w:bCs/>
          <w:i w:val="false"/>
          <w:iCs w:val="false"/>
          <w:sz w:val="19"/>
          <w:szCs w:val="19"/>
        </w:rPr>
        <w:t xml:space="preserve">Relationships: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«include» UC-03 Validate rack load capacity;  «include» UC-06 Log stock movement;  extended by UC-04 Suggest alternative bin</w:t>
      </w:r>
    </w:p>
    <w:p>
      <w:pPr>
        <w:spacing w:after="20" w:before="0" w:line="230"/>
      </w:pPr>
      <w:r>
        <w:rPr>
          <w:b/>
          <w:bCs/>
          <w:i w:val="false"/>
          <w:iCs w:val="false"/>
          <w:sz w:val="19"/>
          <w:szCs w:val="19"/>
        </w:rPr>
        <w:t xml:space="preserve">Trigger: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A registered pallet is on the forklift at the inbound dock and the operator requests a put-away.</w:t>
      </w:r>
    </w:p>
    <w:p>
      <w:pPr>
        <w:spacing w:after="40" w:before="140" w:line="230"/>
      </w:pPr>
      <w:r>
        <w:rPr>
          <w:b/>
          <w:bCs/>
          <w:i w:val="false"/>
          <w:iCs w:val="false"/>
          <w:sz w:val="21"/>
          <w:szCs w:val="21"/>
        </w:rPr>
        <w:t xml:space="preserve">Preconditions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1.  The operator is authenticated and holds the Warehouse Operator role.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2.  The pallet has already been registered through UC-01, so its SKU, quantity and gross weight are on record.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3.  At least one bin in the rack layout is flagged vacant.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4.  Rack master data — rated load capacity and current total load — is available to the system.</w:t>
      </w:r>
    </w:p>
    <w:p>
      <w:pPr>
        <w:spacing w:after="40" w:before="140" w:line="230"/>
      </w:pPr>
      <w:r>
        <w:rPr>
          <w:b/>
          <w:bCs/>
          <w:i w:val="false"/>
          <w:iCs w:val="false"/>
          <w:sz w:val="21"/>
          <w:szCs w:val="21"/>
        </w:rPr>
        <w:t xml:space="preserve">Postconditions</w:t>
      </w:r>
    </w:p>
    <w:p>
      <w:pPr>
        <w:spacing w:after="20" w:before="0" w:line="230"/>
        <w:ind w:left="280"/>
      </w:pPr>
      <w:r>
        <w:rPr>
          <w:b/>
          <w:bCs/>
          <w:i w:val="false"/>
          <w:iCs w:val="false"/>
          <w:sz w:val="19"/>
          <w:szCs w:val="19"/>
        </w:rPr>
        <w:t xml:space="preserve">On success: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the pallet record holds a unique aisle-rack-level coordinate; the target bin is flagged occupied; the rack’s running total load is increased by the pallet’s gross weight and remains within its rated capacity; and a movement log entry has been written.</w:t>
      </w:r>
    </w:p>
    <w:p>
      <w:pPr>
        <w:spacing w:after="20" w:before="0" w:line="230"/>
        <w:ind w:left="280"/>
      </w:pPr>
      <w:r>
        <w:rPr>
          <w:b/>
          <w:bCs/>
          <w:i w:val="false"/>
          <w:iCs w:val="false"/>
          <w:sz w:val="19"/>
          <w:szCs w:val="19"/>
        </w:rPr>
        <w:t xml:space="preserve">On failure: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the pallet remains unassigned at the inbound dock, no bin is flagged occupied, the rack’s total load is unchanged, and the rejected attempt is recorded.</w:t>
      </w:r>
    </w:p>
    <w:p>
      <w:pPr>
        <w:spacing w:after="40" w:before="140" w:line="230"/>
      </w:pPr>
      <w:r>
        <w:rPr>
          <w:b/>
          <w:bCs/>
          <w:i w:val="false"/>
          <w:iCs w:val="false"/>
          <w:sz w:val="21"/>
          <w:szCs w:val="21"/>
        </w:rPr>
        <w:t xml:space="preserve">Main Success Scenario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1.  The operator selects “Store Pallet” on the handheld terminal.</w:t>
      </w:r>
      <w:r>
        <w:rPr>
          <w:b w:val="false"/>
          <w:bCs w:val="false"/>
          <w:i/>
          <w:iCs/>
          <w:sz w:val="19"/>
          <w:szCs w:val="19"/>
        </w:rPr>
        <w:t xml:space="preserve"/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2.  The system prompts for the pallet tag to be scanned.</w:t>
      </w:r>
      <w:r>
        <w:rPr>
          <w:b w:val="false"/>
          <w:bCs w:val="false"/>
          <w:i/>
          <w:iCs/>
          <w:sz w:val="19"/>
          <w:szCs w:val="19"/>
        </w:rPr>
        <w:t xml:space="preserve"/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3.  The operator scans the pallet’s barcode/RFID tag; the scanner transmits the tag ID to the system.</w:t>
      </w:r>
      <w:r>
        <w:rPr>
          <w:b w:val="false"/>
          <w:bCs w:val="false"/>
          <w:i/>
          <w:iCs/>
          <w:sz w:val="19"/>
          <w:szCs w:val="19"/>
        </w:rPr>
        <w:t xml:space="preserve"/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4.  The system retrieves the pallet record and displays its SKU, quantity and gross weight.</w:t>
      </w:r>
      <w:r>
        <w:rPr>
          <w:b w:val="false"/>
          <w:bCs w:val="false"/>
          <w:i/>
          <w:iCs/>
          <w:sz w:val="19"/>
          <w:szCs w:val="19"/>
        </w:rPr>
        <w:t xml:space="preserve"/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5.  The system displays the vacant bins together with each rack’s remaining spare capacity.</w:t>
      </w:r>
      <w:r>
        <w:rPr>
          <w:b w:val="false"/>
          <w:bCs w:val="false"/>
          <w:i/>
          <w:iCs/>
          <w:sz w:val="19"/>
          <w:szCs w:val="19"/>
        </w:rPr>
        <w:t xml:space="preserve"/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6.  The operator selects a proposed bin coordinate (aisle, rack, level).</w:t>
      </w:r>
      <w:r>
        <w:rPr>
          <w:b w:val="false"/>
          <w:bCs w:val="false"/>
          <w:i/>
          <w:iCs/>
          <w:sz w:val="19"/>
          <w:szCs w:val="19"/>
        </w:rPr>
        <w:t xml:space="preserve"/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7.  The system validates the proposed placement against the rack’s rated load capacity.</w:t>
      </w:r>
      <w:r>
        <w:rPr>
          <w:b w:val="false"/>
          <w:bCs w:val="false"/>
          <w:i/>
          <w:iCs/>
          <w:sz w:val="19"/>
          <w:szCs w:val="19"/>
        </w:rPr>
        <w:t xml:space="preserve">  «include UC-03»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8.  Validation passes; the system reserves the bin and asks the operator to confirm the placement.</w:t>
      </w:r>
      <w:r>
        <w:rPr>
          <w:b w:val="false"/>
          <w:bCs w:val="false"/>
          <w:i/>
          <w:iCs/>
          <w:sz w:val="19"/>
          <w:szCs w:val="19"/>
        </w:rPr>
        <w:t xml:space="preserve"/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9.  The operator confirms.</w:t>
      </w:r>
      <w:r>
        <w:rPr>
          <w:b w:val="false"/>
          <w:bCs w:val="false"/>
          <w:i/>
          <w:iCs/>
          <w:sz w:val="19"/>
          <w:szCs w:val="19"/>
        </w:rPr>
        <w:t xml:space="preserve"/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10.  The system assigns the coordinate to the pallet record and flags the bin occupied.</w:t>
      </w:r>
      <w:r>
        <w:rPr>
          <w:b w:val="false"/>
          <w:bCs w:val="false"/>
          <w:i/>
          <w:iCs/>
          <w:sz w:val="19"/>
          <w:szCs w:val="19"/>
        </w:rPr>
        <w:t xml:space="preserve"/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11.  The system writes a movement log entry containing pallet ID, source, destination bin, operator ID and timestamp.</w:t>
      </w:r>
      <w:r>
        <w:rPr>
          <w:b w:val="false"/>
          <w:bCs w:val="false"/>
          <w:i/>
          <w:iCs/>
          <w:sz w:val="19"/>
          <w:szCs w:val="19"/>
        </w:rPr>
        <w:t xml:space="preserve">  «include UC-06»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12.  The system displays a confirmation showing the final coordinate. The use case ends successfully.</w:t>
      </w:r>
      <w:r>
        <w:rPr>
          <w:b w:val="false"/>
          <w:bCs w:val="false"/>
          <w:i/>
          <w:iCs/>
          <w:sz w:val="19"/>
          <w:szCs w:val="19"/>
        </w:rPr>
        <w:t xml:space="preserve"/>
      </w:r>
    </w:p>
    <w:p>
      <w:pPr>
        <w:spacing w:after="40" w:before="140" w:line="230"/>
      </w:pPr>
      <w:r>
        <w:rPr>
          <w:b/>
          <w:bCs/>
          <w:i w:val="false"/>
          <w:iCs w:val="false"/>
          <w:sz w:val="21"/>
          <w:szCs w:val="21"/>
        </w:rPr>
        <w:t xml:space="preserve">Alternate Flow 7a — Rack capacity would be exceeded</w:t>
      </w:r>
      <w:r>
        <w:rPr>
          <w:b w:val="false"/>
          <w:bCs w:val="false"/>
          <w:i/>
          <w:iCs/>
          <w:sz w:val="17"/>
          <w:szCs w:val="17"/>
        </w:rPr>
        <w:t xml:space="preserve">   («extend» UC-04 Suggest alternative bin)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7a1.  At step 7 the system computes that the resulting total load would exceed the rack’s rated capacity, and rejects the proposed coordinate.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7a2.  The system displays a rejection message stating the rack’s rated capacity, its current load and the pallet’s gross weight.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7a3.  The system invokes UC-04 and offers up to three alternative vacant bins whose remaining capacity can carry the pallet.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7a4.  The operator selects one of the alternatives; the flow resumes at step 7 so the new coordinate is validated in the same way.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7a5.  If no alternative exists, or the operator declines all of them, the system records the failed attempt, leaves the pallet unassigned at the inbound dock and raises a capacity alert to the Logistics Supervisor. The use case ends in failure.</w:t>
      </w:r>
    </w:p>
    <w:p>
      <w:pPr>
        <w:spacing w:after="40" w:before="140" w:line="230"/>
      </w:pPr>
      <w:r>
        <w:rPr>
          <w:b/>
          <w:bCs/>
          <w:i w:val="false"/>
          <w:iCs w:val="false"/>
          <w:sz w:val="21"/>
          <w:szCs w:val="21"/>
        </w:rPr>
        <w:t xml:space="preserve">Alternate Flow 3a — Pallet tag unreadable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3a1.  The scanner fails to read the tag, or returns an ID with no matching pallet record.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3a2.  The system displays a “tag not recognised” message and prompts for a rescan.</w:t>
      </w:r>
    </w:p>
    <w:p>
      <w:pPr>
        <w:spacing w:after="20" w:before="0" w:line="230"/>
        <w:ind w:left="28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3a3.  After three failed attempts the system allows the operator to key in the pallet ID manually, and flags the record for supervisor verification. The flow then resumes at step 4.</w:t>
      </w:r>
    </w:p>
    <w:sectPr>
      <w:pgSz w:w="11906" w:h="16838" w:orient="portrait"/>
      <w:pgMar w:top="720" w:right="850" w:bottom="6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2026-08-27T06:07:33.969Z</dcterms:created>
  <dcterms:modified xsi:type="dcterms:W3CDTF">2026-08-27T06:07:33.970Z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