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4C38" w:val="clear"/>
        <w:spacing w:after="0" w:before="0"/>
        <w:ind w:left="240" w:right="240"/>
      </w:pPr>
      <w:r>
        <w:rPr>
          <w:rFonts w:ascii="Arial" w:cs="Arial" w:eastAsia="Arial" w:hAnsi="Arial"/>
          <w:b/>
          <w:bCs/>
          <w:color w:val="FFFFFF"/>
          <w:sz w:val="32"/>
          <w:szCs w:val="32"/>
        </w:rPr>
        <w:t xml:space="preserve">The Mirror — Parent Guide</w:t>
      </w:r>
    </w:p>
    <w:p>
      <w:pPr>
        <w:shd w:fill="1F6F5C" w:val="clear"/>
        <w:spacing w:after="280" w:before="0"/>
        <w:ind w:left="240" w:right="240"/>
      </w:pPr>
      <w:r>
        <w:rPr>
          <w:rFonts w:ascii="Arial" w:cs="Arial" w:eastAsia="Arial" w:hAnsi="Arial"/>
          <w:color w:val="A7C9C0"/>
          <w:sz w:val="22"/>
          <w:szCs w:val="22"/>
        </w:rPr>
        <w:t xml:space="preserve">You’re an observer, not a judge. That’s everything.</w:t>
      </w:r>
    </w:p>
    <w:p>
      <w:pPr>
        <w:pBdr>
          <w:bottom w:val="single" w:color="D8EBE4" w:sz="4"/>
        </w:pBdr>
        <w:spacing w:after="140" w:before="280"/>
      </w:pPr>
      <w:r>
        <w:rPr>
          <w:rFonts w:ascii="Arial" w:cs="Arial" w:eastAsia="Arial" w:hAnsi="Arial"/>
          <w:b/>
          <w:bCs/>
          <w:color w:val="1F6F5C"/>
          <w:spacing w:val="60"/>
          <w:sz w:val="18"/>
          <w:szCs w:val="18"/>
        </w:rPr>
        <w:t xml:space="preserve">WHAT THIS IS (AND ISN’T)</w:t>
      </w:r>
    </w:p>
    <w:p>
      <w:pPr>
        <w:spacing w:after="100" w:before="0"/>
      </w:pPr>
      <w:r>
        <w:rPr>
          <w:rFonts w:ascii="Arial" w:cs="Arial" w:eastAsia="Arial" w:hAnsi="Arial"/>
          <w:color w:val="27332F"/>
          <w:sz w:val="22"/>
          <w:szCs w:val="22"/>
        </w:rPr>
        <w:t xml:space="preserve">The Mirror is a neutral surface — a space where your child notices their own interests over time, and you log your observations separately. The two views come together periodically to show what you each saw. Gaps are the gold: what you see in them that they haven’t noticed yet, or what they feel that you’ve missed.</w:t>
      </w:r>
    </w:p>
    <w:p>
      <w:pPr>
        <w:spacing w:after="240" w:before="0"/>
      </w:pPr>
      <w:r>
        <w:rPr>
          <w:rFonts w:ascii="Arial" w:cs="Arial" w:eastAsia="Arial" w:hAnsi="Arial"/>
          <w:b/>
          <w:bCs/>
          <w:color w:val="27332F"/>
          <w:sz w:val="22"/>
          <w:szCs w:val="22"/>
        </w:rPr>
        <w:t xml:space="preserve">The app never names a stream or career. </w:t>
      </w:r>
      <w:r>
        <w:rPr>
          <w:rFonts w:ascii="Arial" w:cs="Arial" w:eastAsia="Arial" w:hAnsi="Arial"/>
          <w:color w:val="27332F"/>
          <w:sz w:val="22"/>
          <w:szCs w:val="22"/>
        </w:rPr>
        <w:t xml:space="preserve">It illuminates trade-offs; the family makes the call. The moment it becomes “what the app says I should do,” it’s broken.</w:t>
      </w:r>
    </w:p>
    <w:p>
      <w:pPr>
        <w:pBdr>
          <w:bottom w:val="single" w:color="D8EBE4" w:sz="4"/>
        </w:pBdr>
        <w:spacing w:after="140" w:before="280"/>
      </w:pPr>
      <w:r>
        <w:rPr>
          <w:rFonts w:ascii="Arial" w:cs="Arial" w:eastAsia="Arial" w:hAnsi="Arial"/>
          <w:b/>
          <w:bCs/>
          <w:color w:val="1F6F5C"/>
          <w:spacing w:val="60"/>
          <w:sz w:val="18"/>
          <w:szCs w:val="18"/>
        </w:rPr>
        <w:t xml:space="preserve">YOUR PART IN IT</w:t>
      </w:r>
    </w:p>
    <w:p>
      <w:pPr>
        <w:pStyle w:val="ListParagraph"/>
        <w:numPr>
          <w:ilvl w:val="0"/>
          <w:numId w:val="2"/>
        </w:numPr>
        <w:spacing w:after="60" w:before="60"/>
      </w:pPr>
      <w:r>
        <w:rPr>
          <w:rFonts w:ascii="Arial" w:cs="Arial" w:eastAsia="Arial" w:hAnsi="Arial"/>
          <w:color w:val="27332F"/>
          <w:sz w:val="22"/>
          <w:szCs w:val="22"/>
        </w:rPr>
        <w:t xml:space="preserve">Log 2–3 short observations a week in the app — on your own device, in your own view. Your child doesn’t see these.</w:t>
      </w:r>
    </w:p>
    <w:p>
      <w:pPr>
        <w:pStyle w:val="ListParagraph"/>
        <w:numPr>
          <w:ilvl w:val="0"/>
          <w:numId w:val="2"/>
        </w:numPr>
        <w:spacing w:after="60" w:before="60"/>
      </w:pPr>
      <w:r>
        <w:rPr>
          <w:rFonts w:ascii="Arial" w:cs="Arial" w:eastAsia="Arial" w:hAnsi="Arial"/>
          <w:color w:val="27332F"/>
          <w:sz w:val="22"/>
          <w:szCs w:val="22"/>
        </w:rPr>
        <w:t xml:space="preserve">Watch, don’t quiz. You’re recording what you already see, not running experiments.</w:t>
      </w:r>
    </w:p>
    <w:p>
      <w:pPr>
        <w:pStyle w:val="ListParagraph"/>
        <w:numPr>
          <w:ilvl w:val="0"/>
          <w:numId w:val="2"/>
        </w:numPr>
        <w:spacing w:after="60" w:before="60"/>
      </w:pPr>
      <w:r>
        <w:rPr>
          <w:rFonts w:ascii="Arial" w:cs="Arial" w:eastAsia="Arial" w:hAnsi="Arial"/>
          <w:color w:val="27332F"/>
          <w:sz w:val="22"/>
          <w:szCs w:val="22"/>
        </w:rPr>
        <w:t xml:space="preserve">Your observations are most useful when they’re specific and honest — including the negative (what drained them, what they avoided).</w:t>
      </w:r>
    </w:p>
    <w:p>
      <w:pPr>
        <w:pStyle w:val="ListParagraph"/>
        <w:numPr>
          <w:ilvl w:val="0"/>
          <w:numId w:val="2"/>
        </w:numPr>
        <w:spacing w:after="240" w:before="60"/>
      </w:pPr>
      <w:r>
        <w:rPr>
          <w:rFonts w:ascii="Arial" w:cs="Arial" w:eastAsia="Arial" w:hAnsi="Arial"/>
          <w:color w:val="27332F"/>
          <w:sz w:val="22"/>
          <w:szCs w:val="22"/>
        </w:rPr>
        <w:t xml:space="preserve">The compare moment comes every 2–3 weeks. You’ll see your observations alongside your child’s portrait. The app gives you one conversation prompt — not a verdict to deliver.</w:t>
      </w:r>
    </w:p>
    <w:p>
      <w:pPr>
        <w:pBdr>
          <w:bottom w:val="single" w:color="D8EBE4" w:sz="4"/>
        </w:pBdr>
        <w:spacing w:after="140" w:before="280"/>
      </w:pPr>
      <w:r>
        <w:rPr>
          <w:rFonts w:ascii="Arial" w:cs="Arial" w:eastAsia="Arial" w:hAnsi="Arial"/>
          <w:b/>
          <w:bCs/>
          <w:color w:val="1F6F5C"/>
          <w:spacing w:val="60"/>
          <w:sz w:val="18"/>
          <w:szCs w:val="18"/>
        </w:rPr>
        <w:t xml:space="preserve">HOW TO LOG A GOOD OBSERVATION</w:t>
      </w:r>
    </w:p>
    <w:p>
      <w:pPr>
        <w:spacing w:after="100" w:before="0"/>
      </w:pPr>
      <w:r>
        <w:rPr>
          <w:rFonts w:ascii="Arial" w:cs="Arial" w:eastAsia="Arial" w:hAnsi="Arial"/>
          <w:b/>
          <w:bCs/>
          <w:color w:val="27332F"/>
          <w:sz w:val="22"/>
          <w:szCs w:val="22"/>
        </w:rPr>
        <w:t xml:space="preserve">Specific beats vague.  </w:t>
      </w:r>
      <w:r>
        <w:rPr>
          <w:rFonts w:ascii="Arial" w:cs="Arial" w:eastAsia="Arial" w:hAnsi="Arial"/>
          <w:color w:val="7B8A85"/>
          <w:sz w:val="22"/>
          <w:szCs w:val="22"/>
        </w:rPr>
        <w:t xml:space="preserve">"Spent 90 minutes fixing the neighbour's printer without being asked, wouldn't stop until it worked" is useful. "Interested in technology" is not.</w:t>
      </w:r>
    </w:p>
    <w:p>
      <w:pPr>
        <w:spacing w:after="100" w:before="0"/>
      </w:pPr>
      <w:r>
        <w:rPr>
          <w:rFonts w:ascii="Arial" w:cs="Arial" w:eastAsia="Arial" w:hAnsi="Arial"/>
          <w:b/>
          <w:bCs/>
          <w:color w:val="27332F"/>
          <w:sz w:val="22"/>
          <w:szCs w:val="22"/>
        </w:rPr>
        <w:t xml:space="preserve">Include the negative.  </w:t>
      </w:r>
      <w:r>
        <w:rPr>
          <w:rFonts w:ascii="Arial" w:cs="Arial" w:eastAsia="Arial" w:hAnsi="Arial"/>
          <w:color w:val="27332F"/>
          <w:sz w:val="22"/>
          <w:szCs w:val="22"/>
        </w:rPr>
        <w:t xml:space="preserve">What they avoid, drag their feet on, or complain about is as revealing as what they gravitate toward.</w:t>
      </w:r>
    </w:p>
    <w:p>
      <w:pPr>
        <w:spacing w:after="240" w:before="0"/>
      </w:pPr>
      <w:r>
        <w:rPr>
          <w:rFonts w:ascii="Arial" w:cs="Arial" w:eastAsia="Arial" w:hAnsi="Arial"/>
          <w:b/>
          <w:bCs/>
          <w:color w:val="27332F"/>
          <w:sz w:val="22"/>
          <w:szCs w:val="22"/>
        </w:rPr>
        <w:t xml:space="preserve">Log unprompted behaviour.  </w:t>
      </w:r>
      <w:r>
        <w:rPr>
          <w:rFonts w:ascii="Arial" w:cs="Arial" w:eastAsia="Arial" w:hAnsi="Arial"/>
          <w:color w:val="27332F"/>
          <w:sz w:val="22"/>
          <w:szCs w:val="22"/>
        </w:rPr>
        <w:t xml:space="preserve">What did they choose to do when nothing was required of them? That’s the signal.</w:t>
      </w:r>
    </w:p>
    <w:p>
      <w:pPr>
        <w:pBdr>
          <w:bottom w:val="single" w:color="D8EBE4" w:sz="4"/>
        </w:pBdr>
        <w:spacing w:after="140" w:before="280"/>
      </w:pPr>
      <w:r>
        <w:rPr>
          <w:rFonts w:ascii="Arial" w:cs="Arial" w:eastAsia="Arial" w:hAnsi="Arial"/>
          <w:b/>
          <w:bCs/>
          <w:color w:val="1F6F5C"/>
          <w:spacing w:val="60"/>
          <w:sz w:val="18"/>
          <w:szCs w:val="18"/>
        </w:rPr>
        <w:t xml:space="preserve">DO'S AND DON'TS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059669" w:val="clear"/>
            <w:tcMar>
              <w:top w:type="dxa" w:w="100"/>
              <w:left w:type="dxa" w:w="140"/>
              <w:bottom w:type="dxa" w:w="100"/>
              <w:right w:type="dxa" w:w="140"/>
            </w:tcMar>
          </w:tcPr>
          <w:p>
            <w:r>
              <w:rPr>
                <w:rFonts w:ascii="Arial" w:cs="Arial" w:eastAsia="Arial" w:hAnsi="Arial"/>
                <w:b/>
                <w:bCs/>
                <w:color w:val="FFFFFF"/>
                <w:sz w:val="22"/>
                <w:szCs w:val="22"/>
              </w:rPr>
              <w:t xml:space="preserve">DO</w:t>
            </w:r>
          </w:p>
        </w:tc>
        <w:tc>
          <w:tcPr>
            <w:tcW w:type="dxa" w:w="4500"/>
            <w:tcBorders>
              <w:top w:val="none" w:color="FFFFFF" w:sz="0"/>
              <w:left w:val="none" w:color="FFFFFF" w:sz="0"/>
              <w:bottom w:val="none" w:color="FFFFFF" w:sz="0"/>
              <w:right w:val="none" w:color="FFFFFF" w:sz="0"/>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DON'T</w:t>
            </w:r>
          </w:p>
        </w:tc>
      </w:tr>
      <w:tr>
        <w:tc>
          <w:tcPr>
            <w:tcW w:type="dxa" w:w="4500"/>
            <w:tcBorders>
              <w:top w:val="single" w:color="E5E7EB" w:sz="4"/>
              <w:left w:val="none" w:color="FFFFFF" w:sz="0"/>
              <w:bottom w:val="single" w:color="E5E7EB" w:sz="4"/>
              <w:right w:val="single" w:color="E5E7EB" w:sz="4"/>
            </w:tcBorders>
            <w:shd w:fill="F0FDF4" w:val="clear"/>
            <w:tcMar>
              <w:top w:type="dxa" w:w="100"/>
              <w:left w:type="dxa" w:w="140"/>
              <w:bottom w:type="dxa" w:w="100"/>
              <w:right w:type="dxa" w:w="140"/>
            </w:tcMar>
          </w:tcPr>
          <w:p>
            <w:r>
              <w:rPr>
                <w:rFonts w:ascii="Arial" w:cs="Arial" w:eastAsia="Arial" w:hAnsi="Arial"/>
                <w:color w:val="166534"/>
                <w:sz w:val="21"/>
                <w:szCs w:val="21"/>
              </w:rPr>
              <w:t xml:space="preserve">✓  Log what you actually see, not what you hope to see. Wishful observations pollute the picture.</w:t>
            </w:r>
          </w:p>
        </w:tc>
        <w:tc>
          <w:tcPr>
            <w:tcW w:type="dxa" w:w="4500"/>
            <w:tcBorders>
              <w:top w:val="single" w:color="E5E7EB" w:sz="4"/>
              <w:left w:val="none" w:color="FFFFFF" w:sz="0"/>
              <w:bottom w:val="single" w:color="E5E7EB" w:sz="4"/>
              <w:right w:val="single" w:color="E5E7EB" w:sz="4"/>
            </w:tcBorders>
            <w:shd w:fill="FEF2F2" w:val="clear"/>
            <w:tcMar>
              <w:top w:type="dxa" w:w="100"/>
              <w:left w:type="dxa" w:w="140"/>
              <w:bottom w:type="dxa" w:w="100"/>
              <w:right w:type="dxa" w:w="140"/>
            </w:tcMar>
          </w:tcPr>
          <w:p>
            <w:r>
              <w:rPr>
                <w:rFonts w:ascii="Arial" w:cs="Arial" w:eastAsia="Arial" w:hAnsi="Arial"/>
                <w:color w:val="991B1B"/>
                <w:sz w:val="21"/>
                <w:szCs w:val="21"/>
              </w:rPr>
              <w:t xml:space="preserve">✕  Ask your child what they wrote in their entries. Their view is private unless they choose to share it.</w:t>
            </w:r>
          </w:p>
        </w:tc>
      </w:tr>
      <w:tr>
        <w:tc>
          <w:tcPr>
            <w:tcW w:type="dxa" w:w="4500"/>
            <w:tcBorders>
              <w:top w:val="single" w:color="E5E7EB" w:sz="4"/>
              <w:left w:val="none" w:color="FFFFFF" w:sz="0"/>
              <w:bottom w:val="single" w:color="E5E7EB" w:sz="4"/>
              <w:right w:val="single" w:color="E5E7EB" w:sz="4"/>
            </w:tcBorders>
            <w:shd w:fill="F0FDF4" w:val="clear"/>
            <w:tcMar>
              <w:top w:type="dxa" w:w="100"/>
              <w:left w:type="dxa" w:w="140"/>
              <w:bottom w:type="dxa" w:w="100"/>
              <w:right w:type="dxa" w:w="140"/>
            </w:tcMar>
          </w:tcPr>
          <w:p>
            <w:r>
              <w:rPr>
                <w:rFonts w:ascii="Arial" w:cs="Arial" w:eastAsia="Arial" w:hAnsi="Arial"/>
                <w:color w:val="166534"/>
                <w:sz w:val="21"/>
                <w:szCs w:val="21"/>
              </w:rPr>
              <w:t xml:space="preserve">✓  Be specific: "spent 2 hours fixing the speaker unprompted" beats "interested in electronics."</w:t>
            </w:r>
          </w:p>
        </w:tc>
        <w:tc>
          <w:tcPr>
            <w:tcW w:type="dxa" w:w="4500"/>
            <w:tcBorders>
              <w:top w:val="single" w:color="E5E7EB" w:sz="4"/>
              <w:left w:val="none" w:color="FFFFFF" w:sz="0"/>
              <w:bottom w:val="single" w:color="E5E7EB" w:sz="4"/>
              <w:right w:val="single" w:color="E5E7EB" w:sz="4"/>
            </w:tcBorders>
            <w:shd w:fill="FEF2F2" w:val="clear"/>
            <w:tcMar>
              <w:top w:type="dxa" w:w="100"/>
              <w:left w:type="dxa" w:w="140"/>
              <w:bottom w:type="dxa" w:w="100"/>
              <w:right w:type="dxa" w:w="140"/>
            </w:tcMar>
          </w:tcPr>
          <w:p>
            <w:r>
              <w:rPr>
                <w:rFonts w:ascii="Arial" w:cs="Arial" w:eastAsia="Arial" w:hAnsi="Arial"/>
                <w:color w:val="991B1B"/>
                <w:sz w:val="21"/>
                <w:szCs w:val="21"/>
              </w:rPr>
              <w:t xml:space="preserve">✕  Use this to push a direction. The moment you have an agenda, the tool stops working.</w:t>
            </w:r>
          </w:p>
        </w:tc>
      </w:tr>
      <w:tr>
        <w:tc>
          <w:tcPr>
            <w:tcW w:type="dxa" w:w="4500"/>
            <w:tcBorders>
              <w:top w:val="single" w:color="E5E7EB" w:sz="4"/>
              <w:left w:val="none" w:color="FFFFFF" w:sz="0"/>
              <w:bottom w:val="single" w:color="E5E7EB" w:sz="4"/>
              <w:right w:val="single" w:color="E5E7EB" w:sz="4"/>
            </w:tcBorders>
            <w:shd w:fill="F0FDF4" w:val="clear"/>
            <w:tcMar>
              <w:top w:type="dxa" w:w="100"/>
              <w:left w:type="dxa" w:w="140"/>
              <w:bottom w:type="dxa" w:w="100"/>
              <w:right w:type="dxa" w:w="140"/>
            </w:tcMar>
          </w:tcPr>
          <w:p>
            <w:r>
              <w:rPr>
                <w:rFonts w:ascii="Arial" w:cs="Arial" w:eastAsia="Arial" w:hAnsi="Arial"/>
                <w:color w:val="166534"/>
                <w:sz w:val="21"/>
                <w:szCs w:val="21"/>
              </w:rPr>
              <w:t xml:space="preserve">✓  Include the negative — what drained them, what they avoided, what they complained about.</w:t>
            </w:r>
          </w:p>
        </w:tc>
        <w:tc>
          <w:tcPr>
            <w:tcW w:type="dxa" w:w="4500"/>
            <w:tcBorders>
              <w:top w:val="single" w:color="E5E7EB" w:sz="4"/>
              <w:left w:val="none" w:color="FFFFFF" w:sz="0"/>
              <w:bottom w:val="single" w:color="E5E7EB" w:sz="4"/>
              <w:right w:val="single" w:color="E5E7EB" w:sz="4"/>
            </w:tcBorders>
            <w:shd w:fill="FEF2F2" w:val="clear"/>
            <w:tcMar>
              <w:top w:type="dxa" w:w="100"/>
              <w:left w:type="dxa" w:w="140"/>
              <w:bottom w:type="dxa" w:w="100"/>
              <w:right w:type="dxa" w:w="140"/>
            </w:tcMar>
          </w:tcPr>
          <w:p>
            <w:r>
              <w:rPr>
                <w:rFonts w:ascii="Arial" w:cs="Arial" w:eastAsia="Arial" w:hAnsi="Arial"/>
                <w:color w:val="991B1B"/>
                <w:sz w:val="21"/>
                <w:szCs w:val="21"/>
              </w:rPr>
              <w:t xml:space="preserve">✕  Expect results in week one. Durability takes time to show. The picture builds over months.</w:t>
            </w:r>
          </w:p>
        </w:tc>
      </w:tr>
      <w:tr>
        <w:tc>
          <w:tcPr>
            <w:tcW w:type="dxa" w:w="4500"/>
            <w:tcBorders>
              <w:top w:val="single" w:color="E5E7EB" w:sz="4"/>
              <w:left w:val="none" w:color="FFFFFF" w:sz="0"/>
              <w:bottom w:val="single" w:color="E5E7EB" w:sz="4"/>
              <w:right w:val="single" w:color="E5E7EB" w:sz="4"/>
            </w:tcBorders>
            <w:shd w:fill="F0FDF4" w:val="clear"/>
            <w:tcMar>
              <w:top w:type="dxa" w:w="100"/>
              <w:left w:type="dxa" w:w="140"/>
              <w:bottom w:type="dxa" w:w="100"/>
              <w:right w:type="dxa" w:w="140"/>
            </w:tcMar>
          </w:tcPr>
          <w:p>
            <w:r>
              <w:rPr>
                <w:rFonts w:ascii="Arial" w:cs="Arial" w:eastAsia="Arial" w:hAnsi="Arial"/>
                <w:color w:val="166534"/>
                <w:sz w:val="21"/>
                <w:szCs w:val="21"/>
              </w:rPr>
              <w:t xml:space="preserve">✓  Let the compare moment open a conversation, not close one. It’s a starting point, not a report card.</w:t>
            </w:r>
          </w:p>
        </w:tc>
        <w:tc>
          <w:tcPr>
            <w:tcW w:type="dxa" w:w="4500"/>
            <w:tcBorders>
              <w:top w:val="single" w:color="E5E7EB" w:sz="4"/>
              <w:left w:val="none" w:color="FFFFFF" w:sz="0"/>
              <w:bottom w:val="single" w:color="E5E7EB" w:sz="4"/>
              <w:right w:val="single" w:color="E5E7EB" w:sz="4"/>
            </w:tcBorders>
            <w:shd w:fill="FEF2F2" w:val="clear"/>
            <w:tcMar>
              <w:top w:type="dxa" w:w="100"/>
              <w:left w:type="dxa" w:w="140"/>
              <w:bottom w:type="dxa" w:w="100"/>
              <w:right w:type="dxa" w:w="140"/>
            </w:tcMar>
          </w:tcPr>
          <w:p>
            <w:r>
              <w:rPr>
                <w:rFonts w:ascii="Arial" w:cs="Arial" w:eastAsia="Arial" w:hAnsi="Arial"/>
                <w:color w:val="991B1B"/>
                <w:sz w:val="21"/>
                <w:szCs w:val="21"/>
              </w:rPr>
              <w:t xml:space="preserve">✕  Interpret the portrait as a verdict. It’s evidence for a conversation, not a recommendation.</w:t>
            </w:r>
          </w:p>
        </w:tc>
      </w:tr>
      <w:tr>
        <w:tc>
          <w:tcPr>
            <w:tcW w:type="dxa" w:w="4500"/>
            <w:tcBorders>
              <w:top w:val="single" w:color="E5E7EB" w:sz="4"/>
              <w:left w:val="none" w:color="FFFFFF" w:sz="0"/>
              <w:bottom w:val="single" w:color="E5E7EB" w:sz="4"/>
              <w:right w:val="single" w:color="E5E7EB" w:sz="4"/>
            </w:tcBorders>
            <w:shd w:fill="F0FDF4" w:val="clear"/>
            <w:tcMar>
              <w:top w:type="dxa" w:w="100"/>
              <w:left w:type="dxa" w:w="140"/>
              <w:bottom w:type="dxa" w:w="100"/>
              <w:right w:type="dxa" w:w="140"/>
            </w:tcMar>
          </w:tcPr>
          <w:p>
            <w:r>
              <w:rPr>
                <w:rFonts w:ascii="Arial" w:cs="Arial" w:eastAsia="Arial" w:hAnsi="Arial"/>
                <w:color w:val="166534"/>
                <w:sz w:val="21"/>
                <w:szCs w:val="21"/>
              </w:rPr>
              <w:t xml:space="preserve">✓  Trust the slow build. An interest that survives boredom and friction is worth far more than one that flared for a week.</w:t>
            </w:r>
          </w:p>
        </w:tc>
        <w:tc>
          <w:tcPr>
            <w:tcW w:type="dxa" w:w="4500"/>
            <w:tcBorders>
              <w:top w:val="single" w:color="E5E7EB" w:sz="4"/>
              <w:left w:val="none" w:color="FFFFFF" w:sz="0"/>
              <w:bottom w:val="single" w:color="E5E7EB" w:sz="4"/>
              <w:right w:val="single" w:color="E5E7EB" w:sz="4"/>
            </w:tcBorders>
            <w:shd w:fill="FEF2F2" w:val="clear"/>
            <w:tcMar>
              <w:top w:type="dxa" w:w="100"/>
              <w:left w:type="dxa" w:w="140"/>
              <w:bottom w:type="dxa" w:w="100"/>
              <w:right w:type="dxa" w:w="140"/>
            </w:tcMar>
          </w:tcPr>
          <w:p>
            <w:r>
              <w:rPr>
                <w:rFonts w:ascii="Arial" w:cs="Arial" w:eastAsia="Arial" w:hAnsi="Arial"/>
                <w:color w:val="991B1B"/>
                <w:sz w:val="21"/>
                <w:szCs w:val="21"/>
              </w:rPr>
              <w:t xml:space="preserve">✕  Share your child’s entries or portrait with others without their explicit agreement.</w:t>
            </w:r>
          </w:p>
        </w:tc>
      </w:tr>
    </w:tbl>
    <w:p>
      <w:pPr>
        <w:spacing w:after="0" w:before="200"/>
      </w:pPr>
    </w:p>
    <w:p>
      <w:pPr>
        <w:pBdr>
          <w:bottom w:val="single" w:color="D8EBE4" w:sz="4"/>
        </w:pBdr>
        <w:spacing w:after="140" w:before="280"/>
      </w:pPr>
      <w:r>
        <w:rPr>
          <w:rFonts w:ascii="Arial" w:cs="Arial" w:eastAsia="Arial" w:hAnsi="Arial"/>
          <w:b/>
          <w:bCs/>
          <w:color w:val="1F6F5C"/>
          <w:spacing w:val="60"/>
          <w:sz w:val="18"/>
          <w:szCs w:val="18"/>
        </w:rPr>
        <w:t xml:space="preserve">THE COMPARE MOMENT</w:t>
      </w:r>
    </w:p>
    <w:p>
      <w:pPr>
        <w:spacing w:after="100" w:before="0"/>
      </w:pPr>
      <w:r>
        <w:rPr>
          <w:rFonts w:ascii="Arial" w:cs="Arial" w:eastAsia="Arial" w:hAnsi="Arial"/>
          <w:color w:val="27332F"/>
          <w:sz w:val="22"/>
          <w:szCs w:val="22"/>
        </w:rPr>
        <w:t xml:space="preserve">Every 2–3 weeks, you’ll see your observations alongside your child’s self-portrait side by side. Matches affirm. Gaps are where the real work is:</w:t>
      </w:r>
    </w:p>
    <w:p>
      <w:pPr>
        <w:spacing w:after="100" w:before="0"/>
      </w:pPr>
      <w:r>
        <w:rPr>
          <w:rFonts w:ascii="Arial" w:cs="Arial" w:eastAsia="Arial" w:hAnsi="Arial"/>
          <w:b/>
          <w:bCs/>
          <w:color w:val="1F6F5C"/>
          <w:sz w:val="22"/>
          <w:szCs w:val="22"/>
        </w:rPr>
        <w:t xml:space="preserve">You see it, they don’t: </w:t>
      </w:r>
      <w:r>
        <w:rPr>
          <w:rFonts w:ascii="Arial" w:cs="Arial" w:eastAsia="Arial" w:hAnsi="Arial"/>
          <w:color w:val="27332F"/>
          <w:sz w:val="22"/>
          <w:szCs w:val="22"/>
        </w:rPr>
        <w:t xml:space="preserve">a hidden pull you’ve observed that they haven’t recognised in themselves yet. Deliver it as a gift, not a correction.</w:t>
      </w:r>
    </w:p>
    <w:p>
      <w:pPr>
        <w:spacing w:after="240" w:before="0"/>
      </w:pPr>
      <w:r>
        <w:rPr>
          <w:rFonts w:ascii="Arial" w:cs="Arial" w:eastAsia="Arial" w:hAnsi="Arial"/>
          <w:b/>
          <w:bCs/>
          <w:color w:val="1F6F5C"/>
          <w:sz w:val="22"/>
          <w:szCs w:val="22"/>
        </w:rPr>
        <w:t xml:space="preserve">They feel it, you missed it: </w:t>
      </w:r>
      <w:r>
        <w:rPr>
          <w:rFonts w:ascii="Arial" w:cs="Arial" w:eastAsia="Arial" w:hAnsi="Arial"/>
          <w:color w:val="27332F"/>
          <w:sz w:val="22"/>
          <w:szCs w:val="22"/>
        </w:rPr>
        <w:t xml:space="preserve">something that pulls them that hasn’t shown up in what you’ve observed. That’s a prompt to look more closely.</w:t>
      </w:r>
    </w:p>
    <w:p>
      <w:pPr>
        <w:pBdr>
          <w:bottom w:val="single" w:color="D8EBE4" w:sz="4"/>
        </w:pBdr>
        <w:spacing w:after="140" w:before="280"/>
      </w:pPr>
      <w:r>
        <w:rPr>
          <w:rFonts w:ascii="Arial" w:cs="Arial" w:eastAsia="Arial" w:hAnsi="Arial"/>
          <w:b/>
          <w:bCs/>
          <w:color w:val="1F6F5C"/>
          <w:spacing w:val="60"/>
          <w:sz w:val="18"/>
          <w:szCs w:val="18"/>
        </w:rPr>
        <w:t xml:space="preserve">THE GOLDEN RULE</w:t>
      </w:r>
    </w:p>
    <w:p>
      <w:pPr>
        <w:pBdr>
          <w:left w:val="single" w:color="1F6F5C" w:sz="14" w:space="14"/>
        </w:pBdr>
        <w:spacing w:after="0" w:before="0"/>
        <w:ind w:left="200" w:right="200"/>
      </w:pPr>
      <w:r>
        <w:rPr>
          <w:rFonts w:ascii="Arial" w:cs="Arial" w:eastAsia="Arial" w:hAnsi="Arial"/>
          <w:b/>
          <w:bCs/>
          <w:color w:val="1F6F5C"/>
          <w:sz w:val="24"/>
          <w:szCs w:val="24"/>
        </w:rPr>
        <w:t xml:space="preserve">The Mirror is a neutral third surface between you and your child. It works by depersonalising the most loaded conversation a parent and teenager have. The moment it becomes "Dad’s opinion" or "what the app says," it’s broken. Your job is to stay curious alongside your child — not to steer.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rPr>
        <w:rFonts w:ascii="Arial" w:cs="Arial" w:eastAsia="Arial" w:hAnsi="Arial"/>
        <w:color w:val="1F6F5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733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2026-06-05T12:25:22.519Z</dcterms:created>
  <dcterms:modified xsi:type="dcterms:W3CDTF">2026-06-05T12:25:22.519Z</dcterms:modified>
</cp:coreProperties>
</file>

<file path=docProps/custom.xml><?xml version="1.0" encoding="utf-8"?>
<Properties xmlns="http://schemas.openxmlformats.org/officeDocument/2006/custom-properties" xmlns:vt="http://schemas.openxmlformats.org/officeDocument/2006/docPropsVTypes"/>
</file>