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branch's principal contribution is verification robustness rather than closed-set ranking. Finally, we move beyond qualitative saliency: using quantitative faithfulness metrics (Fidelity+/−, sparsity, cross-method agreement) alongside Grad-CAM and graph topological attention, we characterise how the models attend to dermatoglyphic structure.</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\text{rel\_scale} \right]</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CLAHE-enhanced muzzle image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-\frac{1}{B} \sum_{i=1}^B \log \frac{e^{s \cdot \cos(θ_{y_i} + m)}}{e^{s \cdot \cos(θ_{y_i} + m)} + \sum_{j \neq y_i} e^{s \cdot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\in \mathbb{R}^{C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\in \mathbb{R}^{C}.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g_{ij}=\sigma(\text{MLP}([x_i, x_j, a_{ij}])) \in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(reduced training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**93.91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**96.65 ± 0.45**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**3.21 ± 0.22**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**0.9940 ± 0.0017**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89.49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93.31 ± 0.52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4.10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0.9911 ± 0.0027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 ± 0.0089</w:t>
            </w:r>
          </w:p>
        </w:tc>
      </w:tr>
    </w:tbl>
    <w:p/>
    <w:p>
      <w:pPr>
        <w:spacing w:after="120"/>
      </w:pPr>
      <w:r>
        <w:t xml:space="preserve">The cross-validation runs use a </w:t>
      </w:r>
      <w:r>
        <w:rPr>
          <w:b/>
          <w:bCs/>
        </w:rPr>
        <w:t xml:space="preserve">reduced training budget</w:t>
      </w:r>
      <w:r>
        <w:t xml:space="preserve"> (CNN 10 epochs, ProtoN 12, Hybrid 12) to keep the five-fold sweep tractable, whereas the single-split models in Table 1 are trained to convergence (100–200 epochs). The CNN and ProtoN, which converge quickly, remain close to their full-budget accuracy and exhibit low fold variance (±0.31 and ±0.71), confirming stable generalisation. The Hybrid CNN-GNN's two-phase schedule (cached backbone features → end-to-end fine-tuning) does </w:t>
      </w:r>
      <w:r>
        <w:rPr>
          <w:b/>
          <w:bCs/>
        </w:rPr>
        <w:t xml:space="preserve">not</w:t>
      </w:r>
      <w:r>
        <w:t xml:space="preserve"> converge within 12 epochs, which is why its cross-validation Rank-1 (68.9%) falls far below its converged single-split value (92.0%); the large fold variance (±2.04) reflects under-training, not instability of the architecture. We flag full-budget five-fold cross-validation of the Hybrid model as the primary remaining experiment before camera-ready, and we do not draw generalisation claims for the Hybrid from Table 2 in its current (reduced-budget) form. McNemar tests on the single-split predictions confirm the CNN's advantage over the pure GNNs is significant (p &lt; 10^{-8}).</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Because the degradation is a *score-calibration* problem rather than a feature problem, it is largely recoverable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This recovery is statistically significant: a probe-level bootstrap on set B gives a mean EER reduction of 4.0 points with a 95% confidence interval of [3.2, 4.7] (excludes zero).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Explainability: A Causal Faithfulness Protocol</w:t>
      </w:r>
    </w:p>
    <w:p>
      <w:pPr>
        <w:spacing w:after="120"/>
      </w:pPr>
      <w:r>
        <w:t xml:space="preserve">We move beyond visualisation-only explainability (Grad-CAM + attention heatmaps) to a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Qualitatively,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(faithfulness).</w:t>
      </w:r>
      <w:r>
        <w:t xml:space="preserve"> Qualitative maps are not evidence of causality. We therefore remove the top-ranked evidence and measure the effect on the model's predicted-class probability (computed with the true ArcFace logit scale), reporting </w:t>
      </w:r>
      <w:r>
        <w:rPr>
          <w:b/>
          <w:bCs/>
        </w:rPr>
        <w:t xml:space="preserve">Fidelity+</w:t>
      </w:r>
      <w:r>
        <w:t xml:space="preserve"> (drop when the *most important* nodes are removed; higher is better), </w:t>
      </w:r>
      <w:r>
        <w:rPr>
          <w:b/>
          <w:bCs/>
        </w:rPr>
        <w:t xml:space="preserve">Fidelity−</w:t>
      </w:r>
      <w:r>
        <w:t xml:space="preserve"> (drop when *only* the important nodes are kept; lower is better), and </w:t>
      </w:r>
      <w:r>
        <w:rPr>
          <w:b/>
          <w:bCs/>
        </w:rPr>
        <w:t xml:space="preserve">sparsity</w:t>
      </w:r>
      <w:r>
        <w:t xml:space="preserve"> (</w:t>
      </w:r>
      <w:r>
        <w:rPr>
          <w:rFonts w:ascii="Consolas" w:cs="Consolas" w:eastAsia="Consolas" w:hAnsi="Consolas"/>
        </w:rPr>
        <w:t xml:space="preserve">scripts/evaluate_explainability.py</w:t>
      </w:r>
      <w:r>
        <w:t xml:space="preserve">, </w:t>
      </w:r>
      <w:r>
        <w:rPr>
          <w:rFonts w:ascii="Consolas" w:cs="Consolas" w:eastAsia="Consolas" w:hAnsi="Consolas"/>
        </w:rPr>
        <w:t xml:space="preserve">src/evaluation/faithfulness.py</w:t>
      </w:r>
      <w:r>
        <w:t xml:space="preserve">).</w:t>
      </w:r>
    </w:p>
    <w:p>
      <w:pPr>
        <w:spacing w:after="120"/>
      </w:pPr>
      <w:r>
        <w:rPr>
          <w:b/>
          <w:bCs/>
        </w:rPr>
        <w:t xml:space="preserve">Table 5: Quantitative explanation faithfulness (GNN branch)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Explainer</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Fidelity+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Fidelity−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Sparsity</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Attention rollout</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Graph Grad-CAM</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0.493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0.69</w:t>
            </w:r>
          </w:p>
        </w:tc>
      </w:tr>
    </w:tbl>
    <w:p/>
    <w:p>
      <w:pPr>
        <w:spacing w:after="40" w:before="60"/>
        <w:jc w:val="center"/>
      </w:pPr>
      <w:r>
        <w:drawing>
          <wp:inline distT="0" distB="0" distL="0" distR="0">
            <wp:extent cx="3810000" cy="2447925"/>
            <wp:effectExtent t="0" r="0" b="0" l="0"/>
            <wp:docPr id="1" name="fig4" descr="Quantitative explanation faithfulness (Fidelity+/-) for two GNN explainer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447925"/>
                    </a:xfrm>
                    <a:prstGeom prst="rect">
                      <a:avLst/>
                    </a:prstGeom>
                  </pic:spPr>
                </pic:pic>
              </a:graphicData>
            </a:graphic>
          </wp:inline>
        </w:drawing>
      </w:r>
    </w:p>
    <w:p>
      <w:pPr>
        <w:spacing w:after="160"/>
        <w:jc w:val="center"/>
      </w:pPr>
      <w:r>
        <w:rPr>
          <w:i/>
          <w:iCs/>
          <w:color w:val="444444"/>
          <w:sz w:val="18"/>
          <w:szCs w:val="18"/>
        </w:rPr>
        <w:t xml:space="preserve">Figure 4. Quantitative explanation faithfulness (Fidelity+/-) for two GNN explainers.</w:t>
      </w:r>
    </w:p>
    <w:p>
      <w:pPr>
        <w:spacing w:after="120"/>
      </w:pPr>
      <w:r>
        <w:t xml:space="preserve">Two findings are notable and honestly reported. First, removing the top-ranked nodes causes only a modest probability drop (low Fidelity+) while keeping *only* those nodes causes a large drop (high Fidelity−) — the GNN's identity decision is </w:t>
      </w:r>
      <w:r>
        <w:rPr>
          <w:b/>
          <w:bCs/>
        </w:rPr>
        <w:t xml:space="preserve">distributed across many keypoints</w:t>
      </w:r>
      <w:r>
        <w:t xml:space="preserve"> rather than concentrated in a few, consistent with dermatoglyphic identity being a global textural signature (and with the low standalone Rank-1 of pure-GNN variants). Second, attention-based and gradient-based importances show </w:t>
      </w:r>
      <w:r>
        <w:rPr>
          <w:b/>
          <w:bCs/>
        </w:rPr>
        <w:t xml:space="preserve">near-zero rank agreement</w:t>
      </w:r>
      <w:r>
        <w:t xml:space="preserve"> (mean Spearman ≈ 0), a known property of GNN explainers that cautions against over-interpreting any single per-keypoint saliency map. These measurements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We complement qualitative saliency with </w:t>
      </w:r>
      <w:r>
        <w:rPr>
          <w:b/>
          <w:bCs/>
        </w:rPr>
        <w:t xml:space="preserve">quantitative faithfulness metrics</w:t>
      </w:r>
      <w:r>
        <w:t xml:space="preserve">, finding that the GNN distributes its identity decision across many keypoints.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The Hybrid model's cross-validation numbers (Table 2) use a reduced training budget and under-report its converged performance; full-budget CV is pending. (ii) We evaluate open-set identification (Section 3.3) under a model trained closed-set on all identities; the strict unseen-identity variant (retraining with unknown identities held out) is the natural next step, supported by our harness. (iii) Cross-dataset transfer (Section 3.4) uses a muzzle detector to crop the two external sets; the detector missed roughly a third of images on the larger set, so those transfer numbers are a conservative lower bound on the achievable performance with a stronger detector. (iv) The two GNN explainers we compare show low mutual rank agreement, so per-keypoint importance should be interpreted as indicative rather than definitive.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20c096cd69b1d0efac0a8dcbe17076e803199c.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2925d772827e074aa12b596ac720c45c8c873fe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2026-07-09T04:48:22.396Z</dcterms:created>
  <dcterms:modified xsi:type="dcterms:W3CDTF">2026-07-09T04:48:22.396Z</dcterms:modified>
</cp:coreProperties>
</file>

<file path=docProps/custom.xml><?xml version="1.0" encoding="utf-8"?>
<Properties xmlns="http://schemas.openxmlformats.org/officeDocument/2006/custom-properties" xmlns:vt="http://schemas.openxmlformats.org/officeDocument/2006/docPropsVTypes"/>
</file>