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w:t>
      </w:r>
      <w:r>
        <w:rPr>
          <w:b/>
          <w:bCs/>
        </w:rPr>
        <w:t xml:space="preserve">branch</w:t>
      </w:r>
      <w:r>
        <w:t xml:space="preserve">'s principal contribution is verification rather than closed-set ranking. A pathway-intervention study then sharpens *why*, and yields an instructive negative result: randomising the graph edges, zeroing the geometric edge attributes, or shuffling keypoint positions each changes Rank-1 by ≤0.5 points, whereas zeroing the keypoint-sampled node features collapses it from 92.0% to 0.1% — the gain is attributable to keypoint-sampled CNN features and feature-space message passing, not to the explicit geometric topology we supply. Through a controlled corruption study we further show that a *single validation-tuned* fusion weight is the robust choice — inheriting the graph branch's clean-data verification gain while collapsing gracefully to the CNN under severe degradation — whereas per-sample quality-adaptive gating does not improve on it. Finally, we move beyond qualitative saliency with a *causal* explainability protocol (node-ablation faithfulness and a Hybrid pathway intervention), showing the GNN distributes its identity decision across many keypoints and that the Hybrid's in-domain signal is carried by CNN texture rather than the input graph geometry.</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spacing w:after="120"/>
      </w:pPr>
      <w:r>
        <w:rPr>
          <w:b/>
          <w:bCs/>
        </w:rPr>
        <w:t xml:space="preserve">Scope of the audit: image-level, not session-level.</w:t>
      </w:r>
      <w:r>
        <w:t xml:space="preserve"> The audit verifies that no *source image* appears in more than one split, but it cannot rule out *acquisition-level* similarity: images of the same animal from the same session, burst, or camera setup — or near-duplicate frames — may still be distributed across splits, which would make the closed-set task easier than a deployment scenario separating enrolment and query in time. The public release provides no session, capture-date, or camera metadata, so a session-disjoint split cannot be constructed from the available annotations. We therefore treat the in-domain numbers as an upper bound with respect to acquisition-level correlation, and note that the zero-shot cross-dataset evaluation (§3.4), where enrolment and query come from entirely different collections, is free of this concern.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{rel_scale} ]</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muzzle image (enhanced with Contrast-Limited Adaptive Histogram Equalization, CLAHE)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-{1}{B} _i=1^B  {e^s  cos(θ_y_i + m)}{e^s  cos(θ_y_i + m) + _j  y_i e^s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g_ij=({MLP}([x_i, x_j, a_ij]))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(all models trained to convergence)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**97.26 ± 0.36**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**97.98 ± 0.25**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 ± 0.08**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**1.0000**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95.52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97.40 ± 0.27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0.49 ± 0.16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0.9998</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94.95 ± 0.37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96.34 ± 0.40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0.70 ± 0.11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reduced budget (12 ep.)*</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w:t>
            </w:r>
          </w:p>
        </w:tc>
      </w:tr>
    </w:tbl>
    <w:p/>
    <w:p>
      <w:pPr>
        <w:spacing w:after="120"/>
      </w:pPr>
      <w:r>
        <w:t xml:space="preserve">Our earlier cross-validation used a reduced budget for all three models to keep the sweep tractable, and the Hybrid's two-phase schedule (cached backbone features → end-to-end fine-tuning) did not converge within it: the Hybrid scored only 68.88 ± 2.04%, with a fold variance that invited the reading that the architecture is unstable. We have since re-run </w:t>
      </w:r>
      <w:r>
        <w:rPr>
          <w:b/>
          <w:bCs/>
        </w:rPr>
        <w:t xml:space="preserve">all three models at full budget</w:t>
      </w:r>
      <w:r>
        <w:t xml:space="preserve"> on every fold (CNN 150 epochs, ProtoN 200, Hybrid 150 cached + 30 end-to-end; ≈13 h, 2.3 h and 6.8 h of GPU time respectively on one RTX 5070), so Table 2 is now internally comparable.</w:t>
      </w:r>
    </w:p>
    <w:p>
      <w:pPr>
        <w:spacing w:after="120"/>
      </w:pPr>
      <w:r>
        <w:t xml:space="preserve">The budget, not the architecture, was the whole story. The Hybrid rises from 68.88 ± 2.04% to </w:t>
      </w:r>
      <w:r>
        <w:rPr>
          <w:b/>
          <w:bCs/>
        </w:rPr>
        <w:t xml:space="preserve">95.52 ± 0.31%</w:t>
      </w:r>
      <w:r>
        <w:t xml:space="preserve"> (EER 11.31% → </w:t>
      </w:r>
      <w:r>
        <w:rPr>
          <w:b/>
          <w:bCs/>
        </w:rPr>
        <w:t xml:space="preserve">0.49%</w:t>
      </w:r>
      <w:r>
        <w:t xml:space="preserve">), its fold variance collapsing by a factor of six; ProtoN rises from 89.49 ± 0.71% to </w:t>
      </w:r>
      <w:r>
        <w:rPr>
          <w:b/>
          <w:bCs/>
        </w:rPr>
        <w:t xml:space="preserve">94.95 ± 0.37%</w:t>
      </w:r>
      <w:r>
        <w:t xml:space="preserve">, and the CNN from 93.91 ± 0.31% to </w:t>
      </w:r>
      <w:r>
        <w:rPr>
          <w:b/>
          <w:bCs/>
        </w:rPr>
        <w:t xml:space="preserve">97.26 ± 0.36%</w:t>
      </w:r>
      <w:r>
        <w:t xml:space="preserve">. All three are now stable across folds (±0.31–0.37). Reassuringly, the ordering under this uniform budget reproduces the single-split ordering of Table 1 — CNN (97.26%) &gt; Hybrid (95.52%) &gt; ProtoN (94.95%) — independently confirming this paper's central claim that the CNN, not the graph branch, dominates closed-set ranking.</w:t>
      </w:r>
    </w:p>
    <w:p>
      <w:pPr>
        <w:spacing w:after="120"/>
      </w:pPr>
      <w:r>
        <w:rPr>
          <w:b/>
          <w:bCs/>
        </w:rPr>
        <w:t xml:space="preserve">Why the cross-validated values exceed their single-split counterparts.</w:t>
      </w:r>
      <w:r>
        <w:t xml:space="preserve"> Every full-budget CV number is higher than the corresponding single-split test result (CNN 97.26% vs 95.4%; Hybrid 95.52% vs 92.0%; ProtoN 94.95% vs 91.6%), and we state the reasons rather than leave the discrepancy implicit. First, each fold trains on 80% of the data versus 70% for the single split — roughly 14% more training images. Second, and more importantly, the two protocols select their final model differently: each CV fold trains for a fixed schedule and evaluates the *final* model, whereas the single-split models are best-validation-Rank-1 checkpoints, chosen on a small validation partition that averages only 2.4 images per identity and counts single-image identities as forced misses (§2.1). Neither protocol touches test data for model selection, so both sets of numbers are honest; they simply answer different questions. We therefore keep Table 1 as the headline and read Table 2 as evidence of *stability across folds*. Exact McNemar tests on *per-probe* single-split predictions (</w:t>
      </w:r>
      <w:r>
        <w:rPr>
          <w:rFonts w:ascii="Consolas" w:cs="Consolas" w:eastAsia="Consolas" w:hAnsi="Consolas"/>
        </w:rPr>
        <w:t xml:space="preserve">scripts/compute_real_mcnemar.py</w:t>
      </w:r>
      <w:r>
        <w:t xml:space="preserve">) confirm the CNN's advantage over both graph models is significant: CNN vs. Hybrid n10=43, n01=13, p=7.3×10⁻⁵; CNN vs. ProtoN n10=53, n01=19, p=7.6×10⁻⁵. The Hybrid and ProtoN are, however, *statistically indistinguishable* (n10=38, n01=34, p=0.72), so their ordering in Table 1 should not be read as a real difference.</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A substantial component of the degradation appears to arise from *score mis-calibration* under domain shift rather than from feature collapse alone — we do not claim the absence of feature-level shift, only that a large part of the verification loss is recoverable without touching the features. Concretely, it is largely recovered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This recovery is statistically significant: a probe-level bootstrap on set B gives a mean EER reduction of 4.0 points with a 95% confidence interval of [3.2, 4.7] (excludes zero).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Robustness under Corruption: Is Adaptive Fusion Worth It?</w:t>
      </w:r>
    </w:p>
    <w:p>
      <w:pPr>
        <w:spacing w:after="120"/>
      </w:pPr>
      <w:r>
        <w:t xml:space="preserve">Section 3.1 shows a single validation-selected fusion weight cuts in-domain EER 3.5×. A natural follow-up — and a common recommendation in multi-biometric fusion — is to make the fusion weight *input-adaptive*, trusting the CNN more when the image is degraded and the graph branch more when it is clean. We test this directly. Following the score-fusion formulation s_final(x) = α(x)s_CNN + (1-α(x))s_Hybrid, we compare six policies for α: (1) CNN only, (2) Hybrid only, (3) fixed α=0.5, (4) a single </w:t>
      </w:r>
      <w:r>
        <w:rPr>
          <w:b/>
          <w:bCs/>
        </w:rPr>
        <w:t xml:space="preserve">validation-tuned</w:t>
      </w:r>
      <w:r>
        <w:t xml:space="preserve"> scalar α, (5) a </w:t>
      </w:r>
      <w:r>
        <w:rPr>
          <w:b/>
          <w:bCs/>
        </w:rPr>
        <w:t xml:space="preserve">rule-based</w:t>
      </w:r>
      <w:r>
        <w:t xml:space="preserve"> per-sample α from image blur, and (6) a </w:t>
      </w:r>
      <w:r>
        <w:rPr>
          <w:b/>
          <w:bCs/>
        </w:rPr>
        <w:t xml:space="preserve">learned</w:t>
      </w:r>
      <w:r>
        <w:t xml:space="preserve"> per-sample gate (logistic regression on image- and graph-quality features, trained only on validation disagreement cases). Every gate is fit *only* on the validation split. We evaluate on clean test data and on three corruptions — Gaussian blur, brightness/haze, and spatter (occlusion) — at severities 1, 3, 5, applying the corruption to the *image* so the Hybrid's CNN backbone also degrades (not a clean-graph oracle). Per-sample scores are symmetrised so all policies are compared on identical verification pairs. This is a *self-contained* study under its own corruption harness (no test-time augmentation, symmetrised scoring), so its clean-column numbers are not identical to the headline ensemble of Table 1 (which uses CNN TTA); the val-tuned scalar here reaches EER 1.17% vs. the TTA ensemble's 0.78%. The comparison of interest is *within* this table, across policies under matched conditions.</w:t>
      </w:r>
    </w:p>
    <w:p>
      <w:pPr>
        <w:spacing w:after="120"/>
      </w:pPr>
      <w:r>
        <w:rPr>
          <w:b/>
          <w:bCs/>
        </w:rPr>
        <w:t xml:space="preserve">Table 5: Corruption robustness of fusion policies</w:t>
      </w:r>
      <w:r>
        <w:t xml:space="preserve"> (clean and "corr" = mean over nine corrupted conditions: blur/brightness/spatter × severity 1/3/5)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Fusion policy</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clean</w:t>
            </w:r>
          </w:p>
        </w:tc>
        <w:tc>
          <w:tcPr>
            <w:tcW w:type="dxa" w:w="1338"/>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corr</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96.2</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77.5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79.0</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Fixed α=0.5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1.78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97.8</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**Val-tuned scalar α**</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**90.1**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**3.49**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**98.7**</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rule (α from blur)</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74.2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learned gate</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6.66</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13.23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49.9</w:t>
            </w:r>
          </w:p>
        </w:tc>
      </w:tr>
    </w:tbl>
    <w:p/>
    <w:p>
      <w:pPr>
        <w:spacing w:after="40" w:before="60"/>
        <w:jc w:val="center"/>
      </w:pPr>
      <w:r>
        <w:drawing>
          <wp:inline distT="0" distB="0" distL="0" distR="0">
            <wp:extent cx="5334000" cy="1733550"/>
            <wp:effectExtent t="0" r="0" b="0" l="0"/>
            <wp:docPr id="1" name="fig4" descr="Rank-1 vs corruption severity: the validation-tuned fusion (yellow) tracks or exceeds the CNN across all corruptions, while the Hybrid and per-sample quality-aware gate collapse under spa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33550"/>
                    </a:xfrm>
                    <a:prstGeom prst="rect">
                      <a:avLst/>
                    </a:prstGeom>
                  </pic:spPr>
                </pic:pic>
              </a:graphicData>
            </a:graphic>
          </wp:inline>
        </w:drawing>
      </w:r>
    </w:p>
    <w:p>
      <w:pPr>
        <w:spacing w:after="160"/>
        <w:jc w:val="center"/>
      </w:pPr>
      <w:r>
        <w:rPr>
          <w:i/>
          <w:iCs/>
          <w:color w:val="444444"/>
          <w:sz w:val="18"/>
          <w:szCs w:val="18"/>
        </w:rPr>
        <w:t xml:space="preserve">Figure 4. Rank-1 vs corruption severity: the validation-tuned fusion (yellow) tracks or exceeds the CNN across all corruptions, while the Hybrid and per-sample quality-aware gate collapse under spatter.</w:t>
      </w:r>
    </w:p>
    <w:p>
      <w:pPr>
        <w:spacing w:after="120"/>
      </w:pPr>
      <w:r>
        <w:t xml:space="preserve">The answer is clear, and partly negative. The </w:t>
      </w:r>
      <w:r>
        <w:rPr>
          <w:b/>
          <w:bCs/>
        </w:rPr>
        <w:t xml:space="preserve">validation-tuned scalar α is best on every aggregate metric</w:t>
      </w:r>
      <w:r>
        <w:t xml:space="preserve"> (including TAR@FAR=1%: 98.7% clean, 89.3% mean-corrupt): it matches the CNN's Rank-1 while more than halving clean EER (2.81→1.17) and reducing mean-corrupt EER (4.43→3.49). It does so by learning α=0.95 on clean/mild data (blending in just 5% of the graph branch to sharpen verification) and α→1.0 under severe spatter, where it gracefully abandons the fragile Hybrid and reduces exactly to the robust CNN (never worse). The fixed 50/50 blend, by contrast, is dragged down with the Hybrid under occlusion (Rank-1 33.7% at spatter-5 vs. the CNN's 65.2%). </w:t>
      </w:r>
      <w:r>
        <w:rPr>
          <w:b/>
          <w:bCs/>
        </w:rPr>
        <w:t xml:space="preserve">Crucially, neither per-sample quality-adaptive policy improves on the single scalar</w:t>
      </w:r>
      <w:r>
        <w:t xml:space="preserve"> — the learned gate is in fact the *worst* for verification (clean EER 6.66%, TAR@1% 80.3%). Per-sample gating adds estimation variance without a corresponding payoff, because one branch (the CNN) dominates almost everywhere. This mirrors our cross-domain finding (§3.4) that robust improvements come from *global* score calibration, not fine-grained per-input adaptation.</w:t>
      </w:r>
    </w:p>
    <w:p>
      <w:pPr>
        <w:spacing w:after="120"/>
      </w:pPr>
      <w:r>
        <w:rPr>
          <w:b/>
          <w:bCs/>
        </w:rPr>
        <w:t xml:space="preserve">Fusion ablations.</w:t>
      </w:r>
      <w:r>
        <w:t xml:space="preserve"> Two ablations from the plan sharpen the picture (clean test). *(i) Which complement?* Replacing the Hybrid with the pure-graph ProtoN in the val-tuned fusion yields the *lowest* verification error of any configuration (EER 0.67%, TAR@1% 99.4% at α=0.85) but at a Rank-1 cost (93.6% vs. the CNN+Hybrid blend's 96.0%), because the EER-optimal weight leans harder on the graph branch; CNN+Hybrid remains the better *ranking* fusion. *(ii) Which gate features?* Ablating the learned gate's feature groups shows the *image-quality* features are what harm it: dropping them nearly halves the gate's EER (6.66→2.95%), while dropping graph-quality or branch-disagreement features barely moves it — the gate over-fits noisy per-image quality on the small validation disagreement set. Even its best-ablated variant (EER 2.95%) still loses to the trivial val-tuned scalar (EER 1.17%), so the negative result is robust to gate design.</w:t>
      </w:r>
    </w:p>
    <w:p>
      <w:pPr>
        <w:pStyle w:val="Heading2"/>
      </w:pPr>
      <w:r>
        <w:t xml:space="preserve">3.6 Explainability: A Causal Faithfulness Protocol</w:t>
      </w:r>
    </w:p>
    <w:p>
      <w:pPr>
        <w:spacing w:after="120"/>
      </w:pPr>
      <w:r>
        <w:t xml:space="preserve">We move beyond visualisation-only explainability (Grad-CAM + attention heatmaps) to a three-stage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We assemble a stratified case set spanning correct matches, false accepts, false rejects, and the two branch-disagreement classes, and render side-by-side CNN-vs-GNN explanations per case. One case type is instructive by its rarity: only a *single* false-reject exists in the entire 964-image test set (a genuine mate below the EER threshold), a symptom of how well-separated the in-domain score distribution is.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of both branches.</w:t>
      </w:r>
      <w:r>
        <w:t xml:space="preserve"> Qualitative maps are not evidence of causality. We ablate the highest-importance evidence and compare against random/low-importance removal; a faithful map implies </w:t>
      </w:r>
      <w:r>
        <w:rPr>
          <w:b/>
          <w:bCs/>
        </w:rPr>
        <w:t xml:space="preserve">top ≫ random</w:t>
      </w:r>
      <w:r>
        <w:t xml:space="preserve">. For the </w:t>
      </w:r>
      <w:r>
        <w:rPr>
          <w:b/>
          <w:bCs/>
        </w:rPr>
        <w:t xml:space="preserve">GNN branch</w:t>
      </w:r>
      <w:r>
        <w:t xml:space="preserve"> (120 test graphs) we rank nodes by graph Grad-CAM importance and remove the top/random/bottom-*k*% for *k*∈{10,20,30}, measuring the identity-embedding shift (Δcos, with 95% bootstrap CIs) and top-1 flip rate. The signal is clean and *statistically significant*: top removal perturbs the embedding ~2–2.5× more than random, and the top-vs-random Δcos CIs are **non-overlapping at every *k*** (*k*=30: top [0.090, 0.124] vs. random [0.035, 0.053]). For the </w:t>
      </w:r>
      <w:r>
        <w:rPr>
          <w:b/>
          <w:bCs/>
        </w:rPr>
        <w:t xml:space="preserve">CNN branch</w:t>
      </w:r>
      <w:r>
        <w:t xml:space="preserve"> (full 964-image test set) we mask top/random/bottom-*k*% of 32×32 Grad-CAM regions: masking important regions causes the largest Rank-1 drop and flips at every *k* (top-30% −5.0 Rank-1 vs. random −2.3; flip 12.3% vs. 5.3%), again with non-overlapping Δcos CIs.</w:t>
      </w:r>
    </w:p>
    <w:p>
      <w:pPr>
        <w:spacing w:after="120"/>
      </w:pPr>
      <w:r>
        <w:rPr>
          <w:b/>
          <w:bCs/>
        </w:rPr>
        <w:t xml:space="preserve">Table 6: Causal ablation — GNN branch (120 graphs, 95% bootstrap CI on Δcos)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Removed nodes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 (95% CI)</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**0.029** [0.022, 0.037]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0.013 [0.010, 0.016]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**0.065** [0.053, 0.078]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0.028 [0.022, 0.036]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**0.106** [0.090, 0.124]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0.043 [0.035, 0.053]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bl>
    <w:p/>
    <w:p>
      <w:pPr>
        <w:spacing w:after="40" w:before="60"/>
        <w:jc w:val="center"/>
      </w:pPr>
      <w:r>
        <w:drawing>
          <wp:inline distT="0" distB="0" distL="0" distR="0">
            <wp:extent cx="3429000" cy="5772150"/>
            <wp:effectExtent t="0" r="0" b="0" l="0"/>
            <wp:docPr id="1" name="fig5" descr="Stage 1 attribution across case types (one representative per row): muzzle image, CNN Grad-CAM, and GNN per-keypoint importan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5772150"/>
                    </a:xfrm>
                    <a:prstGeom prst="rect">
                      <a:avLst/>
                    </a:prstGeom>
                  </pic:spPr>
                </pic:pic>
              </a:graphicData>
            </a:graphic>
          </wp:inline>
        </w:drawing>
      </w:r>
    </w:p>
    <w:p>
      <w:pPr>
        <w:spacing w:after="160"/>
        <w:jc w:val="center"/>
      </w:pPr>
      <w:r>
        <w:rPr>
          <w:i/>
          <w:iCs/>
          <w:color w:val="444444"/>
          <w:sz w:val="18"/>
          <w:szCs w:val="18"/>
        </w:rPr>
        <w:t xml:space="preserve">Figure 5. Stage 1 attribution across case types (one representative per row): muzzle image, CNN Grad-CAM, and GNN per-keypoint importance.</w:t>
      </w:r>
    </w:p>
    <w:p>
      <w:pPr>
        <w:spacing w:after="120"/>
      </w:pPr>
      <w:r>
        <w:rPr>
          <w:b/>
          <w:bCs/>
        </w:rPr>
        <w:t xml:space="preserve">Table 7: Causal ablation — CNN branch (full 964-image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Masked regions</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drop</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 / random 10%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**0.0012** / 0.0007</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 / 1.5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 / −0.1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 / random 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**0.0027** / 0.0018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 / 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**−2.9** / −1.6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 / random 30%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**0.0041** / 0.0028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 / 5.3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 / −2.3</w:t>
            </w:r>
          </w:p>
        </w:tc>
      </w:tr>
    </w:tbl>
    <w:p/>
    <w:p>
      <w:pPr>
        <w:spacing w:after="120"/>
      </w:pPr>
      <w:r>
        <w:t xml:space="preserve">Both branches' attributions are causally faithful. One asymmetry is telling: sparse GNN node removal barely moves closed-set Rank-1 (identity is *distributed* across many keypoints — a global textural signature), whereas masking CNN regions produces a real, graded Rank-1 drop.</w:t>
      </w:r>
    </w:p>
    <w:p>
      <w:pPr>
        <w:spacing w:after="120"/>
      </w:pPr>
      <w:r>
        <w:rPr>
          <w:b/>
          <w:bCs/>
        </w:rPr>
        <w:t xml:space="preserve">Stage 3 — Hybrid pathway intervention.</w:t>
      </w:r>
      <w:r>
        <w:t xml:space="preserve"> We ask *which pathway* the Hybrid relies on by perturbing its graph input at test time and re-scoring the full test set. The result is stark: zeroing the per-keypoint node features collapses Rank-1 from 92.0% to 0.1% (EER 1.88%→50.2%, chance), whereas destroying the graph topology (random edges), zeroing edge attributes, or permuting keypoint positions each moves Rank-1 by ≤0.5 points. </w:t>
      </w:r>
      <w:r>
        <w:rPr>
          <w:b/>
          <w:bCs/>
        </w:rPr>
        <w:t xml:space="preserve">The same pattern holds under corruption</w:t>
      </w:r>
      <w:r>
        <w:t xml:space="preserve"> (spatter-severity-3): zeroing node features still collapses Rank-1 56.8%→0.1% while geometry perturbations move it ≤0.7 points.</w:t>
      </w:r>
    </w:p>
    <w:p>
      <w:pPr>
        <w:spacing w:after="120"/>
      </w:pPr>
      <w:r>
        <w:rPr>
          <w:b/>
          <w:bCs/>
        </w:rPr>
        <w:t xml:space="preserve">Table 8: Hybrid pathway intervention (full test set,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Intervention</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ΔRank-1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Full Hybrid (unperturbed)</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edge attributes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Shuffle keypoint positions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1.84</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Randomise graph edges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node features**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r>
    </w:tbl>
    <w:p/>
    <w:p>
      <w:pPr>
        <w:spacing w:after="120"/>
      </w:pPr>
      <w:r>
        <w:t xml:space="preserve">This is not an accident of the architecture but a direct consequence of it: the Dynamic EdgeConv rebuilds its neighbourhood graph in *learned feature space* at every layer (so the static geometric edge set is overridden), the default configuration does not consume edge attributes, and permutation-invariant mean+max pooling makes the embedding invariant to keypoint reindexing. On both clean and corrupted data the Hybrid's identity signal is carried by CNN texture and feature-space message passing — not by the input muzzle *geometry*. </w:t>
      </w:r>
      <w:r>
        <w:rPr>
          <w:b/>
          <w:bCs/>
        </w:rPr>
        <w:t xml:space="preserve">What fusion rescues:</w:t>
      </w:r>
      <w:r>
        <w:t xml:space="preserve"> tallying the val-tuned CNN+Hybrid blend against the CNN alone, fusion rescues 17 probes the CNN gets wrong while harming 9 it gets right (net +8, matching the +0.9-point Rank-1 gain), and recovers 12 of the 13 (92%) Hybrid-correct/CNN-wrong probes. The graph branch's contribution is concrete but small and targeted — a verification-sharpening complement, not a competitive ranker. Together, the three stages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and by a controlled corruption study showing a single validation-tuned fusion weight is the robust choice (per-sample quality-adaptive gating does not improve on it). We complement qualitative saliency with a </w:t>
      </w:r>
      <w:r>
        <w:rPr>
          <w:b/>
          <w:bCs/>
        </w:rPr>
        <w:t xml:space="preserve">causal explainability protocol</w:t>
      </w:r>
      <w:r>
        <w:t xml:space="preserve"> (node-ablation faithfulness and Hybrid pathway intervention), finding that the GNN distributes its identity decision across many keypoints and that, on clean in-domain data, the Hybrid's signal is carried by CNN texture rather than the input graph geometry.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We evaluate open-set identification (Section 3.3) under a model trained closed-set on all identities; the strict unseen-identity variant (retraining with unknown identities held out) is the natural next step, supported by our harness. (ii) Cross-dataset transfer (Section 3.4) uses a muzzle detector to crop the two external sets; the detector missed roughly a third of images on the larger set, so those transfer numbers are a conservative lower bound. (iii) The corruption study (Section 3.5) perturbs the image while keypoint coordinates are taken from the clean graph, a small optimistic bias under occlusion. We quantify this rather than leave it open: recomputing DISK keypoints from the corrupted images changes Rank-1 by +0.9 points under blur-5 and −2.7 points under spatter-5, so the bias is real but small and confined to the occlusion condition. (iv) The two GNN explainers we compare show low mutual rank agreement, so per-keypoint importance should be interpreted as indicative rather than definitive. (v) The primary split is image-level: the dataset ships no session, capture-date, or camera metadata, so we cannot construct a session-disjoint split and cannot exclude acquisition-level similarity (same session/burst/camera) across splits. In-domain numbers should therefore be read as an upper bound relative to a session-disjoint protocol; the zero-shot cross-dataset results (Section 3.4) are unaffected by this and provide the stronger generalisation evidence.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27ca9f712cf6961bc90b530ce3e53512cccef1.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375b2118b22b58ddd3691e7013c8a77e9d1abcbb.png"/><Relationship Id="rId11" Type="http://schemas.openxmlformats.org/officeDocument/2006/relationships/image" Target="media/ea6a4deb1440ee96c1df2374b5e0025798c22a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2026-08-19T04:16:19.860Z</dcterms:created>
  <dcterms:modified xsi:type="dcterms:W3CDTF">2026-08-19T04:16:19.861Z</dcterms:modified>
</cp:coreProperties>
</file>

<file path=docProps/custom.xml><?xml version="1.0" encoding="utf-8"?>
<Properties xmlns="http://schemas.openxmlformats.org/officeDocument/2006/custom-properties" xmlns:vt="http://schemas.openxmlformats.org/officeDocument/2006/docPropsVTypes"/>
</file>