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branch's principal contribution is verification robustness rather than closed-set ranking. Through a controlled corruption study we further show that a *single validation-tuned* fusion weight is the robust choice — inheriting the graph branch's clean-data verification gain while collapsing gracefully to the CNN under severe degradation — whereas per-sample quality-adaptive gating does not improve on it. Finally, we move beyond qualitative saliency with a *causal* explainability protocol (node-ablation faithfulness and a Hybrid pathway intervention), showing the GNN distributes its identity decision across many keypoints and that the Hybrid's in-domain signal is carried by CNN texture rather than the input graph geometry.</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{rel_scale} ]</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CLAHE-enhanced muzzle image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-{1}{B} _i=1^B  {e^s  cos(θ_y_i + m)}{e^s  cos(θ_y_i + m) + _j  y_i e^s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g_ij=({MLP}([x_i, x_j, a_ij]))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(reduced training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**93.91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**96.65 ± 0.45**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**3.21 ± 0.22**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**0.9940 ± 0.0017**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89.49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93.31 ± 0.52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4.10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0.9911 ± 0.0027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 ± 0.0089</w:t>
            </w:r>
          </w:p>
        </w:tc>
      </w:tr>
    </w:tbl>
    <w:p/>
    <w:p>
      <w:pPr>
        <w:spacing w:after="120"/>
      </w:pPr>
      <w:r>
        <w:t xml:space="preserve">The cross-validation runs use a </w:t>
      </w:r>
      <w:r>
        <w:rPr>
          <w:b/>
          <w:bCs/>
        </w:rPr>
        <w:t xml:space="preserve">reduced training budget</w:t>
      </w:r>
      <w:r>
        <w:t xml:space="preserve"> (CNN 10 epochs, ProtoN 12, Hybrid 12) to keep the five-fold sweep tractable, whereas the single-split models in Table 1 are trained to convergence (100–200 epochs). The CNN and ProtoN, which converge quickly, remain close to their full-budget accuracy and exhibit low fold variance (±0.31 and ±0.71), confirming stable generalisation. The Hybrid CNN-GNN's two-phase schedule (cached backbone features → end-to-end fine-tuning) does </w:t>
      </w:r>
      <w:r>
        <w:rPr>
          <w:b/>
          <w:bCs/>
        </w:rPr>
        <w:t xml:space="preserve">not</w:t>
      </w:r>
      <w:r>
        <w:t xml:space="preserve"> converge within 12 epochs, which is why its cross-validation Rank-1 (68.9%) falls far below its converged single-split value (92.0%); the large fold variance (±2.04) reflects under-training, not instability of the architecture. We flag full-budget five-fold cross-validation of the Hybrid model as the primary remaining experiment before camera-ready, and we do not draw generalisation claims for the Hybrid from Table 2 in its current (reduced-budget) form. McNemar tests on the single-split predictions confirm the CNN's advantage over the pure GNNs is significant (p &lt; 10^-8).</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Because the degradation is a *score-calibration* problem rather than a feature problem, it is largely recoverable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This recovery is statistically significant: a probe-level bootstrap on set B gives a mean EER reduction of 4.0 points with a 95% confidence interval of [3.2, 4.7] (excludes zero).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Robustness under Corruption: Is Adaptive Fusion Worth It?</w:t>
      </w:r>
    </w:p>
    <w:p>
      <w:pPr>
        <w:spacing w:after="120"/>
      </w:pPr>
      <w:r>
        <w:t xml:space="preserve">Section 3.1 shows a single validation-selected fusion weight cuts in-domain EER 3.5×. A natural follow-up — and a common recommendation in multi-biometric fusion — is to make the fusion weight *input-adaptive*, trusting the CNN more when the image is degraded and the graph branch more when it is clean. We test this directly. Following the score-fusion formulation s_final(x) = α(x)s_CNN + (1-α(x))s_Hybrid, we compare six policies for α: (1) CNN only, (2) Hybrid only, (3) fixed α=0.5, (4) a single </w:t>
      </w:r>
      <w:r>
        <w:rPr>
          <w:b/>
          <w:bCs/>
        </w:rPr>
        <w:t xml:space="preserve">validation-tuned</w:t>
      </w:r>
      <w:r>
        <w:t xml:space="preserve"> scalar α, (5) a </w:t>
      </w:r>
      <w:r>
        <w:rPr>
          <w:b/>
          <w:bCs/>
        </w:rPr>
        <w:t xml:space="preserve">rule-based</w:t>
      </w:r>
      <w:r>
        <w:t xml:space="preserve"> per-sample α from image blur, and (6) a </w:t>
      </w:r>
      <w:r>
        <w:rPr>
          <w:b/>
          <w:bCs/>
        </w:rPr>
        <w:t xml:space="preserve">learned</w:t>
      </w:r>
      <w:r>
        <w:t xml:space="preserve"> per-sample gate (logistic regression on image- and graph-quality features, trained only on validation disagreement cases). Every gate is fit *only* on the validation split. We evaluate on clean test data and on three corruptions — Gaussian blur, brightness/haze, and spatter (occlusion) — at severities 1, 3, 5, applying the corruption to the *image* so the Hybrid's CNN backbone also degrades (not a clean-graph oracle). Per-sample scores are symmetrised so all policies are compared on identical verification pairs. This is a *self-contained* study under its own corruption harness (no test-time augmentation, symmetrised scoring), so its clean-column numbers are not identical to the headline ensemble of Table 1 (which uses CNN TTA); the val-tuned scalar here reaches EER 1.17% vs. the TTA ensemble's 0.78%. The comparison of interest is *within* this table, across policies under matched conditions.</w:t>
      </w:r>
    </w:p>
    <w:p>
      <w:pPr>
        <w:spacing w:after="120"/>
      </w:pPr>
      <w:r>
        <w:rPr>
          <w:b/>
          <w:bCs/>
        </w:rPr>
        <w:t xml:space="preserve">Table 5: Corruption robustness of fusion policies</w:t>
      </w:r>
      <w:r>
        <w:t xml:space="preserve"> (clean and "corr" = mean over nine corrupted conditions: blur/brightness/spatter × severity 1/3/5)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Fusion policy</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R1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clean</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corr</w:t>
            </w:r>
          </w:p>
        </w:tc>
        <w:tc>
          <w:tcPr>
            <w:tcW w:type="dxa" w:w="1337"/>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clean</w:t>
            </w:r>
          </w:p>
        </w:tc>
        <w:tc>
          <w:tcPr>
            <w:tcW w:type="dxa" w:w="1338"/>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TAR@1% corr</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96.2</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only</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77.5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79.0</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Fixed α=0.5</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1.78</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97.8</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**Val-tuned scalar α**</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**96.0**</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**90.1**</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**3.49**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**98.7**</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**89.3**</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rule (α from blur)</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8.69</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74.2</w:t>
            </w:r>
          </w:p>
        </w:tc>
      </w:tr>
      <w:tr>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Per-sample learned gate</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91.4</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76.7</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6.66</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13.23</w:t>
            </w:r>
          </w:p>
        </w:tc>
        <w:tc>
          <w:tcPr>
            <w:tcW w:type="dxa" w:w="1337"/>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80.3</w:t>
            </w:r>
          </w:p>
        </w:tc>
        <w:tc>
          <w:tcPr>
            <w:tcW w:type="dxa" w:w="1338"/>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49.9</w:t>
            </w:r>
          </w:p>
        </w:tc>
      </w:tr>
    </w:tbl>
    <w:p/>
    <w:p>
      <w:pPr>
        <w:spacing w:after="40" w:before="60"/>
        <w:jc w:val="center"/>
      </w:pPr>
      <w:r>
        <w:drawing>
          <wp:inline distT="0" distB="0" distL="0" distR="0">
            <wp:extent cx="5334000" cy="1733550"/>
            <wp:effectExtent t="0" r="0" b="0" l="0"/>
            <wp:docPr id="1" name="fig4" descr="Rank-1 vs corruption severity: the validation-tuned fusion (yellow) tracks or exceeds the CNN across all corruptions, while the Hybrid and per-sample quality-aware gate collapse under spatter."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33550"/>
                    </a:xfrm>
                    <a:prstGeom prst="rect">
                      <a:avLst/>
                    </a:prstGeom>
                  </pic:spPr>
                </pic:pic>
              </a:graphicData>
            </a:graphic>
          </wp:inline>
        </w:drawing>
      </w:r>
    </w:p>
    <w:p>
      <w:pPr>
        <w:spacing w:after="160"/>
        <w:jc w:val="center"/>
      </w:pPr>
      <w:r>
        <w:rPr>
          <w:i/>
          <w:iCs/>
          <w:color w:val="444444"/>
          <w:sz w:val="18"/>
          <w:szCs w:val="18"/>
        </w:rPr>
        <w:t xml:space="preserve">Figure 4. Rank-1 vs corruption severity: the validation-tuned fusion (yellow) tracks or exceeds the CNN across all corruptions, while the Hybrid and per-sample quality-aware gate collapse under spatter.</w:t>
      </w:r>
    </w:p>
    <w:p>
      <w:pPr>
        <w:spacing w:after="120"/>
      </w:pPr>
      <w:r>
        <w:t xml:space="preserve">The answer is clear, and partly negative. The </w:t>
      </w:r>
      <w:r>
        <w:rPr>
          <w:b/>
          <w:bCs/>
        </w:rPr>
        <w:t xml:space="preserve">validation-tuned scalar α is best on every aggregate metric</w:t>
      </w:r>
      <w:r>
        <w:t xml:space="preserve"> (including TAR@FAR=1%: 98.7% clean, 89.3% mean-corrupt): it matches the CNN's Rank-1 while more than halving clean EER (2.81→1.17) and reducing mean-corrupt EER (4.43→3.49). It does so by learning α=0.95 on clean/mild data (blending in just 5% of the graph branch to sharpen verification) and α→1.0 under severe spatter, where it gracefully abandons the fragile Hybrid and reduces exactly to the robust CNN (never worse). The fixed 50/50 blend, by contrast, is dragged down with the Hybrid under occlusion (Rank-1 33.7% at spatter-5 vs. the CNN's 65.2%). </w:t>
      </w:r>
      <w:r>
        <w:rPr>
          <w:b/>
          <w:bCs/>
        </w:rPr>
        <w:t xml:space="preserve">Crucially, neither per-sample quality-adaptive policy improves on the single scalar</w:t>
      </w:r>
      <w:r>
        <w:t xml:space="preserve"> — the learned gate is in fact the *worst* for verification (clean EER 6.66%, TAR@1% 80.3%). Per-sample gating adds estimation variance without a corresponding payoff, because one branch (the CNN) dominates almost everywhere. This mirrors our cross-domain finding (§3.4) that robust improvements come from *global* score calibration, not fine-grained per-input adaptation.</w:t>
      </w:r>
    </w:p>
    <w:p>
      <w:pPr>
        <w:spacing w:after="120"/>
      </w:pPr>
      <w:r>
        <w:rPr>
          <w:b/>
          <w:bCs/>
        </w:rPr>
        <w:t xml:space="preserve">Fusion ablations.</w:t>
      </w:r>
      <w:r>
        <w:t xml:space="preserve"> Two ablations from the plan sharpen the picture (clean test). *(i) Which complement?* Replacing the Hybrid with the pure-graph ProtoN in the val-tuned fusion yields the *lowest* verification error of any configuration (EER 0.67%, TAR@1% 99.4% at α=0.85) but at a Rank-1 cost (93.6% vs. the CNN+Hybrid blend's 96.0%), because the EER-optimal weight leans harder on the graph branch; CNN+Hybrid remains the better *ranking* fusion. *(ii) Which gate features?* Ablating the learned gate's feature groups shows the *image-quality* features are what harm it: dropping them nearly halves the gate's EER (6.66→2.95%), while dropping graph-quality or branch-disagreement features barely moves it — the gate over-fits noisy per-image quality on the small validation disagreement set. Even its best-ablated variant (EER 2.95%) still loses to the trivial val-tuned scalar (EER 1.17%), so the negative result is robust to gate design.</w:t>
      </w:r>
    </w:p>
    <w:p>
      <w:pPr>
        <w:pStyle w:val="Heading2"/>
      </w:pPr>
      <w:r>
        <w:t xml:space="preserve">3.6 Explainability: A Causal Faithfulness Protocol</w:t>
      </w:r>
    </w:p>
    <w:p>
      <w:pPr>
        <w:spacing w:after="120"/>
      </w:pPr>
      <w:r>
        <w:t xml:space="preserve">We move beyond visualisation-only explainability (Grad-CAM + attention heatmaps) to a three-stage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We assemble a stratified case set spanning correct matches, false accepts, false rejects, and the two branch-disagreement classes, and render side-by-side CNN-vs-GNN explanations per case. One case type is instructive by its rarity: only a *single* false-reject exists in the entire 964-image test set (a genuine mate below the EER threshold), a symptom of how well-separated the in-domain score distribution is.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of both branches.</w:t>
      </w:r>
      <w:r>
        <w:t xml:space="preserve"> Qualitative maps are not evidence of causality. We ablate the highest-importance evidence and compare against random/low-importance removal; a faithful map implies </w:t>
      </w:r>
      <w:r>
        <w:rPr>
          <w:b/>
          <w:bCs/>
        </w:rPr>
        <w:t xml:space="preserve">top ≫ random</w:t>
      </w:r>
      <w:r>
        <w:t xml:space="preserve">. For the </w:t>
      </w:r>
      <w:r>
        <w:rPr>
          <w:b/>
          <w:bCs/>
        </w:rPr>
        <w:t xml:space="preserve">GNN branch</w:t>
      </w:r>
      <w:r>
        <w:t xml:space="preserve"> (120 test graphs) we rank nodes by graph Grad-CAM importance and remove the top/random/bottom-*k*% for *k*∈{10,20,30}, measuring the identity-embedding shift (Δcos, with 95% bootstrap CIs) and top-1 flip rate. The signal is clean and *statistically significant*: top removal perturbs the embedding ~2–2.5× more than random, and the top-vs-random Δcos CIs are **non-overlapping at every *k*** (*k*=30: top [0.090, 0.124] vs. random [0.035, 0.053]). For the </w:t>
      </w:r>
      <w:r>
        <w:rPr>
          <w:b/>
          <w:bCs/>
        </w:rPr>
        <w:t xml:space="preserve">CNN branch</w:t>
      </w:r>
      <w:r>
        <w:t xml:space="preserve"> (full 964-image test set) we mask top/random/bottom-*k*% of 32×32 Grad-CAM regions: masking important regions causes the largest Rank-1 drop and flips at every *k* (top-30% −5.0 Rank-1 vs. random −2.3; flip 12.3% vs. 5.3%), again with non-overlapping Δcos CIs.</w:t>
      </w:r>
    </w:p>
    <w:p>
      <w:pPr>
        <w:spacing w:after="120"/>
      </w:pPr>
      <w:r>
        <w:rPr>
          <w:b/>
          <w:bCs/>
        </w:rPr>
        <w:t xml:space="preserve">Table 6: Causal ablation — GNN branch (120 graphs, 95% bootstrap CI on Δcos)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Removed nodes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 (95% CI)</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**0.029** [0.022, 0.037]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10%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0.013 [0.010, 0.016]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**0.065** [0.053, 0.078]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**23.3**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20%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0.028 [0.022, 0.036]</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**0.106** [0.090, 0.124]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28.3</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 30%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0.043 [0.035, 0.053]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18.3</w:t>
            </w:r>
          </w:p>
        </w:tc>
      </w:tr>
    </w:tbl>
    <w:p/>
    <w:p>
      <w:pPr>
        <w:spacing w:after="40" w:before="60"/>
        <w:jc w:val="center"/>
      </w:pPr>
      <w:r>
        <w:drawing>
          <wp:inline distT="0" distB="0" distL="0" distR="0">
            <wp:extent cx="3429000" cy="5772150"/>
            <wp:effectExtent t="0" r="0" b="0" l="0"/>
            <wp:docPr id="1" name="fig5" descr="Stage 1 attribution across case types (one representative per row): muzzle image, CNN Grad-CAM, and GNN per-keypoint importanc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5772150"/>
                    </a:xfrm>
                    <a:prstGeom prst="rect">
                      <a:avLst/>
                    </a:prstGeom>
                  </pic:spPr>
                </pic:pic>
              </a:graphicData>
            </a:graphic>
          </wp:inline>
        </w:drawing>
      </w:r>
    </w:p>
    <w:p>
      <w:pPr>
        <w:spacing w:after="160"/>
        <w:jc w:val="center"/>
      </w:pPr>
      <w:r>
        <w:rPr>
          <w:i/>
          <w:iCs/>
          <w:color w:val="444444"/>
          <w:sz w:val="18"/>
          <w:szCs w:val="18"/>
        </w:rPr>
        <w:t xml:space="preserve">Figure 5. Stage 1 attribution across case types (one representative per row): muzzle image, CNN Grad-CAM, and GNN per-keypoint importance.</w:t>
      </w:r>
    </w:p>
    <w:p>
      <w:pPr>
        <w:spacing w:after="120"/>
      </w:pPr>
      <w:r>
        <w:rPr>
          <w:b/>
          <w:bCs/>
        </w:rPr>
        <w:t xml:space="preserve">Table 7: Causal ablation — CNN branch (full 964-image test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Masked regions</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Δcos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top-1 flip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drop</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10% / random 10%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**0.0012** / 0.0007</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**2.8** / 1.5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 / −0.1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20% / random 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**0.0027** / 0.0018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**6.7** / 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**−2.9** / −1.6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top 30% / random 30%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**0.0041** / 0.0028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 / 5.3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 / −2.3</w:t>
            </w:r>
          </w:p>
        </w:tc>
      </w:tr>
    </w:tbl>
    <w:p/>
    <w:p>
      <w:pPr>
        <w:spacing w:after="120"/>
      </w:pPr>
      <w:r>
        <w:t xml:space="preserve">Both branches' attributions are causally faithful. One asymmetry is telling: sparse GNN node removal barely moves closed-set Rank-1 (identity is *distributed* across many keypoints — a global textural signature), whereas masking CNN regions produces a real, graded Rank-1 drop.</w:t>
      </w:r>
    </w:p>
    <w:p>
      <w:pPr>
        <w:spacing w:after="120"/>
      </w:pPr>
      <w:r>
        <w:rPr>
          <w:b/>
          <w:bCs/>
        </w:rPr>
        <w:t xml:space="preserve">Stage 3 — Hybrid pathway intervention.</w:t>
      </w:r>
      <w:r>
        <w:t xml:space="preserve"> We ask *which pathway* the Hybrid relies on by perturbing its graph input at test time and re-scoring the full test set. The result is stark: zeroing the per-keypoint node features collapses Rank-1 from 92.0% to 0.1% (EER 1.88%→50.2%, chance), whereas destroying the graph topology (random edges), zeroing edge attributes, or permuting keypoint positions each moves Rank-1 by ≤0.5 points. </w:t>
      </w:r>
      <w:r>
        <w:rPr>
          <w:b/>
          <w:bCs/>
        </w:rPr>
        <w:t xml:space="preserve">The same pattern holds under corruption</w:t>
      </w:r>
      <w:r>
        <w:t xml:space="preserve"> (spatter-severity-3): zeroing node features still collapses Rank-1 56.8%→0.1% while geometry perturbations move it ≤0.7 points.</w:t>
      </w:r>
    </w:p>
    <w:p>
      <w:pPr>
        <w:spacing w:after="120"/>
      </w:pPr>
      <w:r>
        <w:rPr>
          <w:b/>
          <w:bCs/>
        </w:rPr>
        <w:t xml:space="preserve">Table 8: Hybrid pathway intervention (full test set, clean)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Intervention</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ΔRank-1</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Full Hybrid (unperturbed)</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edge attributes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Shuffle keypoint positions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1.84</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Randomise graph edges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−0.2</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**Zero node features**</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**50.2**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**−91.9**</w:t>
            </w:r>
          </w:p>
        </w:tc>
      </w:tr>
    </w:tbl>
    <w:p/>
    <w:p>
      <w:pPr>
        <w:spacing w:after="120"/>
      </w:pPr>
      <w:r>
        <w:t xml:space="preserve">This is not an accident of the architecture but a direct consequence of it: the Dynamic EdgeConv rebuilds its neighbourhood graph in *learned feature space* at every layer (so the static geometric edge set is overridden), the default configuration does not consume edge attributes, and permutation-invariant mean+max pooling makes the embedding invariant to keypoint reindexing. On both clean and corrupted data the Hybrid's identity signal is carried by CNN texture and feature-space message passing — not by the input muzzle *geometry*. </w:t>
      </w:r>
      <w:r>
        <w:rPr>
          <w:b/>
          <w:bCs/>
        </w:rPr>
        <w:t xml:space="preserve">What fusion rescues:</w:t>
      </w:r>
      <w:r>
        <w:t xml:space="preserve"> tallying the val-tuned CNN+Hybrid blend against the CNN alone, fusion rescues 17 probes the CNN gets wrong while harming 9 it gets right (net +8, matching the +0.9-point Rank-1 gain), and recovers 12 of the 13 (92%) Hybrid-correct/CNN-wrong probes. The graph branch's contribution is concrete but small and targeted — a verification-sharpening complement, not a competitive ranker. Together, the three stages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and by a controlled corruption study showing a single validation-tuned fusion weight is the robust choice (per-sample quality-adaptive gating does not improve on it). We complement qualitative saliency with a </w:t>
      </w:r>
      <w:r>
        <w:rPr>
          <w:b/>
          <w:bCs/>
        </w:rPr>
        <w:t xml:space="preserve">causal explainability protocol</w:t>
      </w:r>
      <w:r>
        <w:t xml:space="preserve"> (node-ablation faithfulness and Hybrid pathway intervention), finding that the GNN distributes its identity decision across many keypoints and that, on clean in-domain data, the Hybrid's signal is carried by CNN texture rather than the input graph geometry.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The Hybrid model's cross-validation numbers (Table 2) use a reduced training budget and under-report its converged performance; full-budget CV is pending. (ii) We evaluate open-set identification (Section 3.3) under a model trained closed-set on all identities; the strict unseen-identity variant (retraining with unknown identities held out) is the natural next step, supported by our harness. (iii) Cross-dataset transfer (Section 3.4) uses a muzzle detector to crop the two external sets; the detector missed roughly a third of images on the larger set, so those transfer numbers are a conservative lower bound on the achievable performance with a stronger detector. (iv) The corruption study (Section 3.5) perturbs the image while keypoint coordinates are taken from the clean graph, a small documented optimistic bias under occlusion. (v) The two GNN explainers we compare show low mutual rank agreement, so per-keypoint importance should be interpreted as indicative rather than definitive.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20c096cd69b1d0efac0a8dcbe17076e803199c.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375b2118b22b58ddd3691e7013c8a77e9d1abcbb.png"/><Relationship Id="rId11" Type="http://schemas.openxmlformats.org/officeDocument/2006/relationships/image" Target="media/ea6a4deb1440ee96c1df2374b5e0025798c22a4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2026-07-16T06:59:08.833Z</dcterms:created>
  <dcterms:modified xsi:type="dcterms:W3CDTF">2026-07-16T06:59:08.833Z</dcterms:modified>
</cp:coreProperties>
</file>

<file path=docProps/custom.xml><?xml version="1.0" encoding="utf-8"?>
<Properties xmlns="http://schemas.openxmlformats.org/officeDocument/2006/custom-properties" xmlns:vt="http://schemas.openxmlformats.org/officeDocument/2006/docPropsVTypes"/>
</file>