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6"/>
          <w:szCs w:val="36"/>
        </w:rPr>
        <w:t xml:space="preserve">EXECUTIVE SUMMARY</w:t>
      </w:r>
    </w:p>
    <w:p>
      <w:pPr>
        <w:spacing w:after="240"/>
      </w:pPr>
      <w:r>
        <w:rPr>
          <w:i/>
          <w:iCs/>
          <w:color w:val="444444"/>
          <w:sz w:val="22"/>
          <w:szCs w:val="22"/>
        </w:rPr>
        <w:t xml:space="preserve">Product Line Profitability &amp; Margin Performance Analysis — Nassau Candy Distributor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2F5F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30"/>
                <w:szCs w:val="30"/>
              </w:rPr>
              <w:t xml:space="preserve">$141,784</w:t>
            </w:r>
          </w:p>
          <w:p>
            <w:pPr>
              <w:jc w:val="center"/>
            </w:pPr>
            <w:r>
              <w:rPr>
                <w:color w:val="555555"/>
                <w:sz w:val="16"/>
                <w:szCs w:val="16"/>
              </w:rPr>
              <w:t xml:space="preserve">Total Sales (FY2025)</w:t>
            </w:r>
          </w:p>
        </w:tc>
        <w:tc>
          <w:tcPr>
            <w:tcW w:type="dxa" w:w="2250"/>
            <w:shd w:fill="F2F5F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30"/>
                <w:szCs w:val="30"/>
              </w:rPr>
              <w:t xml:space="preserve">$93,443</w:t>
            </w:r>
          </w:p>
          <w:p>
            <w:pPr>
              <w:jc w:val="center"/>
            </w:pPr>
            <w:r>
              <w:rPr>
                <w:color w:val="555555"/>
                <w:sz w:val="16"/>
                <w:szCs w:val="16"/>
              </w:rPr>
              <w:t xml:space="preserve">Total Gross Profit</w:t>
            </w:r>
          </w:p>
        </w:tc>
        <w:tc>
          <w:tcPr>
            <w:tcW w:type="dxa" w:w="2250"/>
            <w:shd w:fill="F2F5F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30"/>
                <w:szCs w:val="30"/>
              </w:rPr>
              <w:t xml:space="preserve">65.9%</w:t>
            </w:r>
          </w:p>
          <w:p>
            <w:pPr>
              <w:jc w:val="center"/>
            </w:pPr>
            <w:r>
              <w:rPr>
                <w:color w:val="555555"/>
                <w:sz w:val="16"/>
                <w:szCs w:val="16"/>
              </w:rPr>
              <w:t xml:space="preserve">Overall Gross Margin</w:t>
            </w:r>
          </w:p>
        </w:tc>
        <w:tc>
          <w:tcPr>
            <w:tcW w:type="dxa" w:w="2250"/>
            <w:shd w:fill="F2F5F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30"/>
                <w:szCs w:val="30"/>
              </w:rPr>
              <w:t xml:space="preserve">5 of 15</w:t>
            </w:r>
          </w:p>
          <w:p>
            <w:pPr>
              <w:jc w:val="center"/>
            </w:pPr>
            <w:r>
              <w:rPr>
                <w:color w:val="555555"/>
                <w:sz w:val="16"/>
                <w:szCs w:val="16"/>
              </w:rPr>
              <w:t xml:space="preserve">Products Driving 80% of Profit</w:t>
            </w:r>
          </w:p>
        </w:tc>
      </w:tr>
    </w:tbl>
    <w:p>
      <w:pPr>
        <w:spacing w:after="240"/>
      </w:pPr>
    </w:p>
    <w:p>
      <w:pPr>
        <w:spacing w:after="100" w:before="200"/>
      </w:pPr>
      <w:r>
        <w:rPr>
          <w:b/>
          <w:bCs/>
          <w:color w:val="1F3864"/>
          <w:sz w:val="24"/>
          <w:szCs w:val="24"/>
        </w:rPr>
        <w:t xml:space="preserve">The Bottom Line</w:t>
      </w:r>
    </w:p>
    <w:p>
      <w:pPr>
        <w:spacing w:after="140"/>
      </w:pPr>
      <w:r>
        <w:rPr>
          <w:sz w:val="20"/>
          <w:szCs w:val="20"/>
        </w:rPr>
        <w:t xml:space="preserve">Nassau Candy's overall profitability is strong (65.9% blended gross margin), but this figure conceals a highly concentrated and imbalanced product portfolio. Just five products — all from the Chocolate division — generate 80% of total company profit. Meanwhile, seven products across the Sugar and Other divisions have cost structures that leave little to no margin, actively eroding blended profitability.</w:t>
      </w:r>
    </w:p>
    <w:p>
      <w:pPr>
        <w:spacing w:after="100" w:before="200"/>
      </w:pPr>
      <w:r>
        <w:rPr>
          <w:b/>
          <w:bCs/>
          <w:color w:val="1F3864"/>
          <w:sz w:val="24"/>
          <w:szCs w:val="24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Concentration risk: 33% of the product lineup (5 of 15 products) drives 80% of both revenue and profit — all Chocolate division. Any disruption to this line has outsized company-wide impact.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The Other division is structurally underperforming: it generates 6.8% of revenue but only 4.6% of profit (44.8% margin vs. the 65.9% company average) — a profit-to-revenue balance of 0.68.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Kazookles, the weakest performer, converts only 7.7% of sales into profit — a 92.3% cost-to-sales ratio leaves almost no margin buffer.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All identified margin problems trace back to cost structure, not pricing strategy — no product was flagged for a pure pricing inefficiency.</w:t>
      </w:r>
    </w:p>
    <w:p>
      <w:pPr>
        <w:spacing w:after="100" w:before="200"/>
      </w:pPr>
      <w:r>
        <w:rPr>
          <w:b/>
          <w:bCs/>
          <w:color w:val="1F3864"/>
          <w:sz w:val="24"/>
          <w:szCs w:val="24"/>
        </w:rPr>
        <w:t xml:space="preserve">Recommended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Cost renegotiation (High priority): Open supplier/factory cost discussions for 7 flagged products, starting with Kazookles.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Discontinuation review (Medium priority): Evaluate Fizzy Lifting Drinks, Fun Dip, Nerds, and SweeTARTS — combined, these contributed under $90 in annual profit.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Diversify supply risk (Medium priority): Reduce dependency on the concentrated Chocolate product line through supplier diversification.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Protect the core line (Ongoing): Prioritize inventory and supply chain reliability for the five top Chocolate products underpinning company profitability.</w:t>
      </w:r>
    </w:p>
    <w:p>
      <w:pPr>
        <w:spacing w:after="100" w:before="200"/>
      </w:pPr>
      <w:r>
        <w:rPr>
          <w:b/>
          <w:bCs/>
          <w:color w:val="1F3864"/>
          <w:sz w:val="24"/>
          <w:szCs w:val="24"/>
        </w:rPr>
        <w:t xml:space="preserve">Supporting Analysis</w:t>
      </w:r>
    </w:p>
    <w:p>
      <w:pPr>
        <w:spacing w:after="140"/>
      </w:pPr>
      <w:r>
        <w:rPr>
          <w:i/>
          <w:iCs/>
          <w:color w:val="555555"/>
          <w:sz w:val="20"/>
          <w:szCs w:val="20"/>
        </w:rPr>
        <w:t xml:space="preserve">This summary is based on a full product-line profitability analysis covering 10,194 order-line transactions across FY2025, including product- and division-level margin analysis, profit concentration (Pareto) analysis, and cost structure diagnostics. Full methodology, findings, and supporting visuals are available in the accompanying research paper and interactive dashboard.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2026-08-11T15:24:58.911Z</dcterms:created>
  <dcterms:modified xsi:type="dcterms:W3CDTF">2026-08-11T15:24:58.925Z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