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DFDA0" w14:textId="79CE2986" w:rsidR="001B4311" w:rsidRPr="00B131F4" w:rsidRDefault="009E7411" w:rsidP="009E7411">
      <w:pPr>
        <w:tabs>
          <w:tab w:val="left" w:pos="3300"/>
        </w:tabs>
        <w:jc w:val="center"/>
        <w:rPr>
          <w:rFonts w:ascii="Arial" w:hAnsi="Arial" w:cs="Arial"/>
          <w:b/>
          <w:bCs/>
          <w:sz w:val="24"/>
          <w:szCs w:val="24"/>
        </w:rPr>
      </w:pPr>
      <w:r>
        <w:rPr>
          <w:rFonts w:ascii="Arial" w:hAnsi="Arial" w:cs="Arial"/>
          <w:b/>
          <w:bCs/>
          <w:sz w:val="28"/>
          <w:szCs w:val="28"/>
        </w:rPr>
        <w:t>Exploratory Data Analysis on Global Terrorism</w:t>
      </w:r>
    </w:p>
    <w:p w14:paraId="40005A5C" w14:textId="2BD06DB9" w:rsidR="009E7411" w:rsidRPr="009E7411" w:rsidRDefault="00DA1083" w:rsidP="009E7411">
      <w:pPr>
        <w:tabs>
          <w:tab w:val="left" w:pos="3300"/>
        </w:tabs>
        <w:spacing w:line="360" w:lineRule="auto"/>
        <w:rPr>
          <w:rFonts w:ascii="Arial" w:hAnsi="Arial" w:cs="Arial"/>
          <w:sz w:val="24"/>
          <w:szCs w:val="24"/>
        </w:rPr>
      </w:pPr>
      <w:r w:rsidRPr="00B131F4">
        <w:rPr>
          <w:rFonts w:ascii="Arial" w:hAnsi="Arial" w:cs="Arial"/>
          <w:b/>
          <w:bCs/>
          <w:sz w:val="24"/>
          <w:szCs w:val="24"/>
        </w:rPr>
        <w:t>Problem Statement:</w:t>
      </w:r>
      <w:r w:rsidRPr="00B131F4">
        <w:rPr>
          <w:rFonts w:ascii="Arial" w:hAnsi="Arial" w:cs="Arial"/>
          <w:b/>
          <w:bCs/>
          <w:sz w:val="24"/>
          <w:szCs w:val="24"/>
        </w:rPr>
        <w:br/>
      </w:r>
      <w:r w:rsidRPr="00B131F4">
        <w:rPr>
          <w:rFonts w:ascii="Arial" w:hAnsi="Arial" w:cs="Arial"/>
          <w:sz w:val="24"/>
          <w:szCs w:val="24"/>
        </w:rPr>
        <w:t xml:space="preserve">    </w:t>
      </w:r>
      <w:r w:rsidR="009E7411" w:rsidRPr="009E7411">
        <w:rPr>
          <w:rFonts w:ascii="Arial" w:hAnsi="Arial" w:cs="Arial"/>
          <w:sz w:val="24"/>
          <w:szCs w:val="24"/>
        </w:rPr>
        <w:t>Terrorism continues to pose a major threat to global peace and security, with thousands of incidents impacting lives and stability worldwide. The recent attack in Pahalgam, Jammu &amp; Kashmir, highlights the ongoing risks even in heavily monitored regions. Despite extensive data on such incidents, meaningful insights are often buried in complexity. This project uses an interactive Tableau dashboard to analyze global terrorism trends, helping stakeholders identify patterns, high-risk areas, major perpetrators, and targets to support informed decision-making and counterterrorism efforts.</w:t>
      </w:r>
    </w:p>
    <w:p w14:paraId="286B5A3B" w14:textId="36011FCD" w:rsidR="00DA1083" w:rsidRPr="00B131F4" w:rsidRDefault="00DA1083" w:rsidP="00B131F4">
      <w:pPr>
        <w:tabs>
          <w:tab w:val="left" w:pos="3300"/>
        </w:tabs>
        <w:spacing w:after="0" w:line="360" w:lineRule="auto"/>
        <w:rPr>
          <w:rFonts w:ascii="Arial" w:hAnsi="Arial" w:cs="Arial"/>
          <w:sz w:val="24"/>
          <w:szCs w:val="24"/>
        </w:rPr>
      </w:pPr>
      <w:r w:rsidRPr="00B131F4">
        <w:rPr>
          <w:rFonts w:ascii="Arial" w:hAnsi="Arial" w:cs="Arial"/>
          <w:b/>
          <w:bCs/>
          <w:sz w:val="24"/>
          <w:szCs w:val="24"/>
        </w:rPr>
        <w:t>Introduction:</w:t>
      </w:r>
    </w:p>
    <w:p w14:paraId="20FB8A9A" w14:textId="77777777" w:rsidR="009E7411" w:rsidRPr="009E7411" w:rsidRDefault="009E7411" w:rsidP="009E7411">
      <w:pPr>
        <w:tabs>
          <w:tab w:val="left" w:pos="3300"/>
        </w:tabs>
        <w:spacing w:after="0" w:line="360" w:lineRule="auto"/>
        <w:rPr>
          <w:rFonts w:ascii="Arial" w:hAnsi="Arial" w:cs="Arial"/>
          <w:sz w:val="24"/>
          <w:szCs w:val="24"/>
        </w:rPr>
      </w:pPr>
      <w:r w:rsidRPr="009E7411">
        <w:rPr>
          <w:rFonts w:ascii="Arial" w:hAnsi="Arial" w:cs="Arial"/>
          <w:sz w:val="24"/>
          <w:szCs w:val="24"/>
        </w:rPr>
        <w:t>This Tableau dashboard presents an exploratory data analysis of global terrorism incidents, offering a comprehensive visual overview of terrorism-related activities worldwide. The visualization aggregates and analyzes historical terrorism data to identify key patterns, trends, and insights into the nature and impact of global terrorist activities.</w:t>
      </w:r>
    </w:p>
    <w:p w14:paraId="6D01019F" w14:textId="77777777" w:rsidR="009E7411" w:rsidRDefault="009E7411" w:rsidP="009E7411">
      <w:pPr>
        <w:tabs>
          <w:tab w:val="left" w:pos="3300"/>
        </w:tabs>
        <w:spacing w:after="0" w:line="360" w:lineRule="auto"/>
        <w:ind w:left="1440"/>
        <w:rPr>
          <w:rFonts w:ascii="Arial" w:hAnsi="Arial" w:cs="Arial"/>
          <w:sz w:val="24"/>
          <w:szCs w:val="24"/>
        </w:rPr>
      </w:pPr>
      <w:r w:rsidRPr="009E7411">
        <w:rPr>
          <w:rFonts w:ascii="Arial" w:hAnsi="Arial" w:cs="Arial"/>
          <w:sz w:val="24"/>
          <w:szCs w:val="24"/>
        </w:rPr>
        <w:t>The dashboard includes the following key components:</w:t>
      </w:r>
    </w:p>
    <w:p w14:paraId="2DFED3DD" w14:textId="77777777" w:rsidR="005E2EC6" w:rsidRPr="009E7411" w:rsidRDefault="005E2EC6" w:rsidP="009E7411">
      <w:pPr>
        <w:tabs>
          <w:tab w:val="left" w:pos="3300"/>
        </w:tabs>
        <w:spacing w:after="0" w:line="360" w:lineRule="auto"/>
        <w:ind w:left="1440"/>
        <w:rPr>
          <w:rFonts w:ascii="Arial" w:hAnsi="Arial" w:cs="Arial"/>
          <w:sz w:val="24"/>
          <w:szCs w:val="24"/>
        </w:rPr>
      </w:pPr>
    </w:p>
    <w:p w14:paraId="2AF5D7A7"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1. Countries Affected by Terrorism (Map View)</w:t>
      </w:r>
    </w:p>
    <w:p w14:paraId="345EDE83" w14:textId="77777777" w:rsidR="005E2EC6" w:rsidRPr="005E2EC6" w:rsidRDefault="005E2EC6" w:rsidP="005E2EC6">
      <w:pPr>
        <w:numPr>
          <w:ilvl w:val="0"/>
          <w:numId w:val="5"/>
        </w:numPr>
        <w:tabs>
          <w:tab w:val="left" w:pos="3300"/>
        </w:tabs>
        <w:spacing w:after="0" w:line="360" w:lineRule="auto"/>
        <w:rPr>
          <w:rFonts w:ascii="Arial" w:hAnsi="Arial" w:cs="Arial"/>
          <w:sz w:val="24"/>
          <w:szCs w:val="24"/>
        </w:rPr>
      </w:pPr>
      <w:r w:rsidRPr="005E2EC6">
        <w:rPr>
          <w:rFonts w:ascii="Arial" w:hAnsi="Arial" w:cs="Arial"/>
          <w:sz w:val="24"/>
          <w:szCs w:val="24"/>
        </w:rPr>
        <w:t>A world map highlights the countries impacted by terrorist attacks.</w:t>
      </w:r>
    </w:p>
    <w:p w14:paraId="368B0DF3" w14:textId="77777777" w:rsidR="005E2EC6" w:rsidRPr="005E2EC6" w:rsidRDefault="005E2EC6" w:rsidP="005E2EC6">
      <w:pPr>
        <w:numPr>
          <w:ilvl w:val="0"/>
          <w:numId w:val="5"/>
        </w:numPr>
        <w:tabs>
          <w:tab w:val="left" w:pos="3300"/>
        </w:tabs>
        <w:spacing w:after="0" w:line="360" w:lineRule="auto"/>
        <w:rPr>
          <w:rFonts w:ascii="Arial" w:hAnsi="Arial" w:cs="Arial"/>
          <w:sz w:val="24"/>
          <w:szCs w:val="24"/>
        </w:rPr>
      </w:pPr>
      <w:r w:rsidRPr="005E2EC6">
        <w:rPr>
          <w:rFonts w:ascii="Arial" w:hAnsi="Arial" w:cs="Arial"/>
          <w:sz w:val="24"/>
          <w:szCs w:val="24"/>
        </w:rPr>
        <w:t>The intensity of color indicates the frequency of attacks, with darker shades (e.g., red and orange) showing more heavily affected nations such as Iraq, Pakistan, and Afghanistan.</w:t>
      </w:r>
    </w:p>
    <w:p w14:paraId="0FA2EC43" w14:textId="77777777" w:rsidR="005E2EC6" w:rsidRPr="005E2EC6" w:rsidRDefault="005E2EC6" w:rsidP="005E2EC6">
      <w:pPr>
        <w:numPr>
          <w:ilvl w:val="0"/>
          <w:numId w:val="5"/>
        </w:numPr>
        <w:tabs>
          <w:tab w:val="left" w:pos="3300"/>
        </w:tabs>
        <w:spacing w:after="0" w:line="360" w:lineRule="auto"/>
        <w:rPr>
          <w:rFonts w:ascii="Arial" w:hAnsi="Arial" w:cs="Arial"/>
          <w:sz w:val="24"/>
          <w:szCs w:val="24"/>
        </w:rPr>
      </w:pPr>
      <w:r w:rsidRPr="005E2EC6">
        <w:rPr>
          <w:rFonts w:ascii="Arial" w:hAnsi="Arial" w:cs="Arial"/>
          <w:sz w:val="24"/>
          <w:szCs w:val="24"/>
        </w:rPr>
        <w:t>This map enables geographic comparisons and helps users visually identify global hotspots of terrorism.</w:t>
      </w:r>
    </w:p>
    <w:p w14:paraId="784E76AA" w14:textId="17424B9C" w:rsidR="005E2EC6" w:rsidRDefault="005E2EC6" w:rsidP="005E2EC6">
      <w:pPr>
        <w:tabs>
          <w:tab w:val="left" w:pos="3300"/>
        </w:tabs>
        <w:spacing w:after="0" w:line="360" w:lineRule="auto"/>
        <w:rPr>
          <w:rFonts w:ascii="Arial" w:hAnsi="Arial" w:cs="Arial"/>
          <w:sz w:val="24"/>
          <w:szCs w:val="24"/>
        </w:rPr>
      </w:pPr>
    </w:p>
    <w:p w14:paraId="303BDBFF" w14:textId="77777777" w:rsidR="00412256" w:rsidRDefault="00412256" w:rsidP="005E2EC6">
      <w:pPr>
        <w:tabs>
          <w:tab w:val="left" w:pos="3300"/>
        </w:tabs>
        <w:spacing w:after="0" w:line="360" w:lineRule="auto"/>
        <w:rPr>
          <w:rFonts w:ascii="Arial" w:hAnsi="Arial" w:cs="Arial"/>
          <w:sz w:val="24"/>
          <w:szCs w:val="24"/>
        </w:rPr>
      </w:pPr>
    </w:p>
    <w:p w14:paraId="02E57D96" w14:textId="77777777" w:rsidR="00412256" w:rsidRDefault="00412256" w:rsidP="005E2EC6">
      <w:pPr>
        <w:tabs>
          <w:tab w:val="left" w:pos="3300"/>
        </w:tabs>
        <w:spacing w:after="0" w:line="360" w:lineRule="auto"/>
        <w:rPr>
          <w:rFonts w:ascii="Arial" w:hAnsi="Arial" w:cs="Arial"/>
          <w:sz w:val="24"/>
          <w:szCs w:val="24"/>
        </w:rPr>
      </w:pPr>
    </w:p>
    <w:p w14:paraId="2675B5E4" w14:textId="77777777" w:rsidR="00412256" w:rsidRDefault="00412256" w:rsidP="005E2EC6">
      <w:pPr>
        <w:tabs>
          <w:tab w:val="left" w:pos="3300"/>
        </w:tabs>
        <w:spacing w:after="0" w:line="360" w:lineRule="auto"/>
        <w:rPr>
          <w:rFonts w:ascii="Arial" w:hAnsi="Arial" w:cs="Arial"/>
          <w:sz w:val="24"/>
          <w:szCs w:val="24"/>
        </w:rPr>
      </w:pPr>
    </w:p>
    <w:p w14:paraId="1638CCD4" w14:textId="77777777" w:rsidR="00412256" w:rsidRDefault="00412256" w:rsidP="005E2EC6">
      <w:pPr>
        <w:tabs>
          <w:tab w:val="left" w:pos="3300"/>
        </w:tabs>
        <w:spacing w:after="0" w:line="360" w:lineRule="auto"/>
        <w:rPr>
          <w:rFonts w:ascii="Arial" w:hAnsi="Arial" w:cs="Arial"/>
          <w:sz w:val="24"/>
          <w:szCs w:val="24"/>
        </w:rPr>
      </w:pPr>
    </w:p>
    <w:p w14:paraId="28B8DE0B" w14:textId="77777777" w:rsidR="00412256" w:rsidRDefault="00412256" w:rsidP="005E2EC6">
      <w:pPr>
        <w:tabs>
          <w:tab w:val="left" w:pos="3300"/>
        </w:tabs>
        <w:spacing w:after="0" w:line="360" w:lineRule="auto"/>
        <w:rPr>
          <w:rFonts w:ascii="Arial" w:hAnsi="Arial" w:cs="Arial"/>
          <w:sz w:val="24"/>
          <w:szCs w:val="24"/>
        </w:rPr>
      </w:pPr>
    </w:p>
    <w:p w14:paraId="2A4697B9" w14:textId="77777777" w:rsidR="00412256" w:rsidRDefault="00412256" w:rsidP="005E2EC6">
      <w:pPr>
        <w:tabs>
          <w:tab w:val="left" w:pos="3300"/>
        </w:tabs>
        <w:spacing w:after="0" w:line="360" w:lineRule="auto"/>
        <w:rPr>
          <w:rFonts w:ascii="Arial" w:hAnsi="Arial" w:cs="Arial"/>
          <w:sz w:val="24"/>
          <w:szCs w:val="24"/>
        </w:rPr>
      </w:pPr>
    </w:p>
    <w:p w14:paraId="7294A16C" w14:textId="77777777" w:rsidR="00412256" w:rsidRPr="005E2EC6" w:rsidRDefault="00412256" w:rsidP="005E2EC6">
      <w:pPr>
        <w:tabs>
          <w:tab w:val="left" w:pos="3300"/>
        </w:tabs>
        <w:spacing w:after="0" w:line="360" w:lineRule="auto"/>
        <w:rPr>
          <w:rFonts w:ascii="Arial" w:hAnsi="Arial" w:cs="Arial"/>
          <w:sz w:val="24"/>
          <w:szCs w:val="24"/>
        </w:rPr>
      </w:pPr>
    </w:p>
    <w:p w14:paraId="752B5E07"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lastRenderedPageBreak/>
        <w:t>2. Yearly Attacks (Line Graph)</w:t>
      </w:r>
    </w:p>
    <w:p w14:paraId="7D7AF085" w14:textId="70294505" w:rsidR="00412256" w:rsidRPr="005E2EC6" w:rsidRDefault="005E2EC6" w:rsidP="00412256">
      <w:pPr>
        <w:numPr>
          <w:ilvl w:val="0"/>
          <w:numId w:val="6"/>
        </w:numPr>
        <w:tabs>
          <w:tab w:val="left" w:pos="3300"/>
        </w:tabs>
        <w:spacing w:after="0" w:line="360" w:lineRule="auto"/>
        <w:rPr>
          <w:rFonts w:ascii="Arial" w:hAnsi="Arial" w:cs="Arial"/>
          <w:sz w:val="24"/>
          <w:szCs w:val="24"/>
        </w:rPr>
      </w:pPr>
      <w:r w:rsidRPr="005E2EC6">
        <w:rPr>
          <w:rFonts w:ascii="Arial" w:hAnsi="Arial" w:cs="Arial"/>
          <w:sz w:val="24"/>
          <w:szCs w:val="24"/>
        </w:rPr>
        <w:t>This line chart displays the total number of attacks per year from 1970 to 2017.</w:t>
      </w:r>
    </w:p>
    <w:p w14:paraId="279EBC3E" w14:textId="77777777" w:rsidR="005E2EC6" w:rsidRPr="005E2EC6" w:rsidRDefault="005E2EC6" w:rsidP="005E2EC6">
      <w:pPr>
        <w:numPr>
          <w:ilvl w:val="0"/>
          <w:numId w:val="6"/>
        </w:numPr>
        <w:tabs>
          <w:tab w:val="left" w:pos="3300"/>
        </w:tabs>
        <w:spacing w:after="0" w:line="360" w:lineRule="auto"/>
        <w:rPr>
          <w:rFonts w:ascii="Arial" w:hAnsi="Arial" w:cs="Arial"/>
          <w:sz w:val="24"/>
          <w:szCs w:val="24"/>
        </w:rPr>
      </w:pPr>
      <w:r w:rsidRPr="005E2EC6">
        <w:rPr>
          <w:rFonts w:ascii="Arial" w:hAnsi="Arial" w:cs="Arial"/>
          <w:sz w:val="24"/>
          <w:szCs w:val="24"/>
        </w:rPr>
        <w:t>Key observations:</w:t>
      </w:r>
    </w:p>
    <w:p w14:paraId="0FA863B4" w14:textId="77777777" w:rsidR="005E2EC6" w:rsidRPr="005E2EC6" w:rsidRDefault="005E2EC6" w:rsidP="005E2EC6">
      <w:pPr>
        <w:numPr>
          <w:ilvl w:val="1"/>
          <w:numId w:val="6"/>
        </w:numPr>
        <w:tabs>
          <w:tab w:val="left" w:pos="3300"/>
        </w:tabs>
        <w:spacing w:after="0" w:line="360" w:lineRule="auto"/>
        <w:rPr>
          <w:rFonts w:ascii="Arial" w:hAnsi="Arial" w:cs="Arial"/>
          <w:sz w:val="24"/>
          <w:szCs w:val="24"/>
        </w:rPr>
      </w:pPr>
      <w:r w:rsidRPr="005E2EC6">
        <w:rPr>
          <w:rFonts w:ascii="Arial" w:hAnsi="Arial" w:cs="Arial"/>
          <w:sz w:val="24"/>
          <w:szCs w:val="24"/>
        </w:rPr>
        <w:t>A sharp rise in terrorist activity from 2004 onward.</w:t>
      </w:r>
    </w:p>
    <w:p w14:paraId="4A05A750" w14:textId="77777777" w:rsidR="005E2EC6" w:rsidRPr="005E2EC6" w:rsidRDefault="005E2EC6" w:rsidP="005E2EC6">
      <w:pPr>
        <w:numPr>
          <w:ilvl w:val="1"/>
          <w:numId w:val="6"/>
        </w:numPr>
        <w:tabs>
          <w:tab w:val="left" w:pos="3300"/>
        </w:tabs>
        <w:spacing w:after="0" w:line="360" w:lineRule="auto"/>
        <w:rPr>
          <w:rFonts w:ascii="Arial" w:hAnsi="Arial" w:cs="Arial"/>
          <w:sz w:val="24"/>
          <w:szCs w:val="24"/>
        </w:rPr>
      </w:pPr>
      <w:r w:rsidRPr="005E2EC6">
        <w:rPr>
          <w:rFonts w:ascii="Arial" w:hAnsi="Arial" w:cs="Arial"/>
          <w:sz w:val="24"/>
          <w:szCs w:val="24"/>
        </w:rPr>
        <w:t xml:space="preserve">A peak around 2014 with </w:t>
      </w:r>
      <w:r w:rsidRPr="005E2EC6">
        <w:rPr>
          <w:rFonts w:ascii="Arial" w:hAnsi="Arial" w:cs="Arial"/>
          <w:b/>
          <w:bCs/>
          <w:sz w:val="24"/>
          <w:szCs w:val="24"/>
        </w:rPr>
        <w:t>16,903 attacks</w:t>
      </w:r>
      <w:r w:rsidRPr="005E2EC6">
        <w:rPr>
          <w:rFonts w:ascii="Arial" w:hAnsi="Arial" w:cs="Arial"/>
          <w:sz w:val="24"/>
          <w:szCs w:val="24"/>
        </w:rPr>
        <w:t>, likely influenced by ISIS’s rise.</w:t>
      </w:r>
    </w:p>
    <w:p w14:paraId="5AB523C1" w14:textId="152B8DA2" w:rsidR="008448BC" w:rsidRDefault="008448BC" w:rsidP="003C602F">
      <w:pPr>
        <w:numPr>
          <w:ilvl w:val="1"/>
          <w:numId w:val="6"/>
        </w:numPr>
        <w:tabs>
          <w:tab w:val="left" w:pos="3300"/>
        </w:tabs>
        <w:spacing w:after="0" w:line="360" w:lineRule="auto"/>
        <w:rPr>
          <w:rFonts w:ascii="Arial" w:hAnsi="Arial" w:cs="Arial"/>
          <w:sz w:val="24"/>
          <w:szCs w:val="24"/>
        </w:rPr>
      </w:pPr>
      <w:r w:rsidRPr="003C602F">
        <w:rPr>
          <w:rFonts w:ascii="Arial" w:hAnsi="Arial" w:cs="Arial"/>
          <w:sz w:val="24"/>
          <w:szCs w:val="24"/>
        </w:rPr>
        <w:t>This corresponds with the rise of ISIS, conflict in Syria and Iraq, and increased activity from groups like Boko Haram and the Taliban.</w:t>
      </w:r>
    </w:p>
    <w:p w14:paraId="0D8586C0" w14:textId="0F4969FC" w:rsidR="00561C6B" w:rsidRPr="00561C6B" w:rsidRDefault="00561C6B" w:rsidP="00561C6B">
      <w:pPr>
        <w:numPr>
          <w:ilvl w:val="1"/>
          <w:numId w:val="6"/>
        </w:numPr>
        <w:tabs>
          <w:tab w:val="left" w:pos="3300"/>
        </w:tabs>
        <w:spacing w:after="0" w:line="360" w:lineRule="auto"/>
        <w:rPr>
          <w:rFonts w:ascii="Arial" w:hAnsi="Arial" w:cs="Arial"/>
          <w:sz w:val="24"/>
          <w:szCs w:val="24"/>
        </w:rPr>
      </w:pPr>
      <w:r w:rsidRPr="005E2EC6">
        <w:rPr>
          <w:rFonts w:ascii="Arial" w:hAnsi="Arial" w:cs="Arial"/>
          <w:sz w:val="24"/>
          <w:szCs w:val="24"/>
        </w:rPr>
        <w:t>Post-2014, a noticeable decline is observed, but the numbers remain high compared to earlier decades.</w:t>
      </w:r>
    </w:p>
    <w:p w14:paraId="07862327" w14:textId="77777777" w:rsidR="005E2EC6" w:rsidRPr="005E2EC6" w:rsidRDefault="005E2EC6" w:rsidP="005E2EC6">
      <w:pPr>
        <w:numPr>
          <w:ilvl w:val="0"/>
          <w:numId w:val="6"/>
        </w:numPr>
        <w:tabs>
          <w:tab w:val="left" w:pos="3300"/>
        </w:tabs>
        <w:spacing w:after="0" w:line="360" w:lineRule="auto"/>
        <w:rPr>
          <w:rFonts w:ascii="Arial" w:hAnsi="Arial" w:cs="Arial"/>
          <w:sz w:val="24"/>
          <w:szCs w:val="24"/>
        </w:rPr>
      </w:pPr>
      <w:r w:rsidRPr="005E2EC6">
        <w:rPr>
          <w:rFonts w:ascii="Arial" w:hAnsi="Arial" w:cs="Arial"/>
          <w:sz w:val="24"/>
          <w:szCs w:val="24"/>
        </w:rPr>
        <w:t>This helps track how terrorism evolved over time and correlates with global political events.</w:t>
      </w:r>
    </w:p>
    <w:p w14:paraId="3FFF4843" w14:textId="2A8A5096" w:rsidR="005E2EC6" w:rsidRPr="005E2EC6" w:rsidRDefault="005E2EC6" w:rsidP="005E2EC6">
      <w:pPr>
        <w:tabs>
          <w:tab w:val="left" w:pos="3300"/>
        </w:tabs>
        <w:spacing w:after="0" w:line="360" w:lineRule="auto"/>
        <w:rPr>
          <w:rFonts w:ascii="Arial" w:hAnsi="Arial" w:cs="Arial"/>
          <w:sz w:val="24"/>
          <w:szCs w:val="24"/>
        </w:rPr>
      </w:pPr>
    </w:p>
    <w:p w14:paraId="3F841BEA"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3. Top 20 Affected Countries (Horizontal Bar Chart)</w:t>
      </w:r>
    </w:p>
    <w:p w14:paraId="4A2FB739" w14:textId="77777777" w:rsidR="005E2EC6" w:rsidRPr="005E2EC6" w:rsidRDefault="005E2EC6" w:rsidP="005E2EC6">
      <w:pPr>
        <w:numPr>
          <w:ilvl w:val="0"/>
          <w:numId w:val="7"/>
        </w:numPr>
        <w:tabs>
          <w:tab w:val="left" w:pos="3300"/>
        </w:tabs>
        <w:spacing w:after="0" w:line="360" w:lineRule="auto"/>
        <w:rPr>
          <w:rFonts w:ascii="Arial" w:hAnsi="Arial" w:cs="Arial"/>
          <w:sz w:val="24"/>
          <w:szCs w:val="24"/>
        </w:rPr>
      </w:pPr>
      <w:r w:rsidRPr="005E2EC6">
        <w:rPr>
          <w:rFonts w:ascii="Arial" w:hAnsi="Arial" w:cs="Arial"/>
          <w:sz w:val="24"/>
          <w:szCs w:val="24"/>
        </w:rPr>
        <w:t>Lists the top countries with the highest number of recorded attacks.</w:t>
      </w:r>
    </w:p>
    <w:p w14:paraId="2394F008" w14:textId="77777777" w:rsidR="005E2EC6" w:rsidRPr="005E2EC6" w:rsidRDefault="005E2EC6" w:rsidP="005E2EC6">
      <w:pPr>
        <w:numPr>
          <w:ilvl w:val="0"/>
          <w:numId w:val="7"/>
        </w:numPr>
        <w:tabs>
          <w:tab w:val="left" w:pos="3300"/>
        </w:tabs>
        <w:spacing w:after="0" w:line="360" w:lineRule="auto"/>
        <w:rPr>
          <w:rFonts w:ascii="Arial" w:hAnsi="Arial" w:cs="Arial"/>
          <w:sz w:val="24"/>
          <w:szCs w:val="24"/>
        </w:rPr>
      </w:pPr>
      <w:r w:rsidRPr="005E2EC6">
        <w:rPr>
          <w:rFonts w:ascii="Arial" w:hAnsi="Arial" w:cs="Arial"/>
          <w:b/>
          <w:bCs/>
          <w:sz w:val="24"/>
          <w:szCs w:val="24"/>
        </w:rPr>
        <w:t>Iraq (24,636 attacks)</w:t>
      </w:r>
      <w:r w:rsidRPr="005E2EC6">
        <w:rPr>
          <w:rFonts w:ascii="Arial" w:hAnsi="Arial" w:cs="Arial"/>
          <w:sz w:val="24"/>
          <w:szCs w:val="24"/>
        </w:rPr>
        <w:t xml:space="preserve"> tops the list, followed by Pakistan, Afghanistan, and India.</w:t>
      </w:r>
    </w:p>
    <w:p w14:paraId="23C93315" w14:textId="77777777" w:rsidR="005E2EC6" w:rsidRPr="005E2EC6" w:rsidRDefault="005E2EC6" w:rsidP="005E2EC6">
      <w:pPr>
        <w:numPr>
          <w:ilvl w:val="0"/>
          <w:numId w:val="7"/>
        </w:numPr>
        <w:tabs>
          <w:tab w:val="left" w:pos="3300"/>
        </w:tabs>
        <w:spacing w:after="0" w:line="360" w:lineRule="auto"/>
        <w:rPr>
          <w:rFonts w:ascii="Arial" w:hAnsi="Arial" w:cs="Arial"/>
          <w:sz w:val="24"/>
          <w:szCs w:val="24"/>
        </w:rPr>
      </w:pPr>
      <w:r w:rsidRPr="005E2EC6">
        <w:rPr>
          <w:rFonts w:ascii="Arial" w:hAnsi="Arial" w:cs="Arial"/>
          <w:sz w:val="24"/>
          <w:szCs w:val="24"/>
        </w:rPr>
        <w:t>This ranking contextualizes the regions most impacted by terrorism and helps prioritize regional risk assessment.</w:t>
      </w:r>
    </w:p>
    <w:p w14:paraId="78B96DBD" w14:textId="6F15988D" w:rsidR="005E2EC6" w:rsidRPr="005E2EC6" w:rsidRDefault="005E2EC6" w:rsidP="005E2EC6">
      <w:pPr>
        <w:tabs>
          <w:tab w:val="left" w:pos="3300"/>
        </w:tabs>
        <w:spacing w:after="0" w:line="360" w:lineRule="auto"/>
        <w:rPr>
          <w:rFonts w:ascii="Arial" w:hAnsi="Arial" w:cs="Arial"/>
          <w:sz w:val="24"/>
          <w:szCs w:val="24"/>
        </w:rPr>
      </w:pPr>
    </w:p>
    <w:p w14:paraId="7CB3E5F1"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4. Top 20 Affected Cities</w:t>
      </w:r>
    </w:p>
    <w:p w14:paraId="1C89392D" w14:textId="77777777" w:rsidR="005E2EC6" w:rsidRPr="005E2EC6" w:rsidRDefault="005E2EC6" w:rsidP="005E2EC6">
      <w:pPr>
        <w:numPr>
          <w:ilvl w:val="0"/>
          <w:numId w:val="8"/>
        </w:numPr>
        <w:tabs>
          <w:tab w:val="left" w:pos="3300"/>
        </w:tabs>
        <w:spacing w:after="0" w:line="360" w:lineRule="auto"/>
        <w:rPr>
          <w:rFonts w:ascii="Arial" w:hAnsi="Arial" w:cs="Arial"/>
          <w:sz w:val="24"/>
          <w:szCs w:val="24"/>
        </w:rPr>
      </w:pPr>
      <w:r w:rsidRPr="005E2EC6">
        <w:rPr>
          <w:rFonts w:ascii="Arial" w:hAnsi="Arial" w:cs="Arial"/>
          <w:sz w:val="24"/>
          <w:szCs w:val="24"/>
        </w:rPr>
        <w:t>Highlights cities most frequently targeted in terrorist incidents.</w:t>
      </w:r>
    </w:p>
    <w:p w14:paraId="5763391B" w14:textId="77777777" w:rsidR="005E2EC6" w:rsidRPr="005E2EC6" w:rsidRDefault="005E2EC6" w:rsidP="005E2EC6">
      <w:pPr>
        <w:numPr>
          <w:ilvl w:val="0"/>
          <w:numId w:val="8"/>
        </w:numPr>
        <w:tabs>
          <w:tab w:val="left" w:pos="3300"/>
        </w:tabs>
        <w:spacing w:after="0" w:line="360" w:lineRule="auto"/>
        <w:rPr>
          <w:rFonts w:ascii="Arial" w:hAnsi="Arial" w:cs="Arial"/>
          <w:sz w:val="24"/>
          <w:szCs w:val="24"/>
        </w:rPr>
      </w:pPr>
      <w:r w:rsidRPr="005E2EC6">
        <w:rPr>
          <w:rFonts w:ascii="Arial" w:hAnsi="Arial" w:cs="Arial"/>
          <w:b/>
          <w:bCs/>
          <w:sz w:val="24"/>
          <w:szCs w:val="24"/>
        </w:rPr>
        <w:t>Baghdad</w:t>
      </w:r>
      <w:r w:rsidRPr="005E2EC6">
        <w:rPr>
          <w:rFonts w:ascii="Arial" w:hAnsi="Arial" w:cs="Arial"/>
          <w:sz w:val="24"/>
          <w:szCs w:val="24"/>
        </w:rPr>
        <w:t xml:space="preserve"> ranks the highest among identifiable cities, while many incidents are recorded under "Unknown," reflecting gaps in location-specific data.</w:t>
      </w:r>
    </w:p>
    <w:p w14:paraId="14929EC6" w14:textId="77777777" w:rsidR="005E2EC6" w:rsidRPr="005E2EC6" w:rsidRDefault="005E2EC6" w:rsidP="005E2EC6">
      <w:pPr>
        <w:numPr>
          <w:ilvl w:val="0"/>
          <w:numId w:val="8"/>
        </w:numPr>
        <w:tabs>
          <w:tab w:val="left" w:pos="3300"/>
        </w:tabs>
        <w:spacing w:after="0" w:line="360" w:lineRule="auto"/>
        <w:rPr>
          <w:rFonts w:ascii="Arial" w:hAnsi="Arial" w:cs="Arial"/>
          <w:sz w:val="24"/>
          <w:szCs w:val="24"/>
        </w:rPr>
      </w:pPr>
      <w:r w:rsidRPr="005E2EC6">
        <w:rPr>
          <w:rFonts w:ascii="Arial" w:hAnsi="Arial" w:cs="Arial"/>
          <w:sz w:val="24"/>
          <w:szCs w:val="24"/>
        </w:rPr>
        <w:t>Other high-risk cities include Karachi, Mosul, and Quetta, showing urban centers are particularly vulnerable.</w:t>
      </w:r>
    </w:p>
    <w:p w14:paraId="57E1BCDD" w14:textId="306007BD" w:rsidR="005E2EC6" w:rsidRPr="005E2EC6" w:rsidRDefault="005E2EC6" w:rsidP="005E2EC6">
      <w:pPr>
        <w:tabs>
          <w:tab w:val="left" w:pos="3300"/>
        </w:tabs>
        <w:spacing w:after="0" w:line="360" w:lineRule="auto"/>
        <w:rPr>
          <w:rFonts w:ascii="Arial" w:hAnsi="Arial" w:cs="Arial"/>
          <w:sz w:val="24"/>
          <w:szCs w:val="24"/>
        </w:rPr>
      </w:pPr>
    </w:p>
    <w:p w14:paraId="0A174733"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5. Success Rate of Attacks (Pie Chart)</w:t>
      </w:r>
    </w:p>
    <w:p w14:paraId="3A132BFF" w14:textId="77777777" w:rsidR="005E2EC6" w:rsidRPr="005E2EC6" w:rsidRDefault="005E2EC6" w:rsidP="005E2EC6">
      <w:pPr>
        <w:numPr>
          <w:ilvl w:val="0"/>
          <w:numId w:val="9"/>
        </w:numPr>
        <w:tabs>
          <w:tab w:val="left" w:pos="3300"/>
        </w:tabs>
        <w:spacing w:after="0" w:line="360" w:lineRule="auto"/>
        <w:rPr>
          <w:rFonts w:ascii="Arial" w:hAnsi="Arial" w:cs="Arial"/>
          <w:sz w:val="24"/>
          <w:szCs w:val="24"/>
        </w:rPr>
      </w:pPr>
      <w:r w:rsidRPr="005E2EC6">
        <w:rPr>
          <w:rFonts w:ascii="Arial" w:hAnsi="Arial" w:cs="Arial"/>
          <w:sz w:val="24"/>
          <w:szCs w:val="24"/>
        </w:rPr>
        <w:t>Visually presents the success vs. failure rate of terrorist attacks.</w:t>
      </w:r>
    </w:p>
    <w:p w14:paraId="0C8B9F85" w14:textId="77777777" w:rsidR="005E2EC6" w:rsidRPr="005E2EC6" w:rsidRDefault="005E2EC6" w:rsidP="005E2EC6">
      <w:pPr>
        <w:numPr>
          <w:ilvl w:val="0"/>
          <w:numId w:val="9"/>
        </w:numPr>
        <w:tabs>
          <w:tab w:val="left" w:pos="3300"/>
        </w:tabs>
        <w:spacing w:after="0" w:line="360" w:lineRule="auto"/>
        <w:rPr>
          <w:rFonts w:ascii="Arial" w:hAnsi="Arial" w:cs="Arial"/>
          <w:sz w:val="24"/>
          <w:szCs w:val="24"/>
        </w:rPr>
      </w:pPr>
      <w:r w:rsidRPr="005E2EC6">
        <w:rPr>
          <w:rFonts w:ascii="Arial" w:hAnsi="Arial" w:cs="Arial"/>
          <w:b/>
          <w:bCs/>
          <w:sz w:val="24"/>
          <w:szCs w:val="24"/>
        </w:rPr>
        <w:t>Success: 88.96%</w:t>
      </w:r>
      <w:r w:rsidRPr="005E2EC6">
        <w:rPr>
          <w:rFonts w:ascii="Arial" w:hAnsi="Arial" w:cs="Arial"/>
          <w:sz w:val="24"/>
          <w:szCs w:val="24"/>
        </w:rPr>
        <w:t xml:space="preserve">, </w:t>
      </w:r>
      <w:r w:rsidRPr="005E2EC6">
        <w:rPr>
          <w:rFonts w:ascii="Arial" w:hAnsi="Arial" w:cs="Arial"/>
          <w:b/>
          <w:bCs/>
          <w:sz w:val="24"/>
          <w:szCs w:val="24"/>
        </w:rPr>
        <w:t>Fail: 11.04%</w:t>
      </w:r>
      <w:r w:rsidRPr="005E2EC6">
        <w:rPr>
          <w:rFonts w:ascii="Arial" w:hAnsi="Arial" w:cs="Arial"/>
          <w:sz w:val="24"/>
          <w:szCs w:val="24"/>
        </w:rPr>
        <w:t xml:space="preserve"> — indicating that the vast majority of attacks achieved their intended physical impact.</w:t>
      </w:r>
    </w:p>
    <w:p w14:paraId="63736889" w14:textId="77777777" w:rsidR="005E2EC6" w:rsidRPr="005E2EC6" w:rsidRDefault="005E2EC6" w:rsidP="005E2EC6">
      <w:pPr>
        <w:numPr>
          <w:ilvl w:val="0"/>
          <w:numId w:val="9"/>
        </w:numPr>
        <w:tabs>
          <w:tab w:val="left" w:pos="3300"/>
        </w:tabs>
        <w:spacing w:after="0" w:line="360" w:lineRule="auto"/>
        <w:rPr>
          <w:rFonts w:ascii="Arial" w:hAnsi="Arial" w:cs="Arial"/>
          <w:sz w:val="24"/>
          <w:szCs w:val="24"/>
        </w:rPr>
      </w:pPr>
      <w:r w:rsidRPr="005E2EC6">
        <w:rPr>
          <w:rFonts w:ascii="Arial" w:hAnsi="Arial" w:cs="Arial"/>
          <w:sz w:val="24"/>
          <w:szCs w:val="24"/>
        </w:rPr>
        <w:t>This insight stresses the effectiveness of terrorist operations and the urgency for improved countermeasures.</w:t>
      </w:r>
    </w:p>
    <w:p w14:paraId="510E3DCB" w14:textId="124E3D4D"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lastRenderedPageBreak/>
        <w:t>6. Target Categories (Treemap)</w:t>
      </w:r>
    </w:p>
    <w:p w14:paraId="2A6575B4" w14:textId="77777777" w:rsidR="005E2EC6" w:rsidRPr="005E2EC6" w:rsidRDefault="005E2EC6" w:rsidP="005E2EC6">
      <w:pPr>
        <w:numPr>
          <w:ilvl w:val="0"/>
          <w:numId w:val="10"/>
        </w:numPr>
        <w:tabs>
          <w:tab w:val="left" w:pos="3300"/>
        </w:tabs>
        <w:spacing w:after="0" w:line="360" w:lineRule="auto"/>
        <w:rPr>
          <w:rFonts w:ascii="Arial" w:hAnsi="Arial" w:cs="Arial"/>
          <w:sz w:val="24"/>
          <w:szCs w:val="24"/>
        </w:rPr>
      </w:pPr>
      <w:r w:rsidRPr="005E2EC6">
        <w:rPr>
          <w:rFonts w:ascii="Arial" w:hAnsi="Arial" w:cs="Arial"/>
          <w:sz w:val="24"/>
          <w:szCs w:val="24"/>
        </w:rPr>
        <w:t>Breaks down who or what was targeted in these attacks.</w:t>
      </w:r>
    </w:p>
    <w:p w14:paraId="116155E2" w14:textId="77777777" w:rsidR="005E2EC6" w:rsidRPr="005E2EC6" w:rsidRDefault="005E2EC6" w:rsidP="005E2EC6">
      <w:pPr>
        <w:numPr>
          <w:ilvl w:val="0"/>
          <w:numId w:val="10"/>
        </w:numPr>
        <w:tabs>
          <w:tab w:val="left" w:pos="3300"/>
        </w:tabs>
        <w:spacing w:after="0" w:line="360" w:lineRule="auto"/>
        <w:rPr>
          <w:rFonts w:ascii="Arial" w:hAnsi="Arial" w:cs="Arial"/>
          <w:sz w:val="24"/>
          <w:szCs w:val="24"/>
        </w:rPr>
      </w:pPr>
      <w:r w:rsidRPr="005E2EC6">
        <w:rPr>
          <w:rFonts w:ascii="Arial" w:hAnsi="Arial" w:cs="Arial"/>
          <w:b/>
          <w:bCs/>
          <w:sz w:val="24"/>
          <w:szCs w:val="24"/>
        </w:rPr>
        <w:t>Private Citizens &amp; Property</w:t>
      </w:r>
      <w:r w:rsidRPr="005E2EC6">
        <w:rPr>
          <w:rFonts w:ascii="Arial" w:hAnsi="Arial" w:cs="Arial"/>
          <w:sz w:val="24"/>
          <w:szCs w:val="24"/>
        </w:rPr>
        <w:t xml:space="preserve"> were most targeted (43,511 incidents), followed by </w:t>
      </w:r>
      <w:r w:rsidRPr="005E2EC6">
        <w:rPr>
          <w:rFonts w:ascii="Arial" w:hAnsi="Arial" w:cs="Arial"/>
          <w:b/>
          <w:bCs/>
          <w:sz w:val="24"/>
          <w:szCs w:val="24"/>
        </w:rPr>
        <w:t>Military</w:t>
      </w:r>
      <w:r w:rsidRPr="005E2EC6">
        <w:rPr>
          <w:rFonts w:ascii="Arial" w:hAnsi="Arial" w:cs="Arial"/>
          <w:sz w:val="24"/>
          <w:szCs w:val="24"/>
        </w:rPr>
        <w:t xml:space="preserve">, </w:t>
      </w:r>
      <w:r w:rsidRPr="005E2EC6">
        <w:rPr>
          <w:rFonts w:ascii="Arial" w:hAnsi="Arial" w:cs="Arial"/>
          <w:b/>
          <w:bCs/>
          <w:sz w:val="24"/>
          <w:szCs w:val="24"/>
        </w:rPr>
        <w:t>Government</w:t>
      </w:r>
      <w:r w:rsidRPr="005E2EC6">
        <w:rPr>
          <w:rFonts w:ascii="Arial" w:hAnsi="Arial" w:cs="Arial"/>
          <w:sz w:val="24"/>
          <w:szCs w:val="24"/>
        </w:rPr>
        <w:t xml:space="preserve">, and </w:t>
      </w:r>
      <w:r w:rsidRPr="005E2EC6">
        <w:rPr>
          <w:rFonts w:ascii="Arial" w:hAnsi="Arial" w:cs="Arial"/>
          <w:b/>
          <w:bCs/>
          <w:sz w:val="24"/>
          <w:szCs w:val="24"/>
        </w:rPr>
        <w:t>Business</w:t>
      </w:r>
      <w:r w:rsidRPr="005E2EC6">
        <w:rPr>
          <w:rFonts w:ascii="Arial" w:hAnsi="Arial" w:cs="Arial"/>
          <w:sz w:val="24"/>
          <w:szCs w:val="24"/>
        </w:rPr>
        <w:t>.</w:t>
      </w:r>
    </w:p>
    <w:p w14:paraId="66D7F9EE" w14:textId="640A0254" w:rsidR="005E2EC6" w:rsidRDefault="005E2EC6" w:rsidP="005E2EC6">
      <w:pPr>
        <w:numPr>
          <w:ilvl w:val="0"/>
          <w:numId w:val="10"/>
        </w:numPr>
        <w:tabs>
          <w:tab w:val="left" w:pos="3300"/>
        </w:tabs>
        <w:spacing w:after="0" w:line="360" w:lineRule="auto"/>
        <w:rPr>
          <w:rFonts w:ascii="Arial" w:hAnsi="Arial" w:cs="Arial"/>
          <w:sz w:val="24"/>
          <w:szCs w:val="24"/>
        </w:rPr>
      </w:pPr>
      <w:r w:rsidRPr="005E2EC6">
        <w:rPr>
          <w:rFonts w:ascii="Arial" w:hAnsi="Arial" w:cs="Arial"/>
          <w:sz w:val="24"/>
          <w:szCs w:val="24"/>
        </w:rPr>
        <w:t>The treemap format allows quick comparisons between categories and shows how both civilian and institutional targets are at risk.</w:t>
      </w:r>
    </w:p>
    <w:p w14:paraId="2A9AD0B6" w14:textId="77777777" w:rsidR="008448BC" w:rsidRPr="005E2EC6" w:rsidRDefault="008448BC" w:rsidP="008448BC">
      <w:pPr>
        <w:tabs>
          <w:tab w:val="left" w:pos="3300"/>
        </w:tabs>
        <w:spacing w:after="0" w:line="360" w:lineRule="auto"/>
        <w:ind w:left="720"/>
        <w:rPr>
          <w:rFonts w:ascii="Arial" w:hAnsi="Arial" w:cs="Arial"/>
          <w:sz w:val="24"/>
          <w:szCs w:val="24"/>
        </w:rPr>
      </w:pPr>
    </w:p>
    <w:p w14:paraId="3011DD37"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7. Types of Attacks (Bubble Chart)</w:t>
      </w:r>
    </w:p>
    <w:p w14:paraId="386051FC" w14:textId="77777777" w:rsidR="005E2EC6" w:rsidRPr="005E2EC6" w:rsidRDefault="005E2EC6" w:rsidP="005E2EC6">
      <w:pPr>
        <w:numPr>
          <w:ilvl w:val="0"/>
          <w:numId w:val="11"/>
        </w:numPr>
        <w:tabs>
          <w:tab w:val="left" w:pos="3300"/>
        </w:tabs>
        <w:spacing w:after="0" w:line="360" w:lineRule="auto"/>
        <w:rPr>
          <w:rFonts w:ascii="Arial" w:hAnsi="Arial" w:cs="Arial"/>
          <w:sz w:val="24"/>
          <w:szCs w:val="24"/>
        </w:rPr>
      </w:pPr>
      <w:r w:rsidRPr="005E2EC6">
        <w:rPr>
          <w:rFonts w:ascii="Arial" w:hAnsi="Arial" w:cs="Arial"/>
          <w:sz w:val="24"/>
          <w:szCs w:val="24"/>
        </w:rPr>
        <w:t>Visualizes the most commonly used methods of attack.</w:t>
      </w:r>
    </w:p>
    <w:p w14:paraId="62360391" w14:textId="77777777" w:rsidR="005E2EC6" w:rsidRPr="005E2EC6" w:rsidRDefault="005E2EC6" w:rsidP="005E2EC6">
      <w:pPr>
        <w:numPr>
          <w:ilvl w:val="0"/>
          <w:numId w:val="11"/>
        </w:numPr>
        <w:tabs>
          <w:tab w:val="left" w:pos="3300"/>
        </w:tabs>
        <w:spacing w:after="0" w:line="360" w:lineRule="auto"/>
        <w:rPr>
          <w:rFonts w:ascii="Arial" w:hAnsi="Arial" w:cs="Arial"/>
          <w:sz w:val="24"/>
          <w:szCs w:val="24"/>
        </w:rPr>
      </w:pPr>
      <w:r w:rsidRPr="005E2EC6">
        <w:rPr>
          <w:rFonts w:ascii="Arial" w:hAnsi="Arial" w:cs="Arial"/>
          <w:b/>
          <w:bCs/>
          <w:sz w:val="24"/>
          <w:szCs w:val="24"/>
        </w:rPr>
        <w:t>Bombing/Explosion</w:t>
      </w:r>
      <w:r w:rsidRPr="005E2EC6">
        <w:rPr>
          <w:rFonts w:ascii="Arial" w:hAnsi="Arial" w:cs="Arial"/>
          <w:sz w:val="24"/>
          <w:szCs w:val="24"/>
        </w:rPr>
        <w:t xml:space="preserve"> is the most dominant method, followed by </w:t>
      </w:r>
      <w:r w:rsidRPr="005E2EC6">
        <w:rPr>
          <w:rFonts w:ascii="Arial" w:hAnsi="Arial" w:cs="Arial"/>
          <w:b/>
          <w:bCs/>
          <w:sz w:val="24"/>
          <w:szCs w:val="24"/>
        </w:rPr>
        <w:t>Armed Assault</w:t>
      </w:r>
      <w:r w:rsidRPr="005E2EC6">
        <w:rPr>
          <w:rFonts w:ascii="Arial" w:hAnsi="Arial" w:cs="Arial"/>
          <w:sz w:val="24"/>
          <w:szCs w:val="24"/>
        </w:rPr>
        <w:t>.</w:t>
      </w:r>
    </w:p>
    <w:p w14:paraId="4D33B568" w14:textId="77777777" w:rsidR="005E2EC6" w:rsidRPr="005E2EC6" w:rsidRDefault="005E2EC6" w:rsidP="005E2EC6">
      <w:pPr>
        <w:numPr>
          <w:ilvl w:val="0"/>
          <w:numId w:val="11"/>
        </w:numPr>
        <w:tabs>
          <w:tab w:val="left" w:pos="3300"/>
        </w:tabs>
        <w:spacing w:after="0" w:line="360" w:lineRule="auto"/>
        <w:rPr>
          <w:rFonts w:ascii="Arial" w:hAnsi="Arial" w:cs="Arial"/>
          <w:sz w:val="24"/>
          <w:szCs w:val="24"/>
        </w:rPr>
      </w:pPr>
      <w:r w:rsidRPr="005E2EC6">
        <w:rPr>
          <w:rFonts w:ascii="Arial" w:hAnsi="Arial" w:cs="Arial"/>
          <w:sz w:val="24"/>
          <w:szCs w:val="24"/>
        </w:rPr>
        <w:t>Other methods (e.g., Hijacking, Assassination) are shown with smaller bubbles, reflecting lower frequency.</w:t>
      </w:r>
    </w:p>
    <w:p w14:paraId="23582F81" w14:textId="6F4DA98E" w:rsidR="005E2EC6" w:rsidRPr="005E2EC6" w:rsidRDefault="005E2EC6" w:rsidP="005E2EC6">
      <w:pPr>
        <w:numPr>
          <w:ilvl w:val="0"/>
          <w:numId w:val="11"/>
        </w:numPr>
        <w:tabs>
          <w:tab w:val="left" w:pos="3300"/>
        </w:tabs>
        <w:spacing w:after="0" w:line="360" w:lineRule="auto"/>
        <w:rPr>
          <w:rFonts w:ascii="Arial" w:hAnsi="Arial" w:cs="Arial"/>
          <w:sz w:val="24"/>
          <w:szCs w:val="24"/>
        </w:rPr>
      </w:pPr>
      <w:r w:rsidRPr="005E2EC6">
        <w:rPr>
          <w:rFonts w:ascii="Arial" w:hAnsi="Arial" w:cs="Arial"/>
          <w:sz w:val="24"/>
          <w:szCs w:val="24"/>
        </w:rPr>
        <w:t>The bubble size helps viewers quickly understand which methods are most prevalent and dangerous.</w:t>
      </w:r>
    </w:p>
    <w:p w14:paraId="5A751AC2" w14:textId="77777777" w:rsidR="005E2EC6" w:rsidRPr="005E2EC6" w:rsidRDefault="005E2EC6" w:rsidP="005E2EC6">
      <w:pPr>
        <w:tabs>
          <w:tab w:val="left" w:pos="3300"/>
        </w:tabs>
        <w:spacing w:after="0" w:line="360" w:lineRule="auto"/>
        <w:ind w:left="720"/>
        <w:rPr>
          <w:rFonts w:ascii="Arial" w:hAnsi="Arial" w:cs="Arial"/>
          <w:sz w:val="24"/>
          <w:szCs w:val="24"/>
        </w:rPr>
      </w:pPr>
    </w:p>
    <w:p w14:paraId="77540FF1" w14:textId="77777777" w:rsidR="005E2EC6" w:rsidRPr="005E2EC6" w:rsidRDefault="005E2EC6" w:rsidP="005E2EC6">
      <w:pPr>
        <w:tabs>
          <w:tab w:val="left" w:pos="3300"/>
        </w:tabs>
        <w:spacing w:after="0" w:line="360" w:lineRule="auto"/>
        <w:rPr>
          <w:rFonts w:ascii="Arial" w:hAnsi="Arial" w:cs="Arial"/>
          <w:b/>
          <w:bCs/>
          <w:sz w:val="24"/>
          <w:szCs w:val="24"/>
        </w:rPr>
      </w:pPr>
      <w:r w:rsidRPr="005E2EC6">
        <w:rPr>
          <w:rFonts w:ascii="Arial" w:hAnsi="Arial" w:cs="Arial"/>
          <w:b/>
          <w:bCs/>
          <w:sz w:val="24"/>
          <w:szCs w:val="24"/>
        </w:rPr>
        <w:t>8. Top 15 Terrorist Gangs/Groups (Bar Chart)</w:t>
      </w:r>
    </w:p>
    <w:p w14:paraId="6EF47E2B" w14:textId="77777777" w:rsidR="005E2EC6" w:rsidRPr="005E2EC6" w:rsidRDefault="005E2EC6" w:rsidP="005E2EC6">
      <w:pPr>
        <w:numPr>
          <w:ilvl w:val="0"/>
          <w:numId w:val="12"/>
        </w:numPr>
        <w:tabs>
          <w:tab w:val="left" w:pos="3300"/>
        </w:tabs>
        <w:spacing w:after="0" w:line="360" w:lineRule="auto"/>
        <w:rPr>
          <w:rFonts w:ascii="Arial" w:hAnsi="Arial" w:cs="Arial"/>
          <w:sz w:val="24"/>
          <w:szCs w:val="24"/>
        </w:rPr>
      </w:pPr>
      <w:r w:rsidRPr="005E2EC6">
        <w:rPr>
          <w:rFonts w:ascii="Arial" w:hAnsi="Arial" w:cs="Arial"/>
          <w:sz w:val="24"/>
          <w:szCs w:val="24"/>
        </w:rPr>
        <w:t>Lists terrorist organizations with the highest number of attributed attacks.</w:t>
      </w:r>
    </w:p>
    <w:p w14:paraId="34993979" w14:textId="77777777" w:rsidR="005E2EC6" w:rsidRPr="005E2EC6" w:rsidRDefault="005E2EC6" w:rsidP="005E2EC6">
      <w:pPr>
        <w:numPr>
          <w:ilvl w:val="0"/>
          <w:numId w:val="12"/>
        </w:numPr>
        <w:tabs>
          <w:tab w:val="left" w:pos="3300"/>
        </w:tabs>
        <w:spacing w:after="0" w:line="360" w:lineRule="auto"/>
        <w:rPr>
          <w:rFonts w:ascii="Arial" w:hAnsi="Arial" w:cs="Arial"/>
          <w:sz w:val="24"/>
          <w:szCs w:val="24"/>
        </w:rPr>
      </w:pPr>
      <w:r w:rsidRPr="005E2EC6">
        <w:rPr>
          <w:rFonts w:ascii="Arial" w:hAnsi="Arial" w:cs="Arial"/>
          <w:sz w:val="24"/>
          <w:szCs w:val="24"/>
        </w:rPr>
        <w:t xml:space="preserve">A large number of incidents are marked as </w:t>
      </w:r>
      <w:r w:rsidRPr="005E2EC6">
        <w:rPr>
          <w:rFonts w:ascii="Arial" w:hAnsi="Arial" w:cs="Arial"/>
          <w:b/>
          <w:bCs/>
          <w:sz w:val="24"/>
          <w:szCs w:val="24"/>
        </w:rPr>
        <w:t>“Unknown”</w:t>
      </w:r>
      <w:r w:rsidRPr="005E2EC6">
        <w:rPr>
          <w:rFonts w:ascii="Arial" w:hAnsi="Arial" w:cs="Arial"/>
          <w:sz w:val="24"/>
          <w:szCs w:val="24"/>
        </w:rPr>
        <w:t xml:space="preserve"> (82,782), showing challenges in identifying perpetrators.</w:t>
      </w:r>
    </w:p>
    <w:p w14:paraId="753EA88D" w14:textId="77777777" w:rsidR="005E2EC6" w:rsidRPr="005E2EC6" w:rsidRDefault="005E2EC6" w:rsidP="005E2EC6">
      <w:pPr>
        <w:numPr>
          <w:ilvl w:val="0"/>
          <w:numId w:val="12"/>
        </w:numPr>
        <w:tabs>
          <w:tab w:val="left" w:pos="3300"/>
        </w:tabs>
        <w:spacing w:after="0" w:line="360" w:lineRule="auto"/>
        <w:rPr>
          <w:rFonts w:ascii="Arial" w:hAnsi="Arial" w:cs="Arial"/>
          <w:sz w:val="24"/>
          <w:szCs w:val="24"/>
        </w:rPr>
      </w:pPr>
      <w:r w:rsidRPr="005E2EC6">
        <w:rPr>
          <w:rFonts w:ascii="Arial" w:hAnsi="Arial" w:cs="Arial"/>
          <w:sz w:val="24"/>
          <w:szCs w:val="24"/>
        </w:rPr>
        <w:t xml:space="preserve">Known groups like the </w:t>
      </w:r>
      <w:r w:rsidRPr="005E2EC6">
        <w:rPr>
          <w:rFonts w:ascii="Arial" w:hAnsi="Arial" w:cs="Arial"/>
          <w:b/>
          <w:bCs/>
          <w:sz w:val="24"/>
          <w:szCs w:val="24"/>
        </w:rPr>
        <w:t>Taliban (7,478)</w:t>
      </w:r>
      <w:r w:rsidRPr="005E2EC6">
        <w:rPr>
          <w:rFonts w:ascii="Arial" w:hAnsi="Arial" w:cs="Arial"/>
          <w:sz w:val="24"/>
          <w:szCs w:val="24"/>
        </w:rPr>
        <w:t xml:space="preserve">, </w:t>
      </w:r>
      <w:r w:rsidRPr="005E2EC6">
        <w:rPr>
          <w:rFonts w:ascii="Arial" w:hAnsi="Arial" w:cs="Arial"/>
          <w:b/>
          <w:bCs/>
          <w:sz w:val="24"/>
          <w:szCs w:val="24"/>
        </w:rPr>
        <w:t>ISIS</w:t>
      </w:r>
      <w:r w:rsidRPr="005E2EC6">
        <w:rPr>
          <w:rFonts w:ascii="Arial" w:hAnsi="Arial" w:cs="Arial"/>
          <w:sz w:val="24"/>
          <w:szCs w:val="24"/>
        </w:rPr>
        <w:t xml:space="preserve">, </w:t>
      </w:r>
      <w:r w:rsidRPr="005E2EC6">
        <w:rPr>
          <w:rFonts w:ascii="Arial" w:hAnsi="Arial" w:cs="Arial"/>
          <w:b/>
          <w:bCs/>
          <w:sz w:val="24"/>
          <w:szCs w:val="24"/>
        </w:rPr>
        <w:t>Shining Path</w:t>
      </w:r>
      <w:r w:rsidRPr="005E2EC6">
        <w:rPr>
          <w:rFonts w:ascii="Arial" w:hAnsi="Arial" w:cs="Arial"/>
          <w:sz w:val="24"/>
          <w:szCs w:val="24"/>
        </w:rPr>
        <w:t xml:space="preserve">, and </w:t>
      </w:r>
      <w:r w:rsidRPr="005E2EC6">
        <w:rPr>
          <w:rFonts w:ascii="Arial" w:hAnsi="Arial" w:cs="Arial"/>
          <w:b/>
          <w:bCs/>
          <w:sz w:val="24"/>
          <w:szCs w:val="24"/>
        </w:rPr>
        <w:t>Boko Haram</w:t>
      </w:r>
      <w:r w:rsidRPr="005E2EC6">
        <w:rPr>
          <w:rFonts w:ascii="Arial" w:hAnsi="Arial" w:cs="Arial"/>
          <w:sz w:val="24"/>
          <w:szCs w:val="24"/>
        </w:rPr>
        <w:t xml:space="preserve"> are among the top contributors.</w:t>
      </w:r>
    </w:p>
    <w:p w14:paraId="7FD52201" w14:textId="77777777" w:rsidR="005E2EC6" w:rsidRPr="005E2EC6" w:rsidRDefault="005E2EC6" w:rsidP="005E2EC6">
      <w:pPr>
        <w:numPr>
          <w:ilvl w:val="0"/>
          <w:numId w:val="12"/>
        </w:numPr>
        <w:tabs>
          <w:tab w:val="left" w:pos="3300"/>
        </w:tabs>
        <w:spacing w:after="0" w:line="360" w:lineRule="auto"/>
        <w:rPr>
          <w:rFonts w:ascii="Arial" w:hAnsi="Arial" w:cs="Arial"/>
          <w:sz w:val="24"/>
          <w:szCs w:val="24"/>
        </w:rPr>
      </w:pPr>
      <w:r w:rsidRPr="005E2EC6">
        <w:rPr>
          <w:rFonts w:ascii="Arial" w:hAnsi="Arial" w:cs="Arial"/>
          <w:sz w:val="24"/>
          <w:szCs w:val="24"/>
        </w:rPr>
        <w:t>This chart aids in profiling the most dangerous terrorist entities and their relative activity.</w:t>
      </w:r>
    </w:p>
    <w:p w14:paraId="121CB910" w14:textId="77777777" w:rsidR="009E7411" w:rsidRDefault="009E7411" w:rsidP="009E7411">
      <w:pPr>
        <w:tabs>
          <w:tab w:val="left" w:pos="3300"/>
        </w:tabs>
        <w:spacing w:after="0" w:line="360" w:lineRule="auto"/>
        <w:rPr>
          <w:rFonts w:ascii="Arial" w:hAnsi="Arial" w:cs="Arial"/>
          <w:sz w:val="24"/>
          <w:szCs w:val="24"/>
        </w:rPr>
      </w:pPr>
    </w:p>
    <w:p w14:paraId="51958E5A" w14:textId="77777777" w:rsidR="009E7411" w:rsidRPr="009E7411" w:rsidRDefault="009E7411" w:rsidP="009E7411">
      <w:pPr>
        <w:tabs>
          <w:tab w:val="left" w:pos="3300"/>
        </w:tabs>
        <w:spacing w:line="360" w:lineRule="auto"/>
        <w:rPr>
          <w:rFonts w:ascii="Arial" w:hAnsi="Arial" w:cs="Arial"/>
          <w:b/>
          <w:bCs/>
          <w:sz w:val="24"/>
          <w:szCs w:val="24"/>
        </w:rPr>
      </w:pPr>
      <w:r w:rsidRPr="009E7411">
        <w:rPr>
          <w:rFonts w:ascii="Arial" w:hAnsi="Arial" w:cs="Arial"/>
          <w:b/>
          <w:bCs/>
          <w:sz w:val="24"/>
          <w:szCs w:val="24"/>
        </w:rPr>
        <w:t>Aims of the Project</w:t>
      </w:r>
    </w:p>
    <w:p w14:paraId="7182F6A6" w14:textId="77777777" w:rsidR="009E7411" w:rsidRPr="009E7411" w:rsidRDefault="009E7411" w:rsidP="009E7411">
      <w:pPr>
        <w:numPr>
          <w:ilvl w:val="0"/>
          <w:numId w:val="4"/>
        </w:numPr>
        <w:tabs>
          <w:tab w:val="left" w:pos="3300"/>
        </w:tabs>
        <w:spacing w:after="0" w:line="360" w:lineRule="auto"/>
        <w:rPr>
          <w:rFonts w:ascii="Arial" w:hAnsi="Arial" w:cs="Arial"/>
          <w:sz w:val="24"/>
          <w:szCs w:val="24"/>
        </w:rPr>
      </w:pPr>
      <w:r w:rsidRPr="009E7411">
        <w:rPr>
          <w:rFonts w:ascii="Arial" w:hAnsi="Arial" w:cs="Arial"/>
          <w:sz w:val="24"/>
          <w:szCs w:val="24"/>
        </w:rPr>
        <w:t>To analyze global terrorism trends using visual analytics.</w:t>
      </w:r>
    </w:p>
    <w:p w14:paraId="483D23FB" w14:textId="77777777" w:rsidR="009E7411" w:rsidRPr="009E7411" w:rsidRDefault="009E7411" w:rsidP="009E7411">
      <w:pPr>
        <w:numPr>
          <w:ilvl w:val="0"/>
          <w:numId w:val="4"/>
        </w:numPr>
        <w:tabs>
          <w:tab w:val="left" w:pos="3300"/>
        </w:tabs>
        <w:spacing w:after="0" w:line="360" w:lineRule="auto"/>
        <w:rPr>
          <w:rFonts w:ascii="Arial" w:hAnsi="Arial" w:cs="Arial"/>
          <w:sz w:val="24"/>
          <w:szCs w:val="24"/>
        </w:rPr>
      </w:pPr>
      <w:r w:rsidRPr="009E7411">
        <w:rPr>
          <w:rFonts w:ascii="Arial" w:hAnsi="Arial" w:cs="Arial"/>
          <w:sz w:val="24"/>
          <w:szCs w:val="24"/>
        </w:rPr>
        <w:t>To identify the most affected countries, cities, and target groups.</w:t>
      </w:r>
    </w:p>
    <w:p w14:paraId="6C9A40C1" w14:textId="77777777" w:rsidR="009E7411" w:rsidRPr="009E7411" w:rsidRDefault="009E7411" w:rsidP="009E7411">
      <w:pPr>
        <w:numPr>
          <w:ilvl w:val="0"/>
          <w:numId w:val="4"/>
        </w:numPr>
        <w:tabs>
          <w:tab w:val="left" w:pos="3300"/>
        </w:tabs>
        <w:spacing w:after="0" w:line="360" w:lineRule="auto"/>
        <w:rPr>
          <w:rFonts w:ascii="Arial" w:hAnsi="Arial" w:cs="Arial"/>
          <w:sz w:val="24"/>
          <w:szCs w:val="24"/>
        </w:rPr>
      </w:pPr>
      <w:r w:rsidRPr="009E7411">
        <w:rPr>
          <w:rFonts w:ascii="Arial" w:hAnsi="Arial" w:cs="Arial"/>
          <w:sz w:val="24"/>
          <w:szCs w:val="24"/>
        </w:rPr>
        <w:t>To examine the frequency and success rate of different attack types.</w:t>
      </w:r>
    </w:p>
    <w:p w14:paraId="74B30D84" w14:textId="77777777" w:rsidR="009E7411" w:rsidRPr="009E7411" w:rsidRDefault="009E7411" w:rsidP="009E7411">
      <w:pPr>
        <w:numPr>
          <w:ilvl w:val="0"/>
          <w:numId w:val="4"/>
        </w:numPr>
        <w:tabs>
          <w:tab w:val="left" w:pos="3300"/>
        </w:tabs>
        <w:spacing w:after="0" w:line="360" w:lineRule="auto"/>
        <w:rPr>
          <w:rFonts w:ascii="Arial" w:hAnsi="Arial" w:cs="Arial"/>
          <w:sz w:val="24"/>
          <w:szCs w:val="24"/>
        </w:rPr>
      </w:pPr>
      <w:r w:rsidRPr="009E7411">
        <w:rPr>
          <w:rFonts w:ascii="Arial" w:hAnsi="Arial" w:cs="Arial"/>
          <w:sz w:val="24"/>
          <w:szCs w:val="24"/>
        </w:rPr>
        <w:t>To highlight the most active terrorist organizations over time.</w:t>
      </w:r>
    </w:p>
    <w:p w14:paraId="141A8641" w14:textId="77777777" w:rsidR="009E7411" w:rsidRDefault="009E7411" w:rsidP="009E7411">
      <w:pPr>
        <w:numPr>
          <w:ilvl w:val="0"/>
          <w:numId w:val="4"/>
        </w:numPr>
        <w:tabs>
          <w:tab w:val="left" w:pos="3300"/>
        </w:tabs>
        <w:spacing w:after="0" w:line="360" w:lineRule="auto"/>
        <w:rPr>
          <w:rFonts w:ascii="Arial" w:hAnsi="Arial" w:cs="Arial"/>
          <w:sz w:val="24"/>
          <w:szCs w:val="24"/>
        </w:rPr>
      </w:pPr>
      <w:r w:rsidRPr="009E7411">
        <w:rPr>
          <w:rFonts w:ascii="Arial" w:hAnsi="Arial" w:cs="Arial"/>
          <w:sz w:val="24"/>
          <w:szCs w:val="24"/>
        </w:rPr>
        <w:t>To support policymakers, researchers, and security agencies with data-driven insights for prevention and response strategies.</w:t>
      </w:r>
    </w:p>
    <w:p w14:paraId="591242FD" w14:textId="77777777" w:rsidR="008448BC" w:rsidRDefault="008448BC" w:rsidP="008448BC">
      <w:pPr>
        <w:tabs>
          <w:tab w:val="left" w:pos="3300"/>
        </w:tabs>
        <w:spacing w:after="0" w:line="360" w:lineRule="auto"/>
        <w:ind w:left="360"/>
        <w:rPr>
          <w:rFonts w:ascii="Arial" w:hAnsi="Arial" w:cs="Arial"/>
          <w:sz w:val="24"/>
          <w:szCs w:val="24"/>
        </w:rPr>
      </w:pPr>
    </w:p>
    <w:p w14:paraId="4BF8E05A" w14:textId="63005035" w:rsidR="00825352" w:rsidRDefault="00825352" w:rsidP="00825352">
      <w:pPr>
        <w:tabs>
          <w:tab w:val="left" w:pos="3300"/>
        </w:tabs>
        <w:spacing w:after="0" w:line="360" w:lineRule="auto"/>
        <w:rPr>
          <w:rFonts w:ascii="Arial" w:hAnsi="Arial" w:cs="Arial"/>
          <w:b/>
          <w:bCs/>
          <w:sz w:val="24"/>
          <w:szCs w:val="24"/>
        </w:rPr>
      </w:pPr>
      <w:r>
        <w:rPr>
          <w:rFonts w:ascii="Arial" w:hAnsi="Arial" w:cs="Arial"/>
          <w:b/>
          <w:bCs/>
          <w:sz w:val="24"/>
          <w:szCs w:val="24"/>
        </w:rPr>
        <w:lastRenderedPageBreak/>
        <w:t>Conclusion</w:t>
      </w:r>
    </w:p>
    <w:p w14:paraId="5DB9B4D5" w14:textId="61427D5F" w:rsidR="00BD7DB7" w:rsidRDefault="00412256" w:rsidP="00BD7DB7">
      <w:pPr>
        <w:tabs>
          <w:tab w:val="left" w:pos="3300"/>
        </w:tabs>
        <w:spacing w:after="0" w:line="360" w:lineRule="auto"/>
        <w:rPr>
          <w:rFonts w:ascii="Arial" w:hAnsi="Arial" w:cs="Arial"/>
          <w:sz w:val="24"/>
          <w:szCs w:val="24"/>
        </w:rPr>
      </w:pPr>
      <w:r>
        <w:rPr>
          <w:rFonts w:ascii="Arial" w:hAnsi="Arial" w:cs="Arial"/>
          <w:sz w:val="24"/>
          <w:szCs w:val="24"/>
        </w:rPr>
        <w:t xml:space="preserve">    </w:t>
      </w:r>
      <w:r w:rsidR="00BD7DB7" w:rsidRPr="00BD7DB7">
        <w:rPr>
          <w:rFonts w:ascii="Arial" w:hAnsi="Arial" w:cs="Arial"/>
          <w:sz w:val="24"/>
          <w:szCs w:val="24"/>
        </w:rPr>
        <w:t>The exploratory data analysis of global terrorism reveals critical insights into the scale, distribution, and nature of terrorist activities worldwide. Countries like Iraq, Pakistan, and Afghanistan have faced the highest number of attacks, with civilians, governments, and security forces being frequent targets. Bombings and armed assaults are the most common attack types, and a significant number of incidents have been attributed to unknown or unclaimed groups.</w:t>
      </w:r>
    </w:p>
    <w:p w14:paraId="3150D5BF" w14:textId="77777777" w:rsidR="008448BC" w:rsidRPr="00BD7DB7" w:rsidRDefault="008448BC" w:rsidP="00BD7DB7">
      <w:pPr>
        <w:tabs>
          <w:tab w:val="left" w:pos="3300"/>
        </w:tabs>
        <w:spacing w:after="0" w:line="360" w:lineRule="auto"/>
        <w:rPr>
          <w:rFonts w:ascii="Arial" w:hAnsi="Arial" w:cs="Arial"/>
          <w:sz w:val="24"/>
          <w:szCs w:val="24"/>
        </w:rPr>
      </w:pPr>
    </w:p>
    <w:p w14:paraId="385B458B" w14:textId="77777777" w:rsidR="00BD7DB7" w:rsidRPr="00BD7DB7" w:rsidRDefault="00BD7DB7" w:rsidP="00BD7DB7">
      <w:pPr>
        <w:tabs>
          <w:tab w:val="left" w:pos="3300"/>
        </w:tabs>
        <w:spacing w:after="0" w:line="360" w:lineRule="auto"/>
        <w:rPr>
          <w:rFonts w:ascii="Arial" w:hAnsi="Arial" w:cs="Arial"/>
          <w:sz w:val="24"/>
          <w:szCs w:val="24"/>
        </w:rPr>
      </w:pPr>
      <w:r w:rsidRPr="00BD7DB7">
        <w:rPr>
          <w:rFonts w:ascii="Arial" w:hAnsi="Arial" w:cs="Arial"/>
          <w:sz w:val="24"/>
          <w:szCs w:val="24"/>
        </w:rPr>
        <w:t>The analysis also shows that terrorism has evolved over the decades, peaking around 2014, and remains a persistent threat today, as evidenced by recent incidents such as the Pahalgam attack in Jammu &amp; Kashmir.</w:t>
      </w:r>
    </w:p>
    <w:p w14:paraId="3FC14D37" w14:textId="400E8A2E" w:rsidR="00825352" w:rsidRPr="00B131F4" w:rsidRDefault="00BD7DB7" w:rsidP="00825352">
      <w:pPr>
        <w:tabs>
          <w:tab w:val="left" w:pos="3300"/>
        </w:tabs>
        <w:spacing w:after="0" w:line="360" w:lineRule="auto"/>
        <w:rPr>
          <w:rFonts w:ascii="Arial" w:hAnsi="Arial" w:cs="Arial"/>
          <w:sz w:val="24"/>
          <w:szCs w:val="24"/>
        </w:rPr>
      </w:pPr>
      <w:r w:rsidRPr="00BD7DB7">
        <w:rPr>
          <w:rFonts w:ascii="Arial" w:hAnsi="Arial" w:cs="Arial"/>
          <w:sz w:val="24"/>
          <w:szCs w:val="24"/>
        </w:rPr>
        <w:t>This dashboard serves as a valuable tool for stakeholders to monitor terrorism trends, allocate resources effectively, and design informed counterterrorism strategies. By visualizing complex datasets in an interactive and accessible manner, it bridges the gap between raw data and actionable intelligence.</w:t>
      </w:r>
    </w:p>
    <w:sectPr w:rsidR="00825352" w:rsidRPr="00B13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FF069" w14:textId="77777777" w:rsidR="00254F1C" w:rsidRDefault="00254F1C" w:rsidP="00DA6E8F">
      <w:pPr>
        <w:spacing w:after="0" w:line="240" w:lineRule="auto"/>
      </w:pPr>
      <w:r>
        <w:separator/>
      </w:r>
    </w:p>
  </w:endnote>
  <w:endnote w:type="continuationSeparator" w:id="0">
    <w:p w14:paraId="33672521" w14:textId="77777777" w:rsidR="00254F1C" w:rsidRDefault="00254F1C" w:rsidP="00DA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DB4E0" w14:textId="77777777" w:rsidR="00254F1C" w:rsidRDefault="00254F1C" w:rsidP="00DA6E8F">
      <w:pPr>
        <w:spacing w:after="0" w:line="240" w:lineRule="auto"/>
      </w:pPr>
      <w:r>
        <w:separator/>
      </w:r>
    </w:p>
  </w:footnote>
  <w:footnote w:type="continuationSeparator" w:id="0">
    <w:p w14:paraId="014ED3BA" w14:textId="77777777" w:rsidR="00254F1C" w:rsidRDefault="00254F1C" w:rsidP="00DA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9F2"/>
    <w:multiLevelType w:val="multilevel"/>
    <w:tmpl w:val="8642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656"/>
    <w:multiLevelType w:val="multilevel"/>
    <w:tmpl w:val="881E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40B64"/>
    <w:multiLevelType w:val="multilevel"/>
    <w:tmpl w:val="435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96DD8"/>
    <w:multiLevelType w:val="multilevel"/>
    <w:tmpl w:val="B05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D4D1B"/>
    <w:multiLevelType w:val="multilevel"/>
    <w:tmpl w:val="8E8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6411E"/>
    <w:multiLevelType w:val="multilevel"/>
    <w:tmpl w:val="DA1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3119B"/>
    <w:multiLevelType w:val="multilevel"/>
    <w:tmpl w:val="295AA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34903"/>
    <w:multiLevelType w:val="multilevel"/>
    <w:tmpl w:val="847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90B75"/>
    <w:multiLevelType w:val="multilevel"/>
    <w:tmpl w:val="4DFC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30A24"/>
    <w:multiLevelType w:val="multilevel"/>
    <w:tmpl w:val="5A7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7063F"/>
    <w:multiLevelType w:val="multilevel"/>
    <w:tmpl w:val="B430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F5A29"/>
    <w:multiLevelType w:val="multilevel"/>
    <w:tmpl w:val="260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636178">
    <w:abstractNumId w:val="2"/>
  </w:num>
  <w:num w:numId="2" w16cid:durableId="403332314">
    <w:abstractNumId w:val="1"/>
  </w:num>
  <w:num w:numId="3" w16cid:durableId="1237084556">
    <w:abstractNumId w:val="9"/>
  </w:num>
  <w:num w:numId="4" w16cid:durableId="175464577">
    <w:abstractNumId w:val="3"/>
  </w:num>
  <w:num w:numId="5" w16cid:durableId="2051689872">
    <w:abstractNumId w:val="11"/>
  </w:num>
  <w:num w:numId="6" w16cid:durableId="1867478143">
    <w:abstractNumId w:val="6"/>
  </w:num>
  <w:num w:numId="7" w16cid:durableId="2074350281">
    <w:abstractNumId w:val="10"/>
  </w:num>
  <w:num w:numId="8" w16cid:durableId="1811364541">
    <w:abstractNumId w:val="7"/>
  </w:num>
  <w:num w:numId="9" w16cid:durableId="1976329608">
    <w:abstractNumId w:val="4"/>
  </w:num>
  <w:num w:numId="10" w16cid:durableId="1192764668">
    <w:abstractNumId w:val="8"/>
  </w:num>
  <w:num w:numId="11" w16cid:durableId="1977297299">
    <w:abstractNumId w:val="0"/>
  </w:num>
  <w:num w:numId="12" w16cid:durableId="1978872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8F"/>
    <w:rsid w:val="00022FBA"/>
    <w:rsid w:val="001B4311"/>
    <w:rsid w:val="00254F1C"/>
    <w:rsid w:val="003B780D"/>
    <w:rsid w:val="003C602F"/>
    <w:rsid w:val="00412256"/>
    <w:rsid w:val="004A77BA"/>
    <w:rsid w:val="00561C6B"/>
    <w:rsid w:val="005E2EC6"/>
    <w:rsid w:val="0062639F"/>
    <w:rsid w:val="006C0DFB"/>
    <w:rsid w:val="007E2E31"/>
    <w:rsid w:val="00825352"/>
    <w:rsid w:val="008448BC"/>
    <w:rsid w:val="009460A7"/>
    <w:rsid w:val="0099224F"/>
    <w:rsid w:val="009D536B"/>
    <w:rsid w:val="009E7411"/>
    <w:rsid w:val="009F495E"/>
    <w:rsid w:val="00A1016B"/>
    <w:rsid w:val="00B131F4"/>
    <w:rsid w:val="00BB45DF"/>
    <w:rsid w:val="00BD7DB7"/>
    <w:rsid w:val="00C93552"/>
    <w:rsid w:val="00CA05AF"/>
    <w:rsid w:val="00CB0BC9"/>
    <w:rsid w:val="00DA1083"/>
    <w:rsid w:val="00DA6E8F"/>
    <w:rsid w:val="00EA5533"/>
    <w:rsid w:val="00EB2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1690"/>
  <w15:chartTrackingRefBased/>
  <w15:docId w15:val="{967BA00E-4A0B-4634-993E-C6182C75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E8F"/>
    <w:rPr>
      <w:rFonts w:eastAsiaTheme="majorEastAsia" w:cstheme="majorBidi"/>
      <w:color w:val="272727" w:themeColor="text1" w:themeTint="D8"/>
    </w:rPr>
  </w:style>
  <w:style w:type="paragraph" w:styleId="Title">
    <w:name w:val="Title"/>
    <w:basedOn w:val="Normal"/>
    <w:next w:val="Normal"/>
    <w:link w:val="TitleChar"/>
    <w:uiPriority w:val="10"/>
    <w:qFormat/>
    <w:rsid w:val="00DA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E8F"/>
    <w:pPr>
      <w:spacing w:before="160"/>
      <w:jc w:val="center"/>
    </w:pPr>
    <w:rPr>
      <w:i/>
      <w:iCs/>
      <w:color w:val="404040" w:themeColor="text1" w:themeTint="BF"/>
    </w:rPr>
  </w:style>
  <w:style w:type="character" w:customStyle="1" w:styleId="QuoteChar">
    <w:name w:val="Quote Char"/>
    <w:basedOn w:val="DefaultParagraphFont"/>
    <w:link w:val="Quote"/>
    <w:uiPriority w:val="29"/>
    <w:rsid w:val="00DA6E8F"/>
    <w:rPr>
      <w:i/>
      <w:iCs/>
      <w:color w:val="404040" w:themeColor="text1" w:themeTint="BF"/>
    </w:rPr>
  </w:style>
  <w:style w:type="paragraph" w:styleId="ListParagraph">
    <w:name w:val="List Paragraph"/>
    <w:basedOn w:val="Normal"/>
    <w:uiPriority w:val="34"/>
    <w:qFormat/>
    <w:rsid w:val="00DA6E8F"/>
    <w:pPr>
      <w:ind w:left="720"/>
      <w:contextualSpacing/>
    </w:pPr>
  </w:style>
  <w:style w:type="character" w:styleId="IntenseEmphasis">
    <w:name w:val="Intense Emphasis"/>
    <w:basedOn w:val="DefaultParagraphFont"/>
    <w:uiPriority w:val="21"/>
    <w:qFormat/>
    <w:rsid w:val="00DA6E8F"/>
    <w:rPr>
      <w:i/>
      <w:iCs/>
      <w:color w:val="2F5496" w:themeColor="accent1" w:themeShade="BF"/>
    </w:rPr>
  </w:style>
  <w:style w:type="paragraph" w:styleId="IntenseQuote">
    <w:name w:val="Intense Quote"/>
    <w:basedOn w:val="Normal"/>
    <w:next w:val="Normal"/>
    <w:link w:val="IntenseQuoteChar"/>
    <w:uiPriority w:val="30"/>
    <w:qFormat/>
    <w:rsid w:val="00DA6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E8F"/>
    <w:rPr>
      <w:i/>
      <w:iCs/>
      <w:color w:val="2F5496" w:themeColor="accent1" w:themeShade="BF"/>
    </w:rPr>
  </w:style>
  <w:style w:type="character" w:styleId="IntenseReference">
    <w:name w:val="Intense Reference"/>
    <w:basedOn w:val="DefaultParagraphFont"/>
    <w:uiPriority w:val="32"/>
    <w:qFormat/>
    <w:rsid w:val="00DA6E8F"/>
    <w:rPr>
      <w:b/>
      <w:bCs/>
      <w:smallCaps/>
      <w:color w:val="2F5496" w:themeColor="accent1" w:themeShade="BF"/>
      <w:spacing w:val="5"/>
    </w:rPr>
  </w:style>
  <w:style w:type="paragraph" w:styleId="Header">
    <w:name w:val="header"/>
    <w:basedOn w:val="Normal"/>
    <w:link w:val="HeaderChar"/>
    <w:uiPriority w:val="99"/>
    <w:unhideWhenUsed/>
    <w:rsid w:val="00DA6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E8F"/>
  </w:style>
  <w:style w:type="paragraph" w:styleId="Footer">
    <w:name w:val="footer"/>
    <w:basedOn w:val="Normal"/>
    <w:link w:val="FooterChar"/>
    <w:uiPriority w:val="99"/>
    <w:unhideWhenUsed/>
    <w:rsid w:val="00DA6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E8F"/>
  </w:style>
  <w:style w:type="paragraph" w:styleId="NormalWeb">
    <w:name w:val="Normal (Web)"/>
    <w:basedOn w:val="Normal"/>
    <w:uiPriority w:val="99"/>
    <w:semiHidden/>
    <w:unhideWhenUsed/>
    <w:rsid w:val="00BD7DB7"/>
    <w:rPr>
      <w:rFonts w:ascii="Times New Roman" w:hAnsi="Times New Roman" w:cs="Times New Roman"/>
      <w:sz w:val="24"/>
      <w:szCs w:val="24"/>
    </w:rPr>
  </w:style>
  <w:style w:type="character" w:styleId="Strong">
    <w:name w:val="Strong"/>
    <w:basedOn w:val="DefaultParagraphFont"/>
    <w:uiPriority w:val="22"/>
    <w:qFormat/>
    <w:rsid w:val="00844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4129">
      <w:bodyDiv w:val="1"/>
      <w:marLeft w:val="0"/>
      <w:marRight w:val="0"/>
      <w:marTop w:val="0"/>
      <w:marBottom w:val="0"/>
      <w:divBdr>
        <w:top w:val="none" w:sz="0" w:space="0" w:color="auto"/>
        <w:left w:val="none" w:sz="0" w:space="0" w:color="auto"/>
        <w:bottom w:val="none" w:sz="0" w:space="0" w:color="auto"/>
        <w:right w:val="none" w:sz="0" w:space="0" w:color="auto"/>
      </w:divBdr>
    </w:div>
    <w:div w:id="53165360">
      <w:bodyDiv w:val="1"/>
      <w:marLeft w:val="0"/>
      <w:marRight w:val="0"/>
      <w:marTop w:val="0"/>
      <w:marBottom w:val="0"/>
      <w:divBdr>
        <w:top w:val="none" w:sz="0" w:space="0" w:color="auto"/>
        <w:left w:val="none" w:sz="0" w:space="0" w:color="auto"/>
        <w:bottom w:val="none" w:sz="0" w:space="0" w:color="auto"/>
        <w:right w:val="none" w:sz="0" w:space="0" w:color="auto"/>
      </w:divBdr>
    </w:div>
    <w:div w:id="88549111">
      <w:bodyDiv w:val="1"/>
      <w:marLeft w:val="0"/>
      <w:marRight w:val="0"/>
      <w:marTop w:val="0"/>
      <w:marBottom w:val="0"/>
      <w:divBdr>
        <w:top w:val="none" w:sz="0" w:space="0" w:color="auto"/>
        <w:left w:val="none" w:sz="0" w:space="0" w:color="auto"/>
        <w:bottom w:val="none" w:sz="0" w:space="0" w:color="auto"/>
        <w:right w:val="none" w:sz="0" w:space="0" w:color="auto"/>
      </w:divBdr>
    </w:div>
    <w:div w:id="250164820">
      <w:bodyDiv w:val="1"/>
      <w:marLeft w:val="0"/>
      <w:marRight w:val="0"/>
      <w:marTop w:val="0"/>
      <w:marBottom w:val="0"/>
      <w:divBdr>
        <w:top w:val="none" w:sz="0" w:space="0" w:color="auto"/>
        <w:left w:val="none" w:sz="0" w:space="0" w:color="auto"/>
        <w:bottom w:val="none" w:sz="0" w:space="0" w:color="auto"/>
        <w:right w:val="none" w:sz="0" w:space="0" w:color="auto"/>
      </w:divBdr>
    </w:div>
    <w:div w:id="274755199">
      <w:bodyDiv w:val="1"/>
      <w:marLeft w:val="0"/>
      <w:marRight w:val="0"/>
      <w:marTop w:val="0"/>
      <w:marBottom w:val="0"/>
      <w:divBdr>
        <w:top w:val="none" w:sz="0" w:space="0" w:color="auto"/>
        <w:left w:val="none" w:sz="0" w:space="0" w:color="auto"/>
        <w:bottom w:val="none" w:sz="0" w:space="0" w:color="auto"/>
        <w:right w:val="none" w:sz="0" w:space="0" w:color="auto"/>
      </w:divBdr>
    </w:div>
    <w:div w:id="293489773">
      <w:bodyDiv w:val="1"/>
      <w:marLeft w:val="0"/>
      <w:marRight w:val="0"/>
      <w:marTop w:val="0"/>
      <w:marBottom w:val="0"/>
      <w:divBdr>
        <w:top w:val="none" w:sz="0" w:space="0" w:color="auto"/>
        <w:left w:val="none" w:sz="0" w:space="0" w:color="auto"/>
        <w:bottom w:val="none" w:sz="0" w:space="0" w:color="auto"/>
        <w:right w:val="none" w:sz="0" w:space="0" w:color="auto"/>
      </w:divBdr>
    </w:div>
    <w:div w:id="420493468">
      <w:bodyDiv w:val="1"/>
      <w:marLeft w:val="0"/>
      <w:marRight w:val="0"/>
      <w:marTop w:val="0"/>
      <w:marBottom w:val="0"/>
      <w:divBdr>
        <w:top w:val="none" w:sz="0" w:space="0" w:color="auto"/>
        <w:left w:val="none" w:sz="0" w:space="0" w:color="auto"/>
        <w:bottom w:val="none" w:sz="0" w:space="0" w:color="auto"/>
        <w:right w:val="none" w:sz="0" w:space="0" w:color="auto"/>
      </w:divBdr>
    </w:div>
    <w:div w:id="424350232">
      <w:bodyDiv w:val="1"/>
      <w:marLeft w:val="0"/>
      <w:marRight w:val="0"/>
      <w:marTop w:val="0"/>
      <w:marBottom w:val="0"/>
      <w:divBdr>
        <w:top w:val="none" w:sz="0" w:space="0" w:color="auto"/>
        <w:left w:val="none" w:sz="0" w:space="0" w:color="auto"/>
        <w:bottom w:val="none" w:sz="0" w:space="0" w:color="auto"/>
        <w:right w:val="none" w:sz="0" w:space="0" w:color="auto"/>
      </w:divBdr>
    </w:div>
    <w:div w:id="1132089840">
      <w:bodyDiv w:val="1"/>
      <w:marLeft w:val="0"/>
      <w:marRight w:val="0"/>
      <w:marTop w:val="0"/>
      <w:marBottom w:val="0"/>
      <w:divBdr>
        <w:top w:val="none" w:sz="0" w:space="0" w:color="auto"/>
        <w:left w:val="none" w:sz="0" w:space="0" w:color="auto"/>
        <w:bottom w:val="none" w:sz="0" w:space="0" w:color="auto"/>
        <w:right w:val="none" w:sz="0" w:space="0" w:color="auto"/>
      </w:divBdr>
    </w:div>
    <w:div w:id="1158033321">
      <w:bodyDiv w:val="1"/>
      <w:marLeft w:val="0"/>
      <w:marRight w:val="0"/>
      <w:marTop w:val="0"/>
      <w:marBottom w:val="0"/>
      <w:divBdr>
        <w:top w:val="none" w:sz="0" w:space="0" w:color="auto"/>
        <w:left w:val="none" w:sz="0" w:space="0" w:color="auto"/>
        <w:bottom w:val="none" w:sz="0" w:space="0" w:color="auto"/>
        <w:right w:val="none" w:sz="0" w:space="0" w:color="auto"/>
      </w:divBdr>
    </w:div>
    <w:div w:id="1541163375">
      <w:bodyDiv w:val="1"/>
      <w:marLeft w:val="0"/>
      <w:marRight w:val="0"/>
      <w:marTop w:val="0"/>
      <w:marBottom w:val="0"/>
      <w:divBdr>
        <w:top w:val="none" w:sz="0" w:space="0" w:color="auto"/>
        <w:left w:val="none" w:sz="0" w:space="0" w:color="auto"/>
        <w:bottom w:val="none" w:sz="0" w:space="0" w:color="auto"/>
        <w:right w:val="none" w:sz="0" w:space="0" w:color="auto"/>
      </w:divBdr>
    </w:div>
    <w:div w:id="1591693294">
      <w:bodyDiv w:val="1"/>
      <w:marLeft w:val="0"/>
      <w:marRight w:val="0"/>
      <w:marTop w:val="0"/>
      <w:marBottom w:val="0"/>
      <w:divBdr>
        <w:top w:val="none" w:sz="0" w:space="0" w:color="auto"/>
        <w:left w:val="none" w:sz="0" w:space="0" w:color="auto"/>
        <w:bottom w:val="none" w:sz="0" w:space="0" w:color="auto"/>
        <w:right w:val="none" w:sz="0" w:space="0" w:color="auto"/>
      </w:divBdr>
    </w:div>
    <w:div w:id="1712996981">
      <w:bodyDiv w:val="1"/>
      <w:marLeft w:val="0"/>
      <w:marRight w:val="0"/>
      <w:marTop w:val="0"/>
      <w:marBottom w:val="0"/>
      <w:divBdr>
        <w:top w:val="none" w:sz="0" w:space="0" w:color="auto"/>
        <w:left w:val="none" w:sz="0" w:space="0" w:color="auto"/>
        <w:bottom w:val="none" w:sz="0" w:space="0" w:color="auto"/>
        <w:right w:val="none" w:sz="0" w:space="0" w:color="auto"/>
      </w:divBdr>
    </w:div>
    <w:div w:id="1797095223">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Navle</dc:creator>
  <cp:keywords/>
  <dc:description/>
  <cp:lastModifiedBy>Pramod Navle</cp:lastModifiedBy>
  <cp:revision>38</cp:revision>
  <dcterms:created xsi:type="dcterms:W3CDTF">2025-05-05T07:59:00Z</dcterms:created>
  <dcterms:modified xsi:type="dcterms:W3CDTF">2025-05-05T09:42:00Z</dcterms:modified>
</cp:coreProperties>
</file>