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b/>
          <w:color w:val="1F4E79"/>
          <w:sz w:val="56"/>
        </w:rPr>
        <w:t>Q2 Executive Business Review</w:t>
      </w:r>
    </w:p>
    <w:p>
      <w:pPr>
        <w:widowControl/>
        <w:jc w:val="center"/>
      </w:pPr>
      <w:r>
        <w:rPr>
          <w:color w:val="2F75B5"/>
          <w:sz w:val="32"/>
        </w:rPr>
        <w:t>Contoso Manufacturing</w:t>
      </w:r>
    </w:p>
    <w:p>
      <w:pPr>
        <w:widowControl/>
        <w:jc w:val="center"/>
      </w:pPr>
      <w:r>
        <w:rPr>
          <w:color w:val="666666"/>
          <w:sz w:val="24"/>
        </w:rPr>
        <w:t>Prepared for the Board of Directors</w:t>
      </w:r>
    </w:p>
    <w:p>
      <w:pPr>
        <w:widowControl/>
        <w:jc w:val="center"/>
      </w:pPr>
      <w:r>
        <w:rPr>
          <w:color w:val="666666"/>
          <w:sz w:val="22"/>
        </w:rPr>
        <w:t>Q2 Review | Fiscal Year 2026</w:t>
      </w:r>
    </w:p>
    <w:p>
      <w:pPr>
        <w:widowControl/>
      </w:pPr>
    </w:p>
    <w:tbl>
      <w:tblPr>
        <w:tblW w:type="auto" w:w="0"/>
        <w:jc w:val="center"/>
        <w:tblLook w:firstColumn="1" w:firstRow="1" w:lastColumn="0" w:lastRow="0" w:noHBand="0" w:noVBand="1" w:val="04A0"/>
      </w:tblPr>
      <w:tblGrid>
        <w:gridCol w:w="10224"/>
      </w:tblGrid>
      <w:tr>
        <w:trPr>
          <w:cantSplit/>
        </w:trPr>
        <w:tc>
          <w:tcPr>
            <w:tcW w:type="dxa" w:w="10224"/>
            <w:shd w:fill="D9EAF7"/>
            <w:tcBorders>
              <w:top w:val="single" w:sz="4" w:space="0" w:color="D9EAF7"/>
              <w:left w:val="single" w:sz="4" w:space="0" w:color="D9EAF7"/>
              <w:bottom w:val="single" w:sz="4" w:space="0" w:color="D9EAF7"/>
              <w:right w:val="single" w:sz="4" w:space="0" w:color="D9EAF7"/>
              <w:insideH w:val="single" w:sz="4" w:space="0" w:color="D9EAF7"/>
              <w:insideV w:val="single" w:sz="4" w:space="0" w:color="D9EAF7"/>
            </w:tcBorders>
          </w:tcPr>
          <w:p>
            <w:pPr>
              <w:spacing w:after="40"/>
            </w:pPr>
            <w:r>
              <w:rPr>
                <w:b/>
                <w:color w:val="1F4E79"/>
                <w:sz w:val="20"/>
              </w:rPr>
              <w:t>Board-level message</w:t>
            </w:r>
          </w:p>
          <w:p>
            <w:pPr>
              <w:spacing w:after="0"/>
            </w:pPr>
            <w:r>
              <w:rPr>
                <w:sz w:val="18"/>
              </w:rPr>
              <w:t>Q2 performance was strong, with 11.8% year-over-year revenue growth and stable gross margins. The business should continue to invest in AI-enabled products, supplier diversification, cybersecurity resilience, APAC growth, and customer experience modernization.</w:t>
            </w:r>
          </w:p>
        </w:tc>
      </w:tr>
    </w:tbl>
    <w:p>
      <w:pPr>
        <w:widowControl/>
        <w:spacing w:after="40"/>
      </w:pPr>
    </w:p>
    <w:tbl>
      <w:tblPr>
        <w:tblStyle w:val="TableGrid"/>
        <w:tblW w:type="auto" w:w="0"/>
        <w:jc w:val="center"/>
        <w:tblLayout w:type="autofit"/>
        <w:tblLook w:firstColumn="1" w:firstRow="1" w:lastColumn="0" w:lastRow="0" w:noHBand="0" w:noVBand="1" w:val="04A0"/>
      </w:tblPr>
      <w:tblGrid>
        <w:gridCol w:w="5112"/>
        <w:gridCol w:w="5112"/>
      </w:tblGrid>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40" w:before="0"/>
            </w:pPr>
            <w:r>
              <w:rPr>
                <w:b/>
                <w:color w:val="1F4E79"/>
                <w:sz w:val="18"/>
              </w:rPr>
            </w:r>
            <w:r>
              <w:rPr>
                <w:b/>
                <w:color w:val="1F4E79"/>
                <w:sz w:val="18"/>
              </w:rPr>
              <w:t>Revenue</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40" w:before="0"/>
            </w:pPr>
            <w:r>
              <w:rPr>
                <w:b/>
                <w:color w:val="1F4E79"/>
                <w:sz w:val="18"/>
              </w:rPr>
            </w:r>
            <w:r>
              <w:rPr>
                <w:b/>
                <w:color w:val="1F4E79"/>
                <w:sz w:val="18"/>
              </w:rPr>
              <w:t>$2.1B</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40" w:before="0"/>
            </w:pPr>
            <w:r>
              <w:rPr>
                <w:sz w:val="18"/>
              </w:rPr>
            </w:r>
            <w:r>
              <w:rPr>
                <w:b/>
                <w:color w:val="1F4E79"/>
                <w:sz w:val="18"/>
              </w:rPr>
              <w:t>Year-over-year growth</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40" w:before="0"/>
            </w:pPr>
            <w:r>
              <w:rPr>
                <w:sz w:val="18"/>
              </w:rPr>
            </w:r>
            <w:r>
              <w:rPr>
                <w:b w:val="0"/>
                <w:sz w:val="18"/>
              </w:rPr>
              <w:t>11.8%</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40" w:before="0"/>
            </w:pPr>
            <w:r>
              <w:rPr>
                <w:sz w:val="18"/>
              </w:rPr>
            </w:r>
            <w:r>
              <w:rPr>
                <w:b/>
                <w:color w:val="1F4E79"/>
                <w:sz w:val="18"/>
              </w:rPr>
              <w:t>Operating margin</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40" w:before="0"/>
            </w:pPr>
            <w:r>
              <w:rPr>
                <w:sz w:val="18"/>
              </w:rPr>
            </w:r>
            <w:r>
              <w:rPr>
                <w:b w:val="0"/>
                <w:sz w:val="18"/>
              </w:rPr>
              <w:t>Modest improvement</w:t>
            </w:r>
          </w:p>
        </w:tc>
      </w:tr>
      <w:tr>
        <w:trPr>
          <w:cantSplit/>
        </w:trPr>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40" w:before="0"/>
            </w:pPr>
            <w:r>
              <w:rPr>
                <w:sz w:val="18"/>
              </w:rPr>
            </w:r>
            <w:r>
              <w:rPr>
                <w:b/>
                <w:color w:val="1F4E79"/>
                <w:sz w:val="18"/>
              </w:rPr>
              <w:t>Top risks</w:t>
            </w:r>
          </w:p>
        </w:tc>
        <w:tc>
          <w:tcPr>
            <w:tcW w:type="dxa" w:w="511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40" w:before="0"/>
            </w:pPr>
            <w:r>
              <w:rPr>
                <w:sz w:val="18"/>
              </w:rPr>
            </w:r>
            <w:r>
              <w:rPr>
                <w:b w:val="0"/>
                <w:sz w:val="18"/>
              </w:rPr>
              <w:t>Supply chain concentration, cybersecurity, inflation, talent retention, regulatory compliance</w:t>
            </w:r>
          </w:p>
        </w:tc>
      </w:tr>
    </w:tbl>
    <w:p>
      <w:pPr>
        <w:widowControl/>
      </w:pPr>
      <w:r>
        <w:br w:type="page"/>
      </w:r>
    </w:p>
    <w:p>
      <w:pPr>
        <w:pStyle w:val="Heading1"/>
        <w:keepNext/>
        <w:spacing w:before="160" w:after="80"/>
      </w:pPr>
      <w:r>
        <w:rPr>
          <w:color w:val="1F4E79"/>
        </w:rPr>
        <w:t>Contents</w:t>
      </w:r>
    </w:p>
    <w:p>
      <w:pPr>
        <w:widowControl/>
        <w:spacing w:after="40"/>
      </w:pPr>
      <w:r>
        <w:rPr>
          <w:b/>
          <w:color w:val="1F4E79"/>
          <w:sz w:val="20"/>
        </w:rPr>
        <w:t>1. Executive Summary</w:t>
      </w:r>
    </w:p>
    <w:p>
      <w:pPr>
        <w:widowControl/>
        <w:spacing w:after="40"/>
      </w:pPr>
      <w:r>
        <w:rPr>
          <w:b/>
          <w:color w:val="1F4E79"/>
          <w:sz w:val="20"/>
        </w:rPr>
        <w:t>2. Financial Performance</w:t>
      </w:r>
    </w:p>
    <w:p>
      <w:pPr>
        <w:widowControl/>
        <w:spacing w:after="40"/>
      </w:pPr>
      <w:r>
        <w:rPr>
          <w:sz w:val="20"/>
        </w:rPr>
        <w:t>3. Revenue Analysis</w:t>
      </w:r>
    </w:p>
    <w:p>
      <w:pPr>
        <w:widowControl/>
        <w:spacing w:after="40"/>
      </w:pPr>
      <w:r>
        <w:rPr>
          <w:sz w:val="20"/>
        </w:rPr>
        <w:t>4. Profit Margin</w:t>
      </w:r>
    </w:p>
    <w:p>
      <w:pPr>
        <w:widowControl/>
        <w:spacing w:after="40"/>
      </w:pPr>
      <w:r>
        <w:rPr>
          <w:sz w:val="20"/>
        </w:rPr>
        <w:t>5. Regional Sales</w:t>
      </w:r>
    </w:p>
    <w:p>
      <w:pPr>
        <w:widowControl/>
        <w:spacing w:after="40"/>
      </w:pPr>
      <w:r>
        <w:rPr>
          <w:sz w:val="20"/>
        </w:rPr>
        <w:t>6. Customer Satisfaction</w:t>
      </w:r>
    </w:p>
    <w:p>
      <w:pPr>
        <w:widowControl/>
        <w:spacing w:after="40"/>
      </w:pPr>
      <w:r>
        <w:rPr>
          <w:sz w:val="20"/>
        </w:rPr>
        <w:t>7. Manufacturing Performance</w:t>
      </w:r>
    </w:p>
    <w:p>
      <w:pPr>
        <w:widowControl/>
        <w:spacing w:after="40"/>
      </w:pPr>
      <w:r>
        <w:rPr>
          <w:sz w:val="20"/>
        </w:rPr>
        <w:t>8. Supply Chain Updates</w:t>
      </w:r>
    </w:p>
    <w:p>
      <w:pPr>
        <w:widowControl/>
        <w:spacing w:after="40"/>
      </w:pPr>
      <w:r>
        <w:rPr>
          <w:b/>
          <w:color w:val="1F4E79"/>
          <w:sz w:val="20"/>
        </w:rPr>
        <w:t>9. Risk Register</w:t>
      </w:r>
    </w:p>
    <w:p>
      <w:pPr>
        <w:widowControl/>
        <w:spacing w:after="40"/>
      </w:pPr>
      <w:r>
        <w:rPr>
          <w:sz w:val="20"/>
        </w:rPr>
        <w:t>10. Cybersecurity Incidents</w:t>
      </w:r>
    </w:p>
    <w:p>
      <w:pPr>
        <w:widowControl/>
        <w:spacing w:after="40"/>
      </w:pPr>
      <w:r>
        <w:rPr>
          <w:sz w:val="20"/>
        </w:rPr>
        <w:t>11. HR Metrics</w:t>
      </w:r>
    </w:p>
    <w:p>
      <w:pPr>
        <w:widowControl/>
        <w:spacing w:after="40"/>
      </w:pPr>
      <w:r>
        <w:rPr>
          <w:sz w:val="20"/>
        </w:rPr>
        <w:t>12. ESG Initiatives</w:t>
      </w:r>
    </w:p>
    <w:p>
      <w:pPr>
        <w:widowControl/>
        <w:spacing w:after="40"/>
      </w:pPr>
      <w:r>
        <w:rPr>
          <w:b/>
          <w:color w:val="1F4E79"/>
          <w:sz w:val="20"/>
        </w:rPr>
        <w:t>13. Strategic Recommendations</w:t>
      </w:r>
    </w:p>
    <w:p>
      <w:pPr>
        <w:widowControl/>
      </w:pPr>
      <w:r>
        <w:br w:type="page"/>
      </w:r>
    </w:p>
    <w:p>
      <w:pPr>
        <w:pStyle w:val="Heading1"/>
        <w:keepNext/>
        <w:spacing w:before="160" w:after="80"/>
      </w:pPr>
      <w:r>
        <w:rPr>
          <w:color w:val="1F4E79"/>
        </w:rPr>
        <w:t>1. Executive Summary</w:t>
      </w:r>
    </w:p>
    <w:p>
      <w:pPr>
        <w:widowControl/>
        <w:spacing w:after="120"/>
      </w:pPr>
      <w:r>
        <w:t>Contoso Manufacturing delivered a positive Q2, supported by 11.8% year-over-year revenue growth, stable gross margins, modest operating margin improvement, and stronger customer satisfaction. Revenue reached $2.1B, with cloud-enabled products acting as the highest-growth portfolio segment. Execution was particularly strong in North America and Asia Pacific, while Europe remained stable and South America underperformed due to challenging market conditions.</w:t>
      </w:r>
    </w:p>
    <w:p>
      <w:pPr>
        <w:widowControl/>
        <w:spacing w:after="120"/>
      </w:pPr>
      <w:r>
        <w:t>Operationally, manufacturing efficiency improved through predictive maintenance, and inventory turnover increased, indicating better asset utilization and planning discipline. However, logistics delays affected two product lines, and the organization continues to face external pressure from raw material inflation, supplier concentration, and regional market variability.</w:t>
      </w:r>
    </w:p>
    <w:p>
      <w:pPr>
        <w:widowControl/>
        <w:spacing w:after="120"/>
      </w:pPr>
      <w:r>
        <w:t>Customer demand is evolving toward AI-enabled products, predictive support, and self-service portals. This shift creates a significant opportunity to modernize product, service, and digital engagement models, while also increasing the need for secure, scalable technology platforms.</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Signal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Result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Trend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Board View</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Management Priority</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Revenue growth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11.8% YoY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Positive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Strong momentum</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Protect growth in high-performing regions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Quarterly revenue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$2.1B</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Positive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Scale opportunity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Prioritize cloud-enabled products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Gross margin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Stable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Neutral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Resilient despite cost pressure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Offset raw material inflation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Operations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Efficiency improved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Positive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Execution improving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Resolve logistics constraints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Customer satisfaction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Improved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Positive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Service gains visible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Modernize digital CX</w:t>
            </w:r>
          </w:p>
        </w:tc>
      </w:tr>
    </w:tbl>
    <w:p>
      <w:pPr>
        <w:pStyle w:val="Heading1"/>
        <w:keepNext/>
        <w:spacing w:before="160" w:after="80"/>
      </w:pPr>
      <w:r>
        <w:rPr>
          <w:color w:val="1F4E79"/>
        </w:rPr>
        <w:t>2. Financial Performance</w:t>
      </w:r>
    </w:p>
    <w:p>
      <w:pPr>
        <w:widowControl/>
        <w:spacing w:after="120"/>
      </w:pPr>
      <w:r>
        <w:t>Q2 financial performance was characterized by strong top-line growth and disciplined margin management. Revenue reached $2.1B, reflecting 11.8% year-over-year growth. Gross margin remained stable even as raw material costs increased 7%, suggesting effective pricing, productivity, and portfolio mix management.</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Metric</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Result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Interpretation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Board Implication</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Revenue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$2.1B</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Healthy demand across the portfolio</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Maintain investment in growth categories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Revenue growth</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11.8% YoY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Double-digit expansion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Strong performance baseline for H2</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Gross margin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Stable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Resilience despite cost inflation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Continue cost controls and pricing discipline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Raw material costs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+7%</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Input cost pressure remains meaningful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Accelerate supplier diversification and hedging review</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Operating margin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6"/>
              </w:rPr>
            </w:r>
            <w:r>
              <w:rPr>
                <w:b w:val="0"/>
                <w:sz w:val="16"/>
              </w:rPr>
              <w:t>Modest improvement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Efficiency initiatives are contributing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Scale operational productivity programs</w:t>
            </w:r>
          </w:p>
        </w:tc>
      </w:tr>
    </w:tbl>
    <w:p>
      <w:pPr>
        <w:pStyle w:val="Heading1"/>
        <w:keepNext/>
        <w:spacing w:before="160" w:after="80"/>
      </w:pPr>
      <w:r>
        <w:rPr>
          <w:color w:val="1F4E79"/>
        </w:rPr>
        <w:t>3. Revenue Analysis</w:t>
      </w:r>
    </w:p>
    <w:p>
      <w:pPr>
        <w:widowControl/>
        <w:spacing w:after="120"/>
      </w:pPr>
      <w:r>
        <w:t>Revenue growth was driven by strong performance in cloud-enabled products and regional outperformance in North America and Asia Pacific. These areas should remain central to investment allocation, sales coverage, and product roadmap acceleration.</w:t>
      </w:r>
    </w:p>
    <w:p>
      <w:pPr>
        <w:pStyle w:val="ListBullet"/>
        <w:widowControl/>
        <w:spacing w:after="60"/>
      </w:pPr>
      <w:r>
        <w:t>Cloud-enabled products delivered the highest growth and should be treated as a strategic revenue engine.</w:t>
      </w:r>
    </w:p>
    <w:p>
      <w:pPr>
        <w:pStyle w:val="ListBullet"/>
        <w:widowControl/>
        <w:spacing w:after="60"/>
      </w:pPr>
      <w:r>
        <w:t>North America and Asia Pacific exceeded targets, demonstrating effective sales execution and market fit.</w:t>
      </w:r>
    </w:p>
    <w:p>
      <w:pPr>
        <w:pStyle w:val="ListBullet"/>
        <w:widowControl/>
        <w:spacing w:after="60"/>
      </w:pPr>
      <w:r>
        <w:t>Europe remained stable, providing a reliable but lower-growth revenue base.</w:t>
      </w:r>
    </w:p>
    <w:p>
      <w:pPr>
        <w:pStyle w:val="ListBullet"/>
        <w:widowControl/>
        <w:spacing w:after="60"/>
      </w:pPr>
      <w:r>
        <w:t>South America underperformed due to market conditions and requires targeted commercial review.</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Revenue Driver</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Performance Signal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Opportunity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Recommended Action</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Cloud-enabled products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Highest growth</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Portfolio expansion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Increase roadmap funding and customer success alignment</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Enterprise demand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AI-enabled products requested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New solution categories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Build AI feature bundles and pricing strategy</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Predictive support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Customer demand rising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Recurring services revenue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Package predictive support as premium service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Self-service portals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Digital engagement need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Lower service cost and higher satisfaction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Accelerate portal modernization</w:t>
            </w:r>
          </w:p>
        </w:tc>
      </w:tr>
    </w:tbl>
    <w:p>
      <w:pPr>
        <w:pStyle w:val="Heading1"/>
        <w:keepNext/>
        <w:spacing w:before="160" w:after="80"/>
      </w:pPr>
      <w:r>
        <w:rPr>
          <w:color w:val="1F4E79"/>
        </w:rPr>
        <w:t>4. Profit Margin</w:t>
      </w:r>
    </w:p>
    <w:p>
      <w:pPr>
        <w:widowControl/>
        <w:spacing w:after="120"/>
      </w:pPr>
      <w:r>
        <w:t>Margin performance improved modestly at the operating level while gross margin held stable. This is notable given the 7% increase in raw material costs. The margin outlook depends on continued procurement discipline, manufacturing productivity, pricing execution, and logistics stabilization.</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Margin Lever</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Current Status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Risk/Constraint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Next Step</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Pricing discipline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Supporting stable gross margin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Competitive market pressure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Review pricing corridors by region and product line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Manufacturing efficiency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Improving via predictive maintenance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Scaling consistency across sites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Expand predictive maintenance playbooks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Input cost control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Under pressure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Raw material costs up 7%</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Renegotiate supplier contracts and evaluate alternates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Logistics productivity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Mixed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Delays affected two product lines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Prioritize bottleneck resolution and shipment visibility</w:t>
            </w:r>
          </w:p>
        </w:tc>
      </w:tr>
    </w:tbl>
    <w:p>
      <w:pPr>
        <w:pStyle w:val="Heading1"/>
        <w:keepNext/>
        <w:spacing w:before="160" w:after="80"/>
      </w:pPr>
      <w:r>
        <w:rPr>
          <w:color w:val="1F4E79"/>
        </w:rPr>
        <w:t>5. Regional Sales</w:t>
      </w:r>
    </w:p>
    <w:p>
      <w:pPr>
        <w:widowControl/>
        <w:spacing w:after="120"/>
      </w:pPr>
      <w:r>
        <w:t>Regional performance was uneven but directionally favorable. North America and Asia Pacific exceeded targets, Europe remained stable, and South America underperformed because of market conditions. The regional strategy should prioritize accelerating high-growth markets while establishing corrective plans for underperforming territories.</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Region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Performance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Key Interpretation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Management Focus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Board Priority</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North America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Exceeded targets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Strong commercial execution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Protect share and deepen enterprise accounts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Scale successful sales plays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Asia Pacific</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Exceeded targets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High growth momentum</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Expand investment and partner coverage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Prioritize capital and talent allocation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Europe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Stable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Consistent but less dynamic</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Identify industry-specific growth pockets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Maintain margin discipline</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South America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Underperformed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Macro and market headwinds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Refresh go-to-market plan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Require corrective action review</w:t>
            </w:r>
          </w:p>
        </w:tc>
      </w:tr>
    </w:tbl>
    <w:p>
      <w:pPr>
        <w:pStyle w:val="Heading1"/>
        <w:keepNext/>
        <w:spacing w:before="160" w:after="80"/>
      </w:pPr>
      <w:r>
        <w:rPr>
          <w:color w:val="1F4E79"/>
        </w:rPr>
        <w:t>6. Customer Satisfaction</w:t>
      </w:r>
    </w:p>
    <w:p>
      <w:pPr>
        <w:widowControl/>
        <w:spacing w:after="120"/>
      </w:pPr>
      <w:r>
        <w:t>Customer satisfaction improved due to faster service delivery. Enterprise customers also signaled increased demand for AI-enabled products, predictive support, and self-service portals. These needs align directly with the company’s strategic recommendations to accelerate AI initiatives and modernize the customer experience.</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Customer Theme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Signal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Business Impact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Recommended Response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Faster service delivery</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Satisfaction increased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Improved customer confidence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Maintain service-level improvements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AI-enabled products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Enterprise customers requested AI features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Potential differentiation and revenue growth</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Accelerate AI product roadmap</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Predictive support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Demand from enterprise accounts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More proactive service model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Build predictive support operating model</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Self-service portals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Digital experience requested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Reduced friction and support load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Modernize portal experience and analytics</w:t>
            </w:r>
          </w:p>
        </w:tc>
      </w:tr>
    </w:tbl>
    <w:p>
      <w:pPr>
        <w:pStyle w:val="Heading1"/>
        <w:keepNext/>
        <w:spacing w:before="160" w:after="80"/>
      </w:pPr>
      <w:r>
        <w:rPr>
          <w:color w:val="1F4E79"/>
        </w:rPr>
        <w:t>7. Manufacturing Performance</w:t>
      </w:r>
    </w:p>
    <w:p>
      <w:pPr>
        <w:widowControl/>
        <w:spacing w:after="120"/>
      </w:pPr>
      <w:r>
        <w:t>Manufacturing efficiency improved through predictive maintenance, which reduced avoidable downtime and strengthened production reliability. Inventory turnover increased, indicating better movement of goods and improved working capital discipline. The primary constraint was logistics delays affecting two product lines.</w:t>
      </w:r>
    </w:p>
    <w:p>
      <w:pPr>
        <w:pStyle w:val="ListBullet"/>
        <w:widowControl/>
        <w:spacing w:after="60"/>
      </w:pPr>
      <w:r>
        <w:t>Predictive maintenance is a proven efficiency driver and should be scaled across priority plants.</w:t>
      </w:r>
    </w:p>
    <w:p>
      <w:pPr>
        <w:pStyle w:val="ListBullet"/>
        <w:widowControl/>
        <w:spacing w:after="60"/>
      </w:pPr>
      <w:r>
        <w:t>Inventory turnover improvements suggest stronger demand planning and inventory control.</w:t>
      </w:r>
    </w:p>
    <w:p>
      <w:pPr>
        <w:pStyle w:val="ListBullet"/>
        <w:widowControl/>
        <w:spacing w:after="60"/>
      </w:pPr>
      <w:r>
        <w:t>Logistics delays create revenue, margin, and customer satisfaction risk if unresolved.</w:t>
      </w:r>
    </w:p>
    <w:p>
      <w:pPr>
        <w:pStyle w:val="ListBullet"/>
        <w:widowControl/>
        <w:spacing w:after="60"/>
      </w:pPr>
      <w:r>
        <w:t>Operational performance should be tracked using throughput, downtime, inventory velocity, and on-time fulfillment metrics.</w:t>
      </w:r>
    </w:p>
    <w:p>
      <w:pPr>
        <w:pStyle w:val="Heading1"/>
        <w:keepNext/>
        <w:spacing w:before="160" w:after="80"/>
      </w:pPr>
      <w:r>
        <w:rPr>
          <w:color w:val="1F4E79"/>
        </w:rPr>
        <w:t>8. Supply Chain Updates</w:t>
      </w:r>
    </w:p>
    <w:p>
      <w:pPr>
        <w:widowControl/>
        <w:spacing w:after="120"/>
      </w:pPr>
      <w:r>
        <w:t>Supply chain concentration remains one of the company’s top enterprise risks. This risk is compounded by raw material cost inflation and logistics delays. Management should continue to diversify suppliers, increase early-warning indicators, and strengthen continuity planning for critical materials and product lines.</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Supply Chain Area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Current Signal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Risk Level</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Potential 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Mitigation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Supplier concentration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Top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5"/>
              </w:rPr>
            </w:r>
            <w:r>
              <w:rPr>
                <w:b w:val="0"/>
                <w:sz w:val="15"/>
              </w:rPr>
              <w:t>High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Disruption exposure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Develop dual-source strategy for critical inputs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Raw materials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Costs up 7%</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5"/>
              </w:rPr>
            </w:r>
            <w:r>
              <w:rPr>
                <w:b w:val="0"/>
                <w:sz w:val="15"/>
              </w:rPr>
              <w:t>Medium-High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Margin pressure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Contract renegotiation and alternate sourcing</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Logistics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Delays in two product lines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5"/>
              </w:rPr>
            </w:r>
            <w:r>
              <w:rPr>
                <w:b w:val="0"/>
                <w:sz w:val="15"/>
              </w:rPr>
              <w:t>Medium</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Customer and revenue impact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Improve shipment visibility and escalation process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Inventory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Turnover increased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5"/>
              </w:rPr>
            </w:r>
            <w:r>
              <w:rPr>
                <w:b w:val="0"/>
                <w:sz w:val="15"/>
              </w:rPr>
              <w:t>Low-Medium</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Working capital improvement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Sustain planning discipline and buffer critical SKUs</w:t>
            </w:r>
          </w:p>
        </w:tc>
      </w:tr>
    </w:tbl>
    <w:p>
      <w:pPr>
        <w:pStyle w:val="Heading1"/>
        <w:keepNext/>
        <w:spacing w:before="160" w:after="80"/>
      </w:pPr>
      <w:r>
        <w:rPr>
          <w:color w:val="1F4E79"/>
        </w:rPr>
        <w:t>9. Risk Register</w:t>
      </w:r>
    </w:p>
    <w:p>
      <w:pPr>
        <w:widowControl/>
        <w:spacing w:after="120"/>
      </w:pPr>
      <w:r>
        <w:t>The Q2 risk profile is concentrated around supply chain resilience, cybersecurity, inflation, talent retention, and regulatory compliance. These risks are material to growth, margins, continuity, and governance confidence.</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Risk</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Likelihood</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Impact</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Status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Management Response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Board Ask</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Supply chain concentration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Active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Supplier diversification and continuity planning</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Review critical supplier exposure</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Cybersecurity</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Active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Improve controls, monitoring, and incident readiness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Approve resilience investment priorities</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Inflation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Active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Pricing, procurement, and productivity actions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Monitor margin protection plan</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Talent retention</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Watch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Retention programs and capability planning</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Track critical role attrition</w:t>
            </w:r>
          </w:p>
        </w:tc>
      </w:tr>
      <w:tr>
        <w:trPr>
          <w:cantSplit/>
        </w:trPr>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Regulatory compliance</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Medium</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High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jc w:val="center"/>
            </w:pPr>
            <w:r>
              <w:rPr>
                <w:sz w:val="14"/>
              </w:rPr>
            </w:r>
            <w:r>
              <w:rPr>
                <w:b w:val="0"/>
                <w:sz w:val="14"/>
              </w:rPr>
              <w:t>Watch</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Compliance monitoring and policy updates</w:t>
            </w:r>
          </w:p>
        </w:tc>
        <w:tc>
          <w:tcPr>
            <w:tcW w:type="dxa" w:w="170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Ensure oversight cadence</w:t>
            </w:r>
          </w:p>
        </w:tc>
      </w:tr>
    </w:tbl>
    <w:p>
      <w:pPr>
        <w:pStyle w:val="Heading1"/>
        <w:keepNext/>
        <w:spacing w:before="160" w:after="80"/>
      </w:pPr>
      <w:r>
        <w:rPr>
          <w:color w:val="1F4E79"/>
        </w:rPr>
        <w:t>10. Cybersecurity Incidents</w:t>
      </w:r>
    </w:p>
    <w:p>
      <w:pPr>
        <w:widowControl/>
        <w:spacing w:after="120"/>
      </w:pPr>
      <w:r>
        <w:t>Cybersecurity is identified as a top risk for Q2. The source report does not provide specific incident counts, severity breakdowns, or confirmed breach details. For board oversight, the cybersecurity section should therefore focus on governance readiness, monitoring maturity, incident response capability, and prioritized resilience investments.</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Area</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Observation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Risk Implication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Recommended Action</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Incident reporting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No incident volume supplied in report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Limited board visibility into security posture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Add quarterly incident dashboard by severity and response time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Threat monitoring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Cybersecurity listed as top risk</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Potential operational and reputational exposure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Enhance monitoring, alert triage, and control testing</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Incident response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Preparedness requires continued validation</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Delayed response could increase business impact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Run tabletop exercises for critical scenarios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Security investment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Improvement recommended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Resilience requires sustained funding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Prioritize identity, endpoint, cloud, and OT security controls</w:t>
            </w:r>
          </w:p>
        </w:tc>
      </w:tr>
    </w:tbl>
    <w:p>
      <w:pPr>
        <w:pStyle w:val="Heading1"/>
        <w:keepNext/>
        <w:spacing w:before="160" w:after="80"/>
      </w:pPr>
      <w:r>
        <w:rPr>
          <w:color w:val="1F4E79"/>
        </w:rPr>
        <w:t>11. HR Metrics</w:t>
      </w:r>
    </w:p>
    <w:p>
      <w:pPr>
        <w:widowControl/>
        <w:spacing w:after="120"/>
      </w:pPr>
      <w:r>
        <w:t>Talent retention is listed as a top risk. The report does not include detailed HR metrics such as headcount, attrition, hiring velocity, engagement, training hours, or workforce productivity. For board-level reporting, management should include a standardized HR dashboard beginning next quarter.</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Metric Area</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Current Availability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Why It Matters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Recommended KPI</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5"/>
              </w:rPr>
            </w:r>
            <w:r>
              <w:rPr>
                <w:b/>
                <w:color w:val="FFFFFF"/>
                <w:sz w:val="15"/>
              </w:rPr>
              <w:t>Governance Focus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Talent retention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Referenced as top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Critical for execution continuity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Voluntary attrition rate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Track critical role exits</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Hiring velocity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Not supplied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Impacts scaling and capability gaps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Time-to-fill and acceptance rate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Monitor priority hiring</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Skills readiness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Not supplied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Supports AI, cybersecurity, and operations goals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Training hours and certification progress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Align skills to strategy</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Engagement</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Not supplied</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Indicates workforce health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Engagement score and manager effectiveness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5"/>
              </w:rPr>
            </w:r>
            <w:r>
              <w:rPr>
                <w:b w:val="0"/>
                <w:sz w:val="15"/>
              </w:rPr>
              <w:t>Review intervention plans</w:t>
            </w:r>
          </w:p>
        </w:tc>
      </w:tr>
    </w:tbl>
    <w:p>
      <w:pPr>
        <w:pStyle w:val="Heading1"/>
        <w:keepNext/>
        <w:spacing w:before="160" w:after="80"/>
      </w:pPr>
      <w:r>
        <w:rPr>
          <w:color w:val="1F4E79"/>
        </w:rPr>
        <w:t>12. ESG Initiatives</w:t>
      </w:r>
    </w:p>
    <w:p>
      <w:pPr>
        <w:widowControl/>
        <w:spacing w:after="120"/>
      </w:pPr>
      <w:r>
        <w:t>The Q2 report does not provide specific ESG progress metrics. However, regulatory compliance is identified as a top risk, and operational efficiency improvements create a foundation for measurable ESG reporting. Management should formalize ESG reporting around energy efficiency, responsible sourcing, waste reduction, workforce safety, and governance controls.</w:t>
      </w:r>
    </w:p>
    <w:tbl>
      <w:tblPr>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ESG Pillar</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Q2 Linkage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Suggested Initiative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6"/>
              </w:rPr>
            </w:r>
            <w:r>
              <w:rPr>
                <w:b/>
                <w:color w:val="FFFFFF"/>
                <w:sz w:val="16"/>
              </w:rPr>
              <w:t>Board-Level KPI</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Environmental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Manufacturing efficiency improved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Energy and waste reduction programs</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Energy intensity and waste diversion</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Social</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Talent retention risk identified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Workforce engagement and skills development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Attrition, training hours, safety indicators</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Governance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Regulatory compliance risk identified</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Compliance controls and reporting cadence</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Compliance exceptions and closure cycle</w:t>
            </w:r>
          </w:p>
        </w:tc>
      </w:tr>
      <w:tr>
        <w:trPr>
          <w:cantSplit/>
        </w:trPr>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Responsible sourcing</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Supply chain concentration risk</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Supplier ESG and resilience assessment</w:t>
            </w:r>
          </w:p>
        </w:tc>
        <w:tc>
          <w:tcPr>
            <w:tcW w:type="dxa" w:w="25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6"/>
              </w:rPr>
            </w:r>
            <w:r>
              <w:rPr>
                <w:b w:val="0"/>
                <w:sz w:val="16"/>
              </w:rPr>
              <w:t>Critical supplier risk score</w:t>
            </w:r>
          </w:p>
        </w:tc>
      </w:tr>
    </w:tbl>
    <w:p>
      <w:pPr>
        <w:pStyle w:val="Heading1"/>
        <w:keepNext/>
        <w:spacing w:before="160" w:after="80"/>
      </w:pPr>
      <w:r>
        <w:rPr>
          <w:color w:val="1F4E79"/>
        </w:rPr>
        <w:t>13. Strategic Recommendations</w:t>
      </w:r>
    </w:p>
    <w:p>
      <w:pPr>
        <w:widowControl/>
        <w:spacing w:after="120"/>
      </w:pPr>
      <w:r>
        <w:t>Management recommendations are directionally aligned with Q2 performance patterns and risk exposure. The board should focus on decisions that convert current momentum into durable competitive advantage while reducing enterprise risk.</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Priority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Rationale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Q3-Q4 Action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Expected Outcome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F4E79"/>
          </w:tcPr>
          <w:p>
            <w:pPr>
              <w:spacing w:after="40" w:before="0"/>
              <w:jc w:val="center"/>
            </w:pPr>
            <w:r>
              <w:rPr>
                <w:b/>
                <w:color w:val="FFFFFF"/>
                <w:sz w:val="14"/>
              </w:rPr>
            </w:r>
            <w:r>
              <w:rPr>
                <w:b/>
                <w:color w:val="FFFFFF"/>
                <w:sz w:val="14"/>
              </w:rPr>
              <w:t>Board Decision/Support</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Accelerate AI initiatives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Enterprise demand for AI-enabled products is increasing</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Fund high-value AI product features and pilots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Differentiated offerings and revenue growth</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Approve AI investment roadmap</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Diversify suppliers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Supplier concentration and raw material inflation remain material risks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Build dual-source plan for critical inputs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Improved resilience and margin protection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Review supplier concentration dashboard</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Improve cybersecurity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Cybersecurity is a top enterprise risk</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Strengthen monitoring, identity controls, response readiness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Reduced operational and reputational exposure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Support prioritized security funding</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Expand APAC investments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Asia Pacific exceeded targets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Increase sales coverage, alliances, and localized offerings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Higher regional growth contribution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Approve expanded APAC growth plan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Modernize customer experience</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Customers request predictive support and self-service portals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Accelerate service, portal, and analytics capabilities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Higher satisfaction and service efficiency</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Endorse digital CX modernization</w:t>
            </w:r>
          </w:p>
        </w:tc>
      </w:tr>
      <w:tr>
        <w:trPr>
          <w:cantSplit/>
        </w:trPr>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Stabilize logistics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Delays affected two product lines</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Create executive logistics recovery plan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Reduced fulfillment risk and customer friction</w:t>
            </w:r>
          </w:p>
        </w:tc>
        <w:tc>
          <w:tcPr>
            <w:tcW w:type="dxa" w:w="2045"/>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40" w:before="0"/>
            </w:pPr>
            <w:r>
              <w:rPr>
                <w:sz w:val="14"/>
              </w:rPr>
            </w:r>
            <w:r>
              <w:rPr>
                <w:b w:val="0"/>
                <w:sz w:val="14"/>
              </w:rPr>
              <w:t>Monitor monthly recovery metrics</w:t>
            </w:r>
          </w:p>
        </w:tc>
      </w:tr>
    </w:tbl>
    <w:tbl>
      <w:tblPr>
        <w:tblW w:type="auto" w:w="0"/>
        <w:jc w:val="center"/>
        <w:tblLook w:firstColumn="1" w:firstRow="1" w:lastColumn="0" w:lastRow="0" w:noHBand="0" w:noVBand="1" w:val="04A0"/>
      </w:tblPr>
      <w:tblGrid>
        <w:gridCol w:w="10224"/>
      </w:tblGrid>
      <w:tr>
        <w:trPr>
          <w:cantSplit/>
        </w:trPr>
        <w:tc>
          <w:tcPr>
            <w:tcW w:type="dxa" w:w="10224"/>
            <w:shd w:fill="D9EAF7"/>
            <w:tcBorders>
              <w:top w:val="single" w:sz="4" w:space="0" w:color="D9EAF7"/>
              <w:left w:val="single" w:sz="4" w:space="0" w:color="D9EAF7"/>
              <w:bottom w:val="single" w:sz="4" w:space="0" w:color="D9EAF7"/>
              <w:right w:val="single" w:sz="4" w:space="0" w:color="D9EAF7"/>
              <w:insideH w:val="single" w:sz="4" w:space="0" w:color="D9EAF7"/>
              <w:insideV w:val="single" w:sz="4" w:space="0" w:color="D9EAF7"/>
            </w:tcBorders>
          </w:tcPr>
          <w:p>
            <w:pPr>
              <w:spacing w:after="40"/>
            </w:pPr>
            <w:r>
              <w:rPr>
                <w:b/>
                <w:color w:val="1F4E79"/>
                <w:sz w:val="20"/>
              </w:rPr>
              <w:t>Closing perspective</w:t>
            </w:r>
          </w:p>
          <w:p>
            <w:pPr>
              <w:spacing w:after="0"/>
            </w:pPr>
            <w:r>
              <w:rPr>
                <w:sz w:val="18"/>
              </w:rPr>
              <w:t>Q2 results show clear business momentum and improving operational discipline. The highest-value board focus is to protect growth, strengthen resilience, and accelerate AI-enabled customer and product capabilities while keeping cybersecurity, supplier concentration, and margin pressure under active oversight.</w:t>
            </w:r>
          </w:p>
        </w:tc>
      </w:tr>
    </w:tbl>
    <w:p>
      <w:pPr>
        <w:widowControl/>
        <w:spacing w:after="40"/>
      </w:pPr>
    </w:p>
    <w:p>
      <w:pPr>
        <w:pStyle w:val="Heading2"/>
        <w:keepNext/>
        <w:spacing w:before="160" w:after="80"/>
      </w:pPr>
      <w:r>
        <w:rPr>
          <w:color w:val="2F75B5"/>
        </w:rPr>
        <w:t>Source and Lab Assumptions</w:t>
      </w:r>
    </w:p>
    <w:p>
      <w:pPr>
        <w:widowControl/>
        <w:spacing w:after="120"/>
      </w:pPr>
      <w:r>
        <w:t>This document expands the provided Q2 Executive Board Report for lab demonstration purposes. Where the source report did not provide specific quantitative values, the section identifies the gap and recommends board-ready KPIs rather than presenting unsupported figures.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Board of Directors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Contoso Manufacturing | Q2 Executive Business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Pramod Sunagar</dc:creator>
  <keywords/>
  <dc:description>generated by python-docx</dc:description>
  <lastModifiedBy>Pramod Sunagar</lastModifiedBy>
  <revision>1</revision>
  <dcterms:created xsi:type="dcterms:W3CDTF">2026-07-28T00:59:52.7109610Z</dcterms:created>
  <dcterms:modified xsi:type="dcterms:W3CDTF">2026-07-28T00:59:52.7109610Z</dcterms:modified>
  <category/>
</coreProperties>
</file>