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40"/>
        <w:jc w:val="center"/>
      </w:pPr>
      <w:r>
        <w:rPr>
          <w:b/>
          <w:color w:val="17365D"/>
          <w:sz w:val="52"/>
        </w:rPr>
        <w:t>Enterprise AI Transformation Strategy</w:t>
      </w:r>
    </w:p>
    <w:p>
      <w:pPr>
        <w:widowControl/>
        <w:jc w:val="center"/>
      </w:pPr>
      <w:r>
        <w:rPr>
          <w:color w:val="2F75B5"/>
          <w:sz w:val="30"/>
        </w:rPr>
        <w:t>Executive Presentation Lab</w:t>
      </w:r>
    </w:p>
    <w:p>
      <w:pPr>
        <w:widowControl/>
        <w:jc w:val="center"/>
      </w:pPr>
      <w:r>
        <w:rPr>
          <w:color w:val="666666"/>
          <w:sz w:val="21"/>
        </w:rPr>
        <w:t>A board-ready strategy narrative for responsible, measurable, and enterprise-wide AI adoption</w:t>
      </w:r>
    </w:p>
    <w:tbl>
      <w:tblPr>
        <w:tblW w:type="auto" w:w="0"/>
        <w:jc w:val="center"/>
        <w:tblLook w:firstColumn="1" w:firstRow="1" w:lastColumn="0" w:lastRow="0" w:noHBand="0" w:noVBand="1" w:val="04A0"/>
      </w:tblPr>
      <w:tblGrid>
        <w:gridCol w:w="10282"/>
      </w:tblGrid>
      <w:tr>
        <w:trPr>
          <w:cantSplit/>
        </w:trPr>
        <w:tc>
          <w:tcPr>
            <w:tcW w:type="dxa" w:w="10282"/>
            <w:shd w:fill="D9EAF7"/>
            <w:tcBorders>
              <w:top w:val="single" w:sz="4" w:space="0" w:color="A9C4DA"/>
              <w:left w:val="single" w:sz="4" w:space="0" w:color="A9C4DA"/>
              <w:bottom w:val="single" w:sz="4" w:space="0" w:color="A9C4DA"/>
              <w:right w:val="single" w:sz="4" w:space="0" w:color="A9C4DA"/>
              <w:insideH w:val="single" w:sz="4" w:space="0" w:color="A9C4DA"/>
              <w:insideV w:val="single" w:sz="4" w:space="0" w:color="A9C4DA"/>
            </w:tcBorders>
          </w:tcPr>
          <w:p>
            <w:pPr>
              <w:spacing w:after="40"/>
            </w:pPr>
            <w:r>
              <w:rPr>
                <w:b/>
                <w:color w:val="17365D"/>
                <w:sz w:val="20"/>
              </w:rPr>
              <w:t>Executive premise</w:t>
            </w:r>
          </w:p>
          <w:p>
            <w:pPr>
              <w:spacing w:after="0"/>
            </w:pPr>
            <w:r>
              <w:rPr>
                <w:sz w:val="17"/>
              </w:rPr>
              <w:t>AI transformation should be managed as an enterprise value program, not as a collection of technology pilots. The strategy must connect AI investments to measurable business outcomes, responsible governance, workforce adoption, customer impact, operational resilience, and competitive advantage.</w:t>
            </w:r>
          </w:p>
        </w:tc>
      </w:tr>
    </w:tbl>
    <w:p>
      <w:pPr>
        <w:widowControl/>
        <w:spacing w:after="40"/>
      </w:pPr>
    </w:p>
    <w:tbl>
      <w:tblPr>
        <w:tblW w:type="auto" w:w="0"/>
        <w:jc w:val="center"/>
        <w:tblLayout w:type="autofit"/>
        <w:tblLook w:firstColumn="1" w:firstRow="1" w:lastColumn="0" w:lastRow="0" w:noHBand="0" w:noVBand="1" w:val="04A0"/>
      </w:tblPr>
      <w:tblGrid>
        <w:gridCol w:w="5141"/>
        <w:gridCol w:w="5141"/>
      </w:tblGrid>
      <w:tr>
        <w:trPr>
          <w:cantSplit/>
        </w:trPr>
        <w:tc>
          <w:tcPr>
            <w:tcW w:type="dxa" w:w="5141"/>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3F7FB"/>
          </w:tcPr>
          <w:p>
            <w:pPr>
              <w:spacing w:after="20" w:line="245" w:lineRule="auto"/>
              <w:jc w:val="center"/>
            </w:pPr>
            <w:r>
              <w:rPr>
                <w:b/>
                <w:color w:val="FFFFFF"/>
                <w:sz w:val="17"/>
              </w:rPr>
            </w:r>
            <w:r>
              <w:rPr>
                <w:b/>
                <w:color w:val="FFFFFF"/>
                <w:sz w:val="17"/>
              </w:rPr>
              <w:t>Planning horizon</w:t>
            </w:r>
          </w:p>
        </w:tc>
        <w:tc>
          <w:tcPr>
            <w:tcW w:type="dxa" w:w="5141"/>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FFFFF"/>
          </w:tcPr>
          <w:p>
            <w:pPr>
              <w:spacing w:after="20" w:line="245" w:lineRule="auto"/>
              <w:jc w:val="center"/>
            </w:pPr>
            <w:r>
              <w:rPr>
                <w:b/>
                <w:color w:val="FFFFFF"/>
                <w:sz w:val="17"/>
              </w:rPr>
            </w:r>
            <w:r>
              <w:rPr>
                <w:b/>
                <w:color w:val="FFFFFF"/>
                <w:sz w:val="17"/>
              </w:rPr>
              <w:t>18-24 months</w:t>
            </w:r>
          </w:p>
        </w:tc>
      </w:tr>
      <w:tr>
        <w:trPr>
          <w:cantSplit/>
        </w:trPr>
        <w:tc>
          <w:tcPr>
            <w:tcW w:type="dxa" w:w="5141"/>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3F7FB"/>
          </w:tcPr>
          <w:p>
            <w:pPr>
              <w:spacing w:after="20" w:line="245" w:lineRule="auto"/>
            </w:pPr>
            <w:r>
              <w:rPr>
                <w:sz w:val="17"/>
              </w:rPr>
            </w:r>
            <w:r>
              <w:rPr>
                <w:b/>
                <w:color w:val="17365D"/>
                <w:sz w:val="17"/>
              </w:rPr>
              <w:t>Primary audience</w:t>
            </w:r>
          </w:p>
        </w:tc>
        <w:tc>
          <w:tcPr>
            <w:tcW w:type="dxa" w:w="5141"/>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FFFFF"/>
          </w:tcPr>
          <w:p>
            <w:pPr>
              <w:spacing w:after="20" w:line="245" w:lineRule="auto"/>
            </w:pPr>
            <w:r>
              <w:rPr>
                <w:sz w:val="17"/>
              </w:rPr>
            </w:r>
            <w:r>
              <w:rPr>
                <w:b w:val="0"/>
                <w:sz w:val="17"/>
              </w:rPr>
              <w:t>Board of Directors, executive leadership, transformation office, business unit leaders</w:t>
            </w:r>
          </w:p>
        </w:tc>
      </w:tr>
      <w:tr>
        <w:trPr>
          <w:cantSplit/>
        </w:trPr>
        <w:tc>
          <w:tcPr>
            <w:tcW w:type="dxa" w:w="5141"/>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3F7FB"/>
          </w:tcPr>
          <w:p>
            <w:pPr>
              <w:spacing w:after="20" w:line="245" w:lineRule="auto"/>
            </w:pPr>
            <w:r>
              <w:rPr>
                <w:sz w:val="17"/>
              </w:rPr>
            </w:r>
            <w:r>
              <w:rPr>
                <w:b/>
                <w:color w:val="17365D"/>
                <w:sz w:val="17"/>
              </w:rPr>
              <w:t>Transformation ambition</w:t>
            </w:r>
          </w:p>
        </w:tc>
        <w:tc>
          <w:tcPr>
            <w:tcW w:type="dxa" w:w="5141"/>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FFFFF"/>
          </w:tcPr>
          <w:p>
            <w:pPr>
              <w:spacing w:after="20" w:line="245" w:lineRule="auto"/>
            </w:pPr>
            <w:r>
              <w:rPr>
                <w:sz w:val="17"/>
              </w:rPr>
            </w:r>
            <w:r>
              <w:rPr>
                <w:b w:val="0"/>
                <w:sz w:val="17"/>
              </w:rPr>
              <w:t>Scale AI across customer, workforce, operational, product, and governance domains</w:t>
            </w:r>
          </w:p>
        </w:tc>
      </w:tr>
      <w:tr>
        <w:trPr>
          <w:cantSplit/>
        </w:trPr>
        <w:tc>
          <w:tcPr>
            <w:tcW w:type="dxa" w:w="5141"/>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3F7FB"/>
          </w:tcPr>
          <w:p>
            <w:pPr>
              <w:spacing w:after="20" w:line="245" w:lineRule="auto"/>
            </w:pPr>
            <w:r>
              <w:rPr>
                <w:sz w:val="17"/>
              </w:rPr>
            </w:r>
            <w:r>
              <w:rPr>
                <w:b/>
                <w:color w:val="17365D"/>
                <w:sz w:val="17"/>
              </w:rPr>
              <w:t>Key platforms and enablers</w:t>
            </w:r>
          </w:p>
        </w:tc>
        <w:tc>
          <w:tcPr>
            <w:tcW w:type="dxa" w:w="5141"/>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FFFFF"/>
          </w:tcPr>
          <w:p>
            <w:pPr>
              <w:spacing w:after="20" w:line="245" w:lineRule="auto"/>
            </w:pPr>
            <w:r>
              <w:rPr>
                <w:sz w:val="17"/>
              </w:rPr>
            </w:r>
            <w:r>
              <w:rPr>
                <w:b w:val="0"/>
                <w:sz w:val="17"/>
              </w:rPr>
              <w:t>Microsoft Copilot experiences, cloud data platform, automation, analytics, security, responsible AI governance</w:t>
            </w:r>
          </w:p>
        </w:tc>
      </w:tr>
      <w:tr>
        <w:trPr>
          <w:cantSplit/>
        </w:trPr>
        <w:tc>
          <w:tcPr>
            <w:tcW w:type="dxa" w:w="5141"/>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3F7FB"/>
          </w:tcPr>
          <w:p>
            <w:pPr>
              <w:spacing w:after="20" w:line="245" w:lineRule="auto"/>
            </w:pPr>
            <w:r>
              <w:rPr>
                <w:sz w:val="17"/>
              </w:rPr>
            </w:r>
            <w:r>
              <w:rPr>
                <w:b/>
                <w:color w:val="17365D"/>
                <w:sz w:val="17"/>
              </w:rPr>
              <w:t>Success principle</w:t>
            </w:r>
          </w:p>
        </w:tc>
        <w:tc>
          <w:tcPr>
            <w:tcW w:type="dxa" w:w="5141"/>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FFFFF"/>
          </w:tcPr>
          <w:p>
            <w:pPr>
              <w:spacing w:after="20" w:line="245" w:lineRule="auto"/>
            </w:pPr>
            <w:r>
              <w:rPr>
                <w:sz w:val="17"/>
              </w:rPr>
            </w:r>
            <w:r>
              <w:rPr>
                <w:b w:val="0"/>
                <w:sz w:val="17"/>
              </w:rPr>
              <w:t>AI value is realized through adoption, process redesign, trusted data, and accountable ownership</w:t>
            </w:r>
          </w:p>
        </w:tc>
      </w:tr>
      <w:tr>
        <w:trPr>
          <w:cantSplit/>
        </w:trPr>
        <w:tc>
          <w:tcPr>
            <w:tcW w:type="dxa" w:w="5141"/>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3F7FB"/>
          </w:tcPr>
          <w:p>
            <w:pPr>
              <w:spacing w:after="20" w:line="245" w:lineRule="auto"/>
            </w:pPr>
            <w:r>
              <w:rPr>
                <w:sz w:val="17"/>
              </w:rPr>
            </w:r>
            <w:r>
              <w:rPr>
                <w:b/>
                <w:color w:val="17365D"/>
                <w:sz w:val="17"/>
              </w:rPr>
              <w:t>Document purpose</w:t>
            </w:r>
          </w:p>
        </w:tc>
        <w:tc>
          <w:tcPr>
            <w:tcW w:type="dxa" w:w="5141"/>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FFFFFF"/>
          </w:tcPr>
          <w:p>
            <w:pPr>
              <w:spacing w:after="20" w:line="245" w:lineRule="auto"/>
            </w:pPr>
            <w:r>
              <w:rPr>
                <w:sz w:val="17"/>
              </w:rPr>
            </w:r>
            <w:r>
              <w:rPr>
                <w:b w:val="0"/>
                <w:sz w:val="17"/>
              </w:rPr>
              <w:t>Provide detailed source content for creating an executive AI transformation presentation</w:t>
            </w:r>
          </w:p>
        </w:tc>
      </w:tr>
    </w:tbl>
    <w:p>
      <w:pPr>
        <w:widowControl/>
      </w:pPr>
      <w:r>
        <w:br w:type="page"/>
      </w:r>
    </w:p>
    <w:p>
      <w:pPr>
        <w:pStyle w:val="Heading1"/>
        <w:keepNext/>
        <w:spacing w:before="160" w:after="80"/>
      </w:pPr>
      <w:r>
        <w:rPr>
          <w:color w:val="17365D"/>
        </w:rPr>
        <w:t>Contents</w:t>
      </w:r>
    </w:p>
    <w:p>
      <w:pPr>
        <w:widowControl/>
        <w:spacing w:after="40"/>
      </w:pPr>
      <w:r>
        <w:rPr>
          <w:b/>
          <w:color w:val="17365D"/>
          <w:sz w:val="20"/>
        </w:rPr>
        <w:t>1. Executive Summary</w:t>
      </w:r>
    </w:p>
    <w:p>
      <w:pPr>
        <w:widowControl/>
        <w:spacing w:after="40"/>
      </w:pPr>
      <w:r>
        <w:rPr>
          <w:b/>
          <w:color w:val="17365D"/>
          <w:sz w:val="20"/>
        </w:rPr>
        <w:t>2. AI Vision</w:t>
      </w:r>
    </w:p>
    <w:p>
      <w:pPr>
        <w:widowControl/>
        <w:spacing w:after="40"/>
      </w:pPr>
      <w:r>
        <w:rPr>
          <w:b w:val="0"/>
          <w:color w:val="000000"/>
          <w:sz w:val="20"/>
        </w:rPr>
        <w:t>3. Strategic Goals</w:t>
      </w:r>
    </w:p>
    <w:p>
      <w:pPr>
        <w:widowControl/>
        <w:spacing w:after="40"/>
      </w:pPr>
      <w:r>
        <w:rPr>
          <w:b w:val="0"/>
          <w:color w:val="000000"/>
          <w:sz w:val="20"/>
        </w:rPr>
        <w:t>4. Business Challenges</w:t>
      </w:r>
    </w:p>
    <w:p>
      <w:pPr>
        <w:widowControl/>
        <w:spacing w:after="40"/>
      </w:pPr>
      <w:r>
        <w:rPr>
          <w:b w:val="0"/>
          <w:color w:val="000000"/>
          <w:sz w:val="20"/>
        </w:rPr>
        <w:t>5. AI Opportunities</w:t>
      </w:r>
    </w:p>
    <w:p>
      <w:pPr>
        <w:widowControl/>
        <w:spacing w:after="40"/>
      </w:pPr>
      <w:r>
        <w:rPr>
          <w:b w:val="0"/>
          <w:color w:val="000000"/>
          <w:sz w:val="20"/>
        </w:rPr>
        <w:t>6. AI Governance</w:t>
      </w:r>
    </w:p>
    <w:p>
      <w:pPr>
        <w:widowControl/>
        <w:spacing w:after="40"/>
      </w:pPr>
      <w:r>
        <w:rPr>
          <w:b w:val="0"/>
          <w:color w:val="000000"/>
          <w:sz w:val="20"/>
        </w:rPr>
        <w:t>7. Responsible AI</w:t>
      </w:r>
    </w:p>
    <w:p>
      <w:pPr>
        <w:widowControl/>
        <w:spacing w:after="40"/>
      </w:pPr>
      <w:r>
        <w:rPr>
          <w:b/>
          <w:color w:val="17365D"/>
          <w:sz w:val="20"/>
        </w:rPr>
        <w:t>8. Implementation Roadmap</w:t>
      </w:r>
    </w:p>
    <w:p>
      <w:pPr>
        <w:widowControl/>
        <w:spacing w:after="40"/>
      </w:pPr>
      <w:r>
        <w:rPr>
          <w:b w:val="0"/>
          <w:color w:val="000000"/>
          <w:sz w:val="20"/>
        </w:rPr>
        <w:t>9. KPIs</w:t>
      </w:r>
    </w:p>
    <w:p>
      <w:pPr>
        <w:widowControl/>
        <w:spacing w:after="40"/>
      </w:pPr>
      <w:r>
        <w:rPr>
          <w:b/>
          <w:color w:val="17365D"/>
          <w:sz w:val="20"/>
        </w:rPr>
        <w:t>10. Investment Recommendations</w:t>
      </w:r>
    </w:p>
    <w:p>
      <w:pPr>
        <w:widowControl/>
      </w:pPr>
      <w:r>
        <w:br w:type="page"/>
      </w:r>
    </w:p>
    <w:p>
      <w:pPr>
        <w:pStyle w:val="Heading1"/>
        <w:keepNext/>
        <w:spacing w:before="160" w:after="80"/>
      </w:pPr>
      <w:r>
        <w:rPr>
          <w:color w:val="17365D"/>
        </w:rPr>
        <w:t>1. Executive Summary</w:t>
      </w:r>
    </w:p>
    <w:p>
      <w:pPr>
        <w:widowControl/>
        <w:spacing w:after="100"/>
      </w:pPr>
      <w:r>
        <w:t>The enterprise has a significant opportunity to use artificial intelligence to improve growth, productivity, customer experience, operational resilience, innovation velocity, and decision quality. However, AI value will not be achieved through experimentation alone. The organization must define a clear AI vision, prioritize high-value business use cases, modernize data and process foundations, establish responsible governance, and create a scalable adoption model for employees and leaders.</w:t>
      </w:r>
    </w:p>
    <w:p>
      <w:pPr>
        <w:widowControl/>
        <w:spacing w:after="100"/>
      </w:pPr>
      <w:r>
        <w:t>This strategy recommends a staged AI transformation program that begins with executive alignment and responsible AI governance, progresses through prioritized pilots, scales proven use cases across the enterprise, and embeds AI into everyday workflows and business operations. The transformation should be measured through business outcomes such as revenue uplift, margin improvement, cycle-time reduction, customer satisfaction, employee productivity, risk reduction, and innovation throughput.</w:t>
      </w:r>
    </w:p>
    <w:tbl>
      <w:tblPr>
        <w:tblW w:type="auto" w:w="0"/>
        <w:jc w:val="center"/>
        <w:tblLayout w:type="autofit"/>
        <w:tblLook w:firstColumn="1" w:firstRow="1" w:lastColumn="0" w:lastRow="0" w:noHBand="0" w:noVBand="1" w:val="04A0"/>
      </w:tblPr>
      <w:tblGrid>
        <w:gridCol w:w="2056"/>
        <w:gridCol w:w="2056"/>
        <w:gridCol w:w="2056"/>
        <w:gridCol w:w="2056"/>
        <w:gridCol w:w="2056"/>
      </w:tblGrid>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Strategic Theme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Enterprise Need</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AI Response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Business Outcome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Executive Priority</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Growth</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Identify new revenue and improve conversion</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AI-enabled products, customer insights, sales intelligence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Higher pipeline conversion and service revenue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Fund priority AI revenue use cases</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Productivity</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Reduce manual work and improve decision speed</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Copilot, automation, knowledge discovery, analytics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Qualified hours saved and faster execution</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Scale role-based adoption</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Customer experience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Deliver faster, proactive, and personalized service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Self-service assistants, predictive support, customer 360</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Higher satisfaction and lower cost-to-serve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Modernize customer journeys</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Operations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Improve resilience, quality, and predictability</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Predictive maintenance, demand sensing, exception management</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Reduced downtime and fulfillment delays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Build operational intelligence</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Governance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Use AI safely and responsibly</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AI policy, risk reviews, controls, monitoring</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Trusted and compliant AI adoption</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Approve enterprise AI governance</w:t>
            </w:r>
          </w:p>
        </w:tc>
      </w:tr>
    </w:tbl>
    <w:p>
      <w:pPr>
        <w:pStyle w:val="Heading1"/>
        <w:keepNext/>
        <w:spacing w:before="160" w:after="80"/>
      </w:pPr>
      <w:r>
        <w:rPr>
          <w:color w:val="17365D"/>
        </w:rPr>
        <w:t>2. AI Vision</w:t>
      </w:r>
    </w:p>
    <w:tbl>
      <w:tblPr>
        <w:tblW w:type="auto" w:w="0"/>
        <w:jc w:val="center"/>
        <w:tblLook w:firstColumn="1" w:firstRow="1" w:lastColumn="0" w:lastRow="0" w:noHBand="0" w:noVBand="1" w:val="04A0"/>
      </w:tblPr>
      <w:tblGrid>
        <w:gridCol w:w="10282"/>
      </w:tblGrid>
      <w:tr>
        <w:trPr>
          <w:cantSplit/>
        </w:trPr>
        <w:tc>
          <w:tcPr>
            <w:tcW w:type="dxa" w:w="10282"/>
            <w:shd w:fill="F3F7FB"/>
            <w:tcBorders>
              <w:top w:val="single" w:sz="4" w:space="0" w:color="A9C4DA"/>
              <w:left w:val="single" w:sz="4" w:space="0" w:color="A9C4DA"/>
              <w:bottom w:val="single" w:sz="4" w:space="0" w:color="A9C4DA"/>
              <w:right w:val="single" w:sz="4" w:space="0" w:color="A9C4DA"/>
              <w:insideH w:val="single" w:sz="4" w:space="0" w:color="A9C4DA"/>
              <w:insideV w:val="single" w:sz="4" w:space="0" w:color="A9C4DA"/>
            </w:tcBorders>
          </w:tcPr>
          <w:p>
            <w:pPr>
              <w:spacing w:after="40"/>
            </w:pPr>
            <w:r>
              <w:rPr>
                <w:b/>
                <w:color w:val="17365D"/>
                <w:sz w:val="20"/>
              </w:rPr>
              <w:t>AI Vision Statement</w:t>
            </w:r>
          </w:p>
          <w:p>
            <w:pPr>
              <w:spacing w:after="0"/>
            </w:pPr>
            <w:r>
              <w:rPr>
                <w:sz w:val="17"/>
              </w:rPr>
              <w:t>Create an AI-enabled enterprise where people, data, and intelligent systems work together to deliver superior customer outcomes, faster decisions, resilient operations, sustainable growth, and responsible innovation.</w:t>
            </w:r>
          </w:p>
        </w:tc>
      </w:tr>
    </w:tbl>
    <w:p>
      <w:pPr>
        <w:widowControl/>
        <w:spacing w:after="40"/>
      </w:pPr>
    </w:p>
    <w:p>
      <w:pPr>
        <w:widowControl/>
        <w:spacing w:after="100"/>
      </w:pPr>
      <w:r>
        <w:t>The AI vision is anchored in three principles: business-led prioritization, responsible-by-design governance, and adoption at scale. AI should enhance human judgment, automate low-value work, improve access to trusted knowledge, reveal operational patterns, and create differentiated products and services.</w:t>
      </w:r>
    </w:p>
    <w:tbl>
      <w:tblPr>
        <w:tblW w:type="auto" w:w="0"/>
        <w:jc w:val="center"/>
        <w:tblLayout w:type="autofit"/>
        <w:tblLook w:firstColumn="1" w:firstRow="1" w:lastColumn="0" w:lastRow="0" w:noHBand="0" w:noVBand="1" w:val="04A0"/>
      </w:tblPr>
      <w:tblGrid>
        <w:gridCol w:w="2570"/>
        <w:gridCol w:w="2570"/>
        <w:gridCol w:w="2570"/>
        <w:gridCol w:w="2570"/>
      </w:tblGrid>
      <w:tr>
        <w:trPr>
          <w:cantSplit/>
        </w:trPr>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5"/>
              </w:rPr>
            </w:r>
            <w:r>
              <w:rPr>
                <w:b/>
                <w:color w:val="FFFFFF"/>
                <w:sz w:val="15"/>
              </w:rPr>
              <w:t>Vision Pillar</w:t>
            </w:r>
          </w:p>
        </w:tc>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5"/>
              </w:rPr>
            </w:r>
            <w:r>
              <w:rPr>
                <w:b/>
                <w:color w:val="FFFFFF"/>
                <w:sz w:val="15"/>
              </w:rPr>
              <w:t>What It Means</w:t>
            </w:r>
          </w:p>
        </w:tc>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5"/>
              </w:rPr>
            </w:r>
            <w:r>
              <w:rPr>
                <w:b/>
                <w:color w:val="FFFFFF"/>
                <w:sz w:val="15"/>
              </w:rPr>
              <w:t>Example Capability</w:t>
            </w:r>
          </w:p>
        </w:tc>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5"/>
              </w:rPr>
            </w:r>
            <w:r>
              <w:rPr>
                <w:b/>
                <w:color w:val="FFFFFF"/>
                <w:sz w:val="15"/>
              </w:rPr>
              <w:t>Leadership Implication</w:t>
            </w:r>
          </w:p>
        </w:tc>
      </w:tr>
      <w:tr>
        <w:trPr>
          <w:cantSplit/>
        </w:trPr>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5"/>
              </w:rPr>
            </w:r>
            <w:r>
              <w:rPr>
                <w:b w:val="0"/>
                <w:sz w:val="15"/>
              </w:rPr>
              <w:t>Customer-centric AI</w:t>
            </w:r>
          </w:p>
        </w:tc>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5"/>
              </w:rPr>
            </w:r>
            <w:r>
              <w:rPr>
                <w:b w:val="0"/>
                <w:sz w:val="15"/>
              </w:rPr>
              <w:t>Use AI to anticipate needs and remove friction</w:t>
            </w:r>
          </w:p>
        </w:tc>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5"/>
              </w:rPr>
            </w:r>
            <w:r>
              <w:rPr>
                <w:b w:val="0"/>
                <w:sz w:val="15"/>
              </w:rPr>
              <w:t>Predictive support, conversational service, personalization</w:t>
            </w:r>
          </w:p>
        </w:tc>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5"/>
              </w:rPr>
            </w:r>
            <w:r>
              <w:rPr>
                <w:b w:val="0"/>
                <w:sz w:val="15"/>
              </w:rPr>
              <w:t>Measure customer impact, not chatbot deployment</w:t>
            </w:r>
          </w:p>
        </w:tc>
      </w:tr>
      <w:tr>
        <w:trPr>
          <w:cantSplit/>
        </w:trPr>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5"/>
              </w:rPr>
            </w:r>
            <w:r>
              <w:rPr>
                <w:b w:val="0"/>
                <w:sz w:val="15"/>
              </w:rPr>
              <w:t>Empowered workforce</w:t>
            </w:r>
          </w:p>
        </w:tc>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5"/>
              </w:rPr>
            </w:r>
            <w:r>
              <w:rPr>
                <w:b w:val="0"/>
                <w:sz w:val="15"/>
              </w:rPr>
              <w:t>Give employees AI assistance inside daily work</w:t>
            </w:r>
          </w:p>
        </w:tc>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5"/>
              </w:rPr>
            </w:r>
            <w:r>
              <w:rPr>
                <w:b w:val="0"/>
                <w:sz w:val="15"/>
              </w:rPr>
              <w:t>Copilot for meetings, documents, analysis, search</w:t>
            </w:r>
          </w:p>
        </w:tc>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5"/>
              </w:rPr>
            </w:r>
            <w:r>
              <w:rPr>
                <w:b w:val="0"/>
                <w:sz w:val="15"/>
              </w:rPr>
              <w:t>Reinforce adoption through managers and champions</w:t>
            </w:r>
          </w:p>
        </w:tc>
      </w:tr>
      <w:tr>
        <w:trPr>
          <w:cantSplit/>
        </w:trPr>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5"/>
              </w:rPr>
            </w:r>
            <w:r>
              <w:rPr>
                <w:b w:val="0"/>
                <w:sz w:val="15"/>
              </w:rPr>
              <w:t>Intelligent operations</w:t>
            </w:r>
          </w:p>
        </w:tc>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5"/>
              </w:rPr>
            </w:r>
            <w:r>
              <w:rPr>
                <w:b w:val="0"/>
                <w:sz w:val="15"/>
              </w:rPr>
              <w:t>Use AI to improve quality, resilience, and speed</w:t>
            </w:r>
          </w:p>
        </w:tc>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5"/>
              </w:rPr>
            </w:r>
            <w:r>
              <w:rPr>
                <w:b w:val="0"/>
                <w:sz w:val="15"/>
              </w:rPr>
              <w:t>Predictive maintenance, anomaly detection, control towers</w:t>
            </w:r>
          </w:p>
        </w:tc>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5"/>
              </w:rPr>
            </w:r>
            <w:r>
              <w:rPr>
                <w:b w:val="0"/>
                <w:sz w:val="15"/>
              </w:rPr>
              <w:t>Connect AI to operational KPIs and accountability</w:t>
            </w:r>
          </w:p>
        </w:tc>
      </w:tr>
      <w:tr>
        <w:trPr>
          <w:cantSplit/>
        </w:trPr>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5"/>
              </w:rPr>
            </w:r>
            <w:r>
              <w:rPr>
                <w:b w:val="0"/>
                <w:sz w:val="15"/>
              </w:rPr>
              <w:t>Responsible innovation</w:t>
            </w:r>
          </w:p>
        </w:tc>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5"/>
              </w:rPr>
            </w:r>
            <w:r>
              <w:rPr>
                <w:b w:val="0"/>
                <w:sz w:val="15"/>
              </w:rPr>
              <w:t>Build trust into AI design and use</w:t>
            </w:r>
          </w:p>
        </w:tc>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5"/>
              </w:rPr>
            </w:r>
            <w:r>
              <w:rPr>
                <w:b w:val="0"/>
                <w:sz w:val="15"/>
              </w:rPr>
              <w:t>Governance, human oversight, privacy, explainability</w:t>
            </w:r>
          </w:p>
        </w:tc>
        <w:tc>
          <w:tcPr>
            <w:tcW w:type="dxa" w:w="257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5"/>
              </w:rPr>
            </w:r>
            <w:r>
              <w:rPr>
                <w:b w:val="0"/>
                <w:sz w:val="15"/>
              </w:rPr>
              <w:t>Approve policy, risk tiers, and review cadence</w:t>
            </w:r>
          </w:p>
        </w:tc>
      </w:tr>
    </w:tbl>
    <w:p>
      <w:pPr>
        <w:pStyle w:val="Heading1"/>
        <w:keepNext/>
        <w:spacing w:before="160" w:after="80"/>
      </w:pPr>
      <w:r>
        <w:rPr>
          <w:color w:val="17365D"/>
        </w:rPr>
        <w:t>3. Strategic Goals</w:t>
      </w:r>
    </w:p>
    <w:p>
      <w:pPr>
        <w:widowControl/>
        <w:spacing w:after="100"/>
      </w:pPr>
      <w:r>
        <w:t>The strategy should convert the AI vision into a focused portfolio of measurable goals. Each goal should have an accountable business owner, clear value hypothesis, required capabilities, adoption plan, and success metrics.</w:t>
      </w:r>
    </w:p>
    <w:tbl>
      <w:tblPr>
        <w:tblW w:type="auto" w:w="0"/>
        <w:jc w:val="center"/>
        <w:tblLayout w:type="autofit"/>
        <w:tblLook w:firstColumn="1" w:firstRow="1" w:lastColumn="0" w:lastRow="0" w:noHBand="0" w:noVBand="1" w:val="04A0"/>
      </w:tblPr>
      <w:tblGrid>
        <w:gridCol w:w="2056"/>
        <w:gridCol w:w="2056"/>
        <w:gridCol w:w="2056"/>
        <w:gridCol w:w="2056"/>
        <w:gridCol w:w="2056"/>
      </w:tblGrid>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4"/>
              </w:rPr>
            </w:r>
            <w:r>
              <w:rPr>
                <w:b/>
                <w:color w:val="FFFFFF"/>
                <w:sz w:val="14"/>
              </w:rPr>
              <w:t>Goal</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4"/>
              </w:rPr>
            </w:r>
            <w:r>
              <w:rPr>
                <w:b/>
                <w:color w:val="FFFFFF"/>
                <w:sz w:val="14"/>
              </w:rPr>
              <w:t>Target Outcome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4"/>
              </w:rPr>
            </w:r>
            <w:r>
              <w:rPr>
                <w:b/>
                <w:color w:val="FFFFFF"/>
                <w:sz w:val="14"/>
              </w:rPr>
              <w:t>Priority Use Cases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4"/>
              </w:rPr>
            </w:r>
            <w:r>
              <w:rPr>
                <w:b/>
                <w:color w:val="FFFFFF"/>
                <w:sz w:val="14"/>
              </w:rPr>
              <w:t>Primary KPI</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4"/>
              </w:rPr>
            </w:r>
            <w:r>
              <w:rPr>
                <w:b/>
                <w:color w:val="FFFFFF"/>
                <w:sz w:val="14"/>
              </w:rPr>
              <w:t>Owner</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Accelerate revenue growth</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Increase AI-enabled and digital revenue contribution</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Sales intelligence, price optimization, AI-enabled product features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Revenue uplift and conversion rate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CRO/Product Leader</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Improve productivity</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Reduce time spent on low-value tasks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Copilot, workflow automation, knowledge search</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Qualified hours saved and task cycle time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CHRO/CIO</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Modernize customer experience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Improve satisfaction and service responsiveness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Self-service assistant, predictive support, customer 360</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CSAT/NPS and resolution speed</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CX Leader</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Strengthen operations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Improve predictability, uptime, and quality</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Predictive maintenance, demand sensing, anomaly detection</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Downtime reduction and on-time delivery</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COO</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Embed responsible AI</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Ensure safe, compliant, trusted deployment</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Use case intake, risk assessment, policy enforcement</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Governed use cases and risk closure rate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4"/>
              </w:rPr>
            </w:r>
            <w:r>
              <w:rPr>
                <w:b w:val="0"/>
                <w:sz w:val="14"/>
              </w:rPr>
              <w:t>CISO/Legal/CIO</w:t>
            </w:r>
          </w:p>
        </w:tc>
      </w:tr>
    </w:tbl>
    <w:p>
      <w:pPr>
        <w:pStyle w:val="Heading1"/>
        <w:keepNext/>
        <w:spacing w:before="160" w:after="80"/>
      </w:pPr>
      <w:r>
        <w:rPr>
          <w:color w:val="17365D"/>
        </w:rPr>
        <w:t>4. Business Challenges</w:t>
      </w:r>
    </w:p>
    <w:p>
      <w:pPr>
        <w:widowControl/>
        <w:spacing w:after="100"/>
      </w:pPr>
      <w:r>
        <w:t>The current business environment creates pressure to improve digital speed, customer responsiveness, operational resilience, and workforce productivity. AI can help address these challenges, but only if the enterprise first clarifies pain points and connects AI initiatives to specific business processes.</w:t>
      </w:r>
    </w:p>
    <w:tbl>
      <w:tblPr>
        <w:tblW w:type="auto" w:w="0"/>
        <w:jc w:val="center"/>
        <w:tblLayout w:type="autofit"/>
        <w:tblLook w:firstColumn="1" w:firstRow="1" w:lastColumn="0" w:lastRow="0" w:noHBand="0" w:noVBand="1" w:val="04A0"/>
      </w:tblPr>
      <w:tblGrid>
        <w:gridCol w:w="2056"/>
        <w:gridCol w:w="2056"/>
        <w:gridCol w:w="2056"/>
        <w:gridCol w:w="2056"/>
        <w:gridCol w:w="2056"/>
      </w:tblGrid>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Challenge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Business Impact</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Likely Root Cause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AI-Relevant Response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Priority</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Fragmented knowledge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Employees spend time searching and recreating information</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Content spread across files, chats, systems, and teams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AI-assisted enterprise search and knowledge management</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High</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Reactive customer service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Longer resolution times and higher service costs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Limited predictive insights and manual triage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AI case routing, support summarization, self-service assistant</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High</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Manual workflows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Slow execution and inconsistent quality</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Process steps depend on email, spreadsheets, and manual reviews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Automation plus AI-assisted approvals and exception handling</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High</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Operational variability</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Downtime, logistics issues, and quality variation</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Limited predictive visibility across operations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Predictive analytics, monitoring, anomaly detection</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High</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Data readiness gaps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AI use cases delayed or unreliable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Siloed data, weak ownership, inconsistent quality</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Data governance, catalog, quality rules, semantic layer</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High</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AI risk uncertainty</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Leaders hesitate to scale without trust controls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Policy, privacy, security, and accountability concerns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Responsible AI governance and risk-tiered approvals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High</w:t>
            </w:r>
          </w:p>
        </w:tc>
      </w:tr>
    </w:tbl>
    <w:p>
      <w:pPr>
        <w:pStyle w:val="Heading1"/>
        <w:keepNext/>
        <w:spacing w:before="160" w:after="80"/>
      </w:pPr>
      <w:r>
        <w:rPr>
          <w:color w:val="17365D"/>
        </w:rPr>
        <w:t>5. AI Opportunities</w:t>
      </w:r>
    </w:p>
    <w:p>
      <w:pPr>
        <w:widowControl/>
        <w:spacing w:after="100"/>
      </w:pPr>
      <w:r>
        <w:t>AI opportunities should be prioritized based on business value, feasibility, data readiness, risk level, adoption effort, and reusability across functions. The portfolio should include quick wins that build confidence and strategic use cases that transform the operating model.</w:t>
      </w:r>
    </w:p>
    <w:tbl>
      <w:tblPr>
        <w:tblW w:type="auto" w:w="0"/>
        <w:jc w:val="center"/>
        <w:tblLayout w:type="autofit"/>
        <w:tblLook w:firstColumn="1" w:firstRow="1" w:lastColumn="0" w:lastRow="0" w:noHBand="0" w:noVBand="1" w:val="04A0"/>
      </w:tblPr>
      <w:tblGrid>
        <w:gridCol w:w="1714"/>
        <w:gridCol w:w="1714"/>
        <w:gridCol w:w="1714"/>
        <w:gridCol w:w="1714"/>
        <w:gridCol w:w="1714"/>
        <w:gridCol w:w="1714"/>
      </w:tblGrid>
      <w:tr>
        <w:trPr>
          <w:cantSplit/>
        </w:trPr>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2"/>
              </w:rPr>
            </w:r>
            <w:r>
              <w:rPr>
                <w:b/>
                <w:color w:val="FFFFFF"/>
                <w:sz w:val="12"/>
              </w:rPr>
              <w:t>Opportunity</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2"/>
              </w:rPr>
            </w:r>
            <w:r>
              <w:rPr>
                <w:b/>
                <w:color w:val="FFFFFF"/>
                <w:sz w:val="12"/>
              </w:rPr>
              <w:t>Illustrative Use Cases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2"/>
              </w:rPr>
            </w:r>
            <w:r>
              <w:rPr>
                <w:b/>
                <w:color w:val="FFFFFF"/>
                <w:sz w:val="12"/>
              </w:rPr>
              <w:t>Value Lever</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2"/>
              </w:rPr>
            </w:r>
            <w:r>
              <w:rPr>
                <w:b/>
                <w:color w:val="FFFFFF"/>
                <w:sz w:val="12"/>
              </w:rPr>
              <w:t>Data/Tech Dependency</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2"/>
              </w:rPr>
            </w:r>
            <w:r>
              <w:rPr>
                <w:b/>
                <w:color w:val="FFFFFF"/>
                <w:sz w:val="12"/>
              </w:rPr>
              <w:t>Risk Level</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2"/>
              </w:rPr>
            </w:r>
            <w:r>
              <w:rPr>
                <w:b/>
                <w:color w:val="FFFFFF"/>
                <w:sz w:val="12"/>
              </w:rPr>
              <w:t>Time Horizon</w:t>
            </w:r>
          </w:p>
        </w:tc>
      </w:tr>
      <w:tr>
        <w:trPr>
          <w:cantSplit/>
        </w:trPr>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Copilot productivity</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Meeting summaries, document drafting, analysis support, email triage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Efficiency and decision speed</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Secure Microsoft 365 data, adoption analytics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2"/>
              </w:rPr>
            </w:r>
            <w:r>
              <w:rPr>
                <w:b w:val="0"/>
                <w:sz w:val="12"/>
              </w:rPr>
              <w:t>Low-Medium</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2"/>
              </w:rPr>
            </w:r>
            <w:r>
              <w:rPr>
                <w:b w:val="0"/>
                <w:sz w:val="12"/>
              </w:rPr>
              <w:t>0-3 months</w:t>
            </w:r>
          </w:p>
        </w:tc>
      </w:tr>
      <w:tr>
        <w:trPr>
          <w:cantSplit/>
        </w:trPr>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Customer service AI</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Virtual assistant, case summarization, predictive support</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Customer satisfaction and cost-to-serve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CRM, knowledge base, service history</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2"/>
              </w:rPr>
            </w:r>
            <w:r>
              <w:rPr>
                <w:b w:val="0"/>
                <w:sz w:val="12"/>
              </w:rPr>
              <w:t>Medium</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2"/>
              </w:rPr>
            </w:r>
            <w:r>
              <w:rPr>
                <w:b w:val="0"/>
                <w:sz w:val="12"/>
              </w:rPr>
              <w:t>3-9 months</w:t>
            </w:r>
          </w:p>
        </w:tc>
      </w:tr>
      <w:tr>
        <w:trPr>
          <w:cantSplit/>
        </w:trPr>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Sales and revenue intelligence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Lead scoring, next-best action, account insights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Revenue growth and win rate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CRM, sales activity, product/customer data</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2"/>
              </w:rPr>
            </w:r>
            <w:r>
              <w:rPr>
                <w:b w:val="0"/>
                <w:sz w:val="12"/>
              </w:rPr>
              <w:t>Medium</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2"/>
              </w:rPr>
            </w:r>
            <w:r>
              <w:rPr>
                <w:b w:val="0"/>
                <w:sz w:val="12"/>
              </w:rPr>
              <w:t>3-9 months</w:t>
            </w:r>
          </w:p>
        </w:tc>
      </w:tr>
      <w:tr>
        <w:trPr>
          <w:cantSplit/>
        </w:trPr>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Operational intelligence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Predictive maintenance, anomaly detection, demand sensing</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Downtime reduction and margin improvement</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IoT/operations data, analytics platform</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2"/>
              </w:rPr>
            </w:r>
            <w:r>
              <w:rPr>
                <w:b w:val="0"/>
                <w:sz w:val="12"/>
              </w:rPr>
              <w:t>Medium-High</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2"/>
              </w:rPr>
            </w:r>
            <w:r>
              <w:rPr>
                <w:b w:val="0"/>
                <w:sz w:val="12"/>
              </w:rPr>
              <w:t>6-12 months</w:t>
            </w:r>
          </w:p>
        </w:tc>
      </w:tr>
      <w:tr>
        <w:trPr>
          <w:cantSplit/>
        </w:trPr>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AI-enabled products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Embedded recommendations, predictive features, smart assistants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Differentiation and new revenue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Product telemetry, model governance, UX design</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2"/>
              </w:rPr>
            </w:r>
            <w:r>
              <w:rPr>
                <w:b w:val="0"/>
                <w:sz w:val="12"/>
              </w:rPr>
              <w:t>Medium-High</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2"/>
              </w:rPr>
            </w:r>
            <w:r>
              <w:rPr>
                <w:b w:val="0"/>
                <w:sz w:val="12"/>
              </w:rPr>
              <w:t>6-18 months</w:t>
            </w:r>
          </w:p>
        </w:tc>
      </w:tr>
      <w:tr>
        <w:trPr>
          <w:cantSplit/>
        </w:trPr>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Risk and compliance AI</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Policy monitoring, contract review, control testing</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Risk reduction and audit readiness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Legal/compliance data, workflow controls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2"/>
              </w:rPr>
            </w:r>
            <w:r>
              <w:rPr>
                <w:b w:val="0"/>
                <w:sz w:val="12"/>
              </w:rPr>
              <w:t>Medium</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2"/>
              </w:rPr>
            </w:r>
            <w:r>
              <w:rPr>
                <w:b w:val="0"/>
                <w:sz w:val="12"/>
              </w:rPr>
              <w:t>6-12 months</w:t>
            </w:r>
          </w:p>
        </w:tc>
      </w:tr>
    </w:tbl>
    <w:p>
      <w:pPr>
        <w:pStyle w:val="Heading1"/>
        <w:keepNext/>
        <w:spacing w:before="160" w:after="80"/>
      </w:pPr>
      <w:r>
        <w:rPr>
          <w:color w:val="17365D"/>
        </w:rPr>
        <w:t>6. AI Governance</w:t>
      </w:r>
    </w:p>
    <w:p>
      <w:pPr>
        <w:widowControl/>
        <w:spacing w:after="100"/>
      </w:pPr>
      <w:r>
        <w:t>AI governance should provide the structure for deciding which AI use cases are approved, how risks are assessed, how data is protected, and how benefits are tracked. Governance must be lightweight enough to support innovation and strong enough to protect the enterprise.</w:t>
      </w:r>
    </w:p>
    <w:tbl>
      <w:tblPr>
        <w:tblW w:type="auto" w:w="0"/>
        <w:jc w:val="center"/>
        <w:tblLayout w:type="autofit"/>
        <w:tblLook w:firstColumn="1" w:firstRow="1" w:lastColumn="0" w:lastRow="0" w:noHBand="0" w:noVBand="1" w:val="04A0"/>
      </w:tblPr>
      <w:tblGrid>
        <w:gridCol w:w="2056"/>
        <w:gridCol w:w="2056"/>
        <w:gridCol w:w="2056"/>
        <w:gridCol w:w="2056"/>
        <w:gridCol w:w="2056"/>
      </w:tblGrid>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Governance Component</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Purpose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Key Activities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Decision Output</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Cadence</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AI Steering Committee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Provide executive prioritization and funding oversight</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Review portfolio, value, risks, and dependencies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Approve roadmap and investment shifts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Monthly</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Responsible AI Review Board</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Evaluate ethical, legal, privacy, and security risks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Classify use cases, review controls, verify human oversight</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Approve, conditionally approve, or reject use cases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Biweekly/Monthly</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Use Case Intake Process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Standardize demand capture and prioritization</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Capture problem statement, value, data needs, risk tier, owner</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Ranked use case backlog</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Continuous</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Data Governance Council</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Ensure trusted, secure, high-quality data</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Define owners, quality rules, access policies, semantic definitions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Data readiness decisions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Monthly</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Benefits Realization Office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Track outcomes and adoption</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Measure KPIs, financials, adoption, and operating impact</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Quarterly value report</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Quarterly</w:t>
            </w:r>
          </w:p>
        </w:tc>
      </w:tr>
    </w:tbl>
    <w:p>
      <w:pPr>
        <w:pStyle w:val="Heading1"/>
        <w:keepNext/>
        <w:spacing w:before="160" w:after="80"/>
      </w:pPr>
      <w:r>
        <w:rPr>
          <w:color w:val="17365D"/>
        </w:rPr>
        <w:t>7. Responsible AI</w:t>
      </w:r>
    </w:p>
    <w:p>
      <w:pPr>
        <w:widowControl/>
        <w:spacing w:after="100"/>
      </w:pPr>
      <w:r>
        <w:t>Responsible AI should be embedded from the first use case discussion through design, deployment, monitoring, and retirement. The enterprise should adopt practical guardrails that address fairness, reliability, safety, privacy, security, transparency, accountability, and human oversight.</w:t>
      </w:r>
    </w:p>
    <w:tbl>
      <w:tblPr>
        <w:tblW w:type="auto" w:w="0"/>
        <w:jc w:val="center"/>
        <w:tblLayout w:type="autofit"/>
        <w:tblLook w:firstColumn="1" w:firstRow="1" w:lastColumn="0" w:lastRow="0" w:noHBand="0" w:noVBand="1" w:val="04A0"/>
      </w:tblPr>
      <w:tblGrid>
        <w:gridCol w:w="2056"/>
        <w:gridCol w:w="2056"/>
        <w:gridCol w:w="2056"/>
        <w:gridCol w:w="2056"/>
        <w:gridCol w:w="2056"/>
      </w:tblGrid>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Principle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Enterprise Control</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Example Practice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Evidence Required</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Owner</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Accountability</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Named business and technical owners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Use case owner signs off on value and risk</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Owner, approver, and review record</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Business Owner</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Transparency</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Document AI purpose, limitations, and user guidance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User-facing disclosure and training notes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Model card or use case brief</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AI Review Board</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Privacy and security</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Protect sensitive data and enforce access controls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Data classification, DLP, secure prompts, least privilege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Security and privacy assessment</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CISO/DPO</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Reliability and safety</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Test outputs before production scale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Validation, fallback process, monitoring thresholds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Test results and monitoring plan</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Product/IT Owner</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Human oversight</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Keep humans in control for material decisions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Approval workflows for high-impact decisions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Human-in-loop design evidence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Process Owner</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Fairness and inclusion</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Assess risk of unfair impact</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Bias checks where people-impacting decisions are involved</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Risk assessment and mitigation log</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Legal/HR/Compliance</w:t>
            </w:r>
          </w:p>
        </w:tc>
      </w:tr>
    </w:tbl>
    <w:p>
      <w:pPr>
        <w:pStyle w:val="Heading1"/>
        <w:keepNext/>
        <w:spacing w:before="160" w:after="80"/>
      </w:pPr>
      <w:r>
        <w:rPr>
          <w:color w:val="17365D"/>
        </w:rPr>
        <w:t>8. Implementation Roadmap</w:t>
      </w:r>
    </w:p>
    <w:p>
      <w:pPr>
        <w:widowControl/>
        <w:spacing w:after="100"/>
      </w:pPr>
      <w:r>
        <w:t>The recommended roadmap is phased to balance speed, governance, adoption, and scalability. Each phase should end with an executive decision gate based on readiness, risk, value, and adoption evidence.</w:t>
      </w:r>
    </w:p>
    <w:tbl>
      <w:tblPr>
        <w:tblW w:type="auto" w:w="0"/>
        <w:jc w:val="center"/>
        <w:tblLayout w:type="autofit"/>
        <w:tblLook w:firstColumn="1" w:firstRow="1" w:lastColumn="0" w:lastRow="0" w:noHBand="0" w:noVBand="1" w:val="04A0"/>
      </w:tblPr>
      <w:tblGrid>
        <w:gridCol w:w="1714"/>
        <w:gridCol w:w="1714"/>
        <w:gridCol w:w="1714"/>
        <w:gridCol w:w="1714"/>
        <w:gridCol w:w="1714"/>
        <w:gridCol w:w="1714"/>
      </w:tblGrid>
      <w:tr>
        <w:trPr>
          <w:cantSplit/>
        </w:trPr>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2"/>
              </w:rPr>
            </w:r>
            <w:r>
              <w:rPr>
                <w:b/>
                <w:color w:val="FFFFFF"/>
                <w:sz w:val="12"/>
              </w:rPr>
              <w:t>Phase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2"/>
              </w:rPr>
            </w:r>
            <w:r>
              <w:rPr>
                <w:b/>
                <w:color w:val="FFFFFF"/>
                <w:sz w:val="12"/>
              </w:rPr>
              <w:t>Timeline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2"/>
              </w:rPr>
            </w:r>
            <w:r>
              <w:rPr>
                <w:b/>
                <w:color w:val="FFFFFF"/>
                <w:sz w:val="12"/>
              </w:rPr>
              <w:t>Focus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2"/>
              </w:rPr>
            </w:r>
            <w:r>
              <w:rPr>
                <w:b/>
                <w:color w:val="FFFFFF"/>
                <w:sz w:val="12"/>
              </w:rPr>
              <w:t>Major Deliverables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2"/>
              </w:rPr>
            </w:r>
            <w:r>
              <w:rPr>
                <w:b/>
                <w:color w:val="FFFFFF"/>
                <w:sz w:val="12"/>
              </w:rPr>
              <w:t>Exit Criteria</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2"/>
              </w:rPr>
            </w:r>
            <w:r>
              <w:rPr>
                <w:b/>
                <w:color w:val="FFFFFF"/>
                <w:sz w:val="12"/>
              </w:rPr>
              <w:t>Executive Decision</w:t>
            </w:r>
          </w:p>
        </w:tc>
      </w:tr>
      <w:tr>
        <w:trPr>
          <w:cantSplit/>
        </w:trPr>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Phase 1: Align and Govern</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0-60 days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Strategy, ownership, policy, value baseline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AI charter, governance model, use case intake, KPI baseline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Steering committee active and backlog approved</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Approve initial portfolio</w:t>
            </w:r>
          </w:p>
        </w:tc>
      </w:tr>
      <w:tr>
        <w:trPr>
          <w:cantSplit/>
        </w:trPr>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Phase 2: Pilot and Prove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2-6 months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High-value controlled pilots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Copilot pilots, customer service AI pilot, operational analytics proof of value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Adoption, risk, and value evidence obtained</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Scale, refine, or stop pilots</w:t>
            </w:r>
          </w:p>
        </w:tc>
      </w:tr>
      <w:tr>
        <w:trPr>
          <w:cantSplit/>
        </w:trPr>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Phase 3: Scale and Integrate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6-12 months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Enterprise rollout and integration</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Scaled AI assistants, workflow automation, data platform improvements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Repeatable operating model and measurable benefits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Approve enterprise scale funding</w:t>
            </w:r>
          </w:p>
        </w:tc>
      </w:tr>
      <w:tr>
        <w:trPr>
          <w:cantSplit/>
        </w:trPr>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Phase 4: Transform and Optimize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12-24 months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AI embedded into products and operations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AI-enabled products, predictive operations, optimized governance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AI value visible in business scorecard</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Refresh strategy and innovation portfolio</w:t>
            </w:r>
          </w:p>
        </w:tc>
      </w:tr>
    </w:tbl>
    <w:p>
      <w:pPr>
        <w:pStyle w:val="Heading1"/>
        <w:keepNext/>
        <w:spacing w:before="160" w:after="80"/>
      </w:pPr>
      <w:r>
        <w:rPr>
          <w:color w:val="17365D"/>
        </w:rPr>
        <w:t>9. KPIs</w:t>
      </w:r>
    </w:p>
    <w:p>
      <w:pPr>
        <w:widowControl/>
        <w:spacing w:after="100"/>
      </w:pPr>
      <w:r>
        <w:t>KPIs should measure adoption, value, risk, and operating impact. A balanced AI scorecard prevents the organization from over-focusing on tool usage while under-measuring business outcomes.</w:t>
      </w:r>
    </w:p>
    <w:tbl>
      <w:tblPr>
        <w:tblW w:type="auto" w:w="0"/>
        <w:jc w:val="center"/>
        <w:tblLayout w:type="autofit"/>
        <w:tblLook w:firstColumn="1" w:firstRow="1" w:lastColumn="0" w:lastRow="0" w:noHBand="0" w:noVBand="1" w:val="04A0"/>
      </w:tblPr>
      <w:tblGrid>
        <w:gridCol w:w="2056"/>
        <w:gridCol w:w="2056"/>
        <w:gridCol w:w="2056"/>
        <w:gridCol w:w="2056"/>
        <w:gridCol w:w="2056"/>
      </w:tblGrid>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KPI Category</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Metric</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Definition</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Target Direction</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3"/>
              </w:rPr>
            </w:r>
            <w:r>
              <w:rPr>
                <w:b/>
                <w:color w:val="FFFFFF"/>
                <w:sz w:val="13"/>
              </w:rPr>
              <w:t>Reporting Cadence</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Adoption</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Active AI users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Percentage of targeted users using approved AI tools regularly</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Increase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Monthly</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Productivity</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Qualified hours saved</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Validated time saved from AI-assisted workflows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Increase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Monthly/Quarterly</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Customer</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Resolution cycle time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Average time required to resolve customer cases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Decrease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Monthly</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Customer</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CSAT/NPS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Customer satisfaction and loyalty indicators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Increase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Quarterly</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Revenue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AI-influenced pipeline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Pipeline or revenue influenced by AI-enabled sales/product capabilities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Increase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Quarterly</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Operations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Downtime reduction</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Reduction in unplanned downtime from predictive capabilities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Decrease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Monthly/Quarterly</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Governance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Governed AI use cases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Share of AI use cases reviewed and approved through governance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Increase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Monthly</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Risk</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AI incidents or policy exceptions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Number and severity of AI misuse, privacy, security, or quality incidents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Decrease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Monthly</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Data</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Data readiness score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Quality, ownership, accessibility, and classification readiness for priority use cases</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Increase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Monthly</w:t>
            </w:r>
          </w:p>
        </w:tc>
      </w:tr>
      <w:tr>
        <w:trPr>
          <w:cantSplit/>
        </w:trPr>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Financial</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Benefits realized</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3"/>
              </w:rPr>
            </w:r>
            <w:r>
              <w:rPr>
                <w:b w:val="0"/>
                <w:sz w:val="13"/>
              </w:rPr>
              <w:t>Validated financial value against AI investment portfolio</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Increase</w:t>
            </w:r>
          </w:p>
        </w:tc>
        <w:tc>
          <w:tcPr>
            <w:tcW w:type="dxa" w:w="205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jc w:val="center"/>
            </w:pPr>
            <w:r>
              <w:rPr>
                <w:sz w:val="13"/>
              </w:rPr>
            </w:r>
            <w:r>
              <w:rPr>
                <w:b w:val="0"/>
                <w:sz w:val="13"/>
              </w:rPr>
              <w:t>Quarterly</w:t>
            </w:r>
          </w:p>
        </w:tc>
      </w:tr>
    </w:tbl>
    <w:p>
      <w:pPr>
        <w:pStyle w:val="Heading1"/>
        <w:keepNext/>
        <w:spacing w:before="160" w:after="80"/>
      </w:pPr>
      <w:r>
        <w:rPr>
          <w:color w:val="17365D"/>
        </w:rPr>
        <w:t>10. Investment Recommendations</w:t>
      </w:r>
    </w:p>
    <w:p>
      <w:pPr>
        <w:widowControl/>
        <w:spacing w:after="100"/>
      </w:pPr>
      <w:r>
        <w:t>Investment should be sequenced to create early value while building the durable foundations required for safe enterprise scale. Funding should be assigned to business outcomes and evaluated through stage gates rather than treated as a single technology purchase.</w:t>
      </w:r>
    </w:p>
    <w:tbl>
      <w:tblPr>
        <w:tblW w:type="auto" w:w="0"/>
        <w:jc w:val="center"/>
        <w:tblLayout w:type="autofit"/>
        <w:tblLook w:firstColumn="1" w:firstRow="1" w:lastColumn="0" w:lastRow="0" w:noHBand="0" w:noVBand="1" w:val="04A0"/>
      </w:tblPr>
      <w:tblGrid>
        <w:gridCol w:w="1714"/>
        <w:gridCol w:w="1714"/>
        <w:gridCol w:w="1714"/>
        <w:gridCol w:w="1714"/>
        <w:gridCol w:w="1714"/>
        <w:gridCol w:w="1714"/>
      </w:tblGrid>
      <w:tr>
        <w:trPr>
          <w:cantSplit/>
        </w:trPr>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2"/>
              </w:rPr>
            </w:r>
            <w:r>
              <w:rPr>
                <w:b/>
                <w:color w:val="FFFFFF"/>
                <w:sz w:val="12"/>
              </w:rPr>
              <w:t>Investment Area</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2"/>
              </w:rPr>
            </w:r>
            <w:r>
              <w:rPr>
                <w:b/>
                <w:color w:val="FFFFFF"/>
                <w:sz w:val="12"/>
              </w:rPr>
              <w:t>Purpose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2"/>
              </w:rPr>
            </w:r>
            <w:r>
              <w:rPr>
                <w:b/>
                <w:color w:val="FFFFFF"/>
                <w:sz w:val="12"/>
              </w:rPr>
              <w:t>Recommended Allocation Focus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2"/>
              </w:rPr>
            </w:r>
            <w:r>
              <w:rPr>
                <w:b/>
                <w:color w:val="FFFFFF"/>
                <w:sz w:val="12"/>
              </w:rPr>
              <w:t>Business Case Logic</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2"/>
              </w:rPr>
            </w:r>
            <w:r>
              <w:rPr>
                <w:b/>
                <w:color w:val="FFFFFF"/>
                <w:sz w:val="12"/>
              </w:rPr>
              <w:t>Dependency</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shd w:fill="17365D"/>
          </w:tcPr>
          <w:p>
            <w:pPr>
              <w:spacing w:after="20" w:line="245" w:lineRule="auto"/>
              <w:jc w:val="center"/>
            </w:pPr>
            <w:r>
              <w:rPr>
                <w:b/>
                <w:color w:val="FFFFFF"/>
                <w:sz w:val="12"/>
              </w:rPr>
            </w:r>
            <w:r>
              <w:rPr>
                <w:b/>
                <w:color w:val="FFFFFF"/>
                <w:sz w:val="12"/>
              </w:rPr>
              <w:t>Timing</w:t>
            </w:r>
          </w:p>
        </w:tc>
      </w:tr>
      <w:tr>
        <w:trPr>
          <w:cantSplit/>
        </w:trPr>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AI governance and risk controls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Enable safe and trusted scale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Policy, review board, use case intake, monitoring, training</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Reduces compliance, privacy, and reputational risk</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Executive sponsorship and legal/security participation</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Immediate</w:t>
            </w:r>
          </w:p>
        </w:tc>
      </w:tr>
      <w:tr>
        <w:trPr>
          <w:cantSplit/>
        </w:trPr>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Copilot and workforce adoption</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Capture productivity quick wins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Licensing, champions, role-based training, usage analytics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Improves productivity and builds AI confidence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Content readiness and change management</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0-6 months</w:t>
            </w:r>
          </w:p>
        </w:tc>
      </w:tr>
      <w:tr>
        <w:trPr>
          <w:cantSplit/>
        </w:trPr>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Data foundation modernization</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Create reusable AI-ready data assets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Data quality, catalog, semantic model, integration, secure access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Improves reliability and accelerates use case delivery</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Data owners and architecture funding</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0-12 months</w:t>
            </w:r>
          </w:p>
        </w:tc>
      </w:tr>
      <w:tr>
        <w:trPr>
          <w:cantSplit/>
        </w:trPr>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Customer AI capabilities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Improve service and retention</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Self-service assistant, case summarization, customer 360, predictive support</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Reduces cost-to-serve and improves satisfaction</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CRM, knowledge base, service process redesign</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3-12 months</w:t>
            </w:r>
          </w:p>
        </w:tc>
      </w:tr>
      <w:tr>
        <w:trPr>
          <w:cantSplit/>
        </w:trPr>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Operational AI</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Improve resilience and margins</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Predictive maintenance, quality analytics, demand/logistics intelligence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Reduces downtime, waste, and fulfillment risk</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Operations data and IoT integration</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6-18 months</w:t>
            </w:r>
          </w:p>
        </w:tc>
      </w:tr>
      <w:tr>
        <w:trPr>
          <w:cantSplit/>
        </w:trPr>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AI-enabled products and innovation</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Create differentiation and strategic growth</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Embedded AI features, product telemetry, experimentation platform</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Expands revenue and competitive position</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Product roadmap alignment and governance</w:t>
            </w:r>
          </w:p>
        </w:tc>
        <w:tc>
          <w:tcPr>
            <w:tcW w:type="dxa" w:w="171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after="20" w:line="245" w:lineRule="auto"/>
            </w:pPr>
            <w:r>
              <w:rPr>
                <w:sz w:val="12"/>
              </w:rPr>
            </w:r>
            <w:r>
              <w:rPr>
                <w:b w:val="0"/>
                <w:sz w:val="12"/>
              </w:rPr>
              <w:t>6-24 months</w:t>
            </w:r>
          </w:p>
        </w:tc>
      </w:tr>
    </w:tbl>
    <w:p>
      <w:pPr>
        <w:pStyle w:val="Heading1"/>
        <w:keepNext/>
        <w:spacing w:before="160" w:after="80"/>
      </w:pPr>
      <w:r>
        <w:rPr>
          <w:color w:val="17365D"/>
        </w:rPr>
        <w:t>Executive Decision Checklist</w:t>
      </w:r>
    </w:p>
    <w:p>
      <w:pPr>
        <w:pStyle w:val="ListBullet"/>
        <w:widowControl/>
        <w:spacing w:after="40"/>
      </w:pPr>
      <w:r>
        <w:t>Approve the enterprise AI vision and transformation principles.</w:t>
      </w:r>
    </w:p>
    <w:p>
      <w:pPr>
        <w:pStyle w:val="ListBullet"/>
        <w:widowControl/>
        <w:spacing w:after="40"/>
      </w:pPr>
      <w:r>
        <w:t>Confirm executive sponsors and business owners for the AI portfolio.</w:t>
      </w:r>
    </w:p>
    <w:p>
      <w:pPr>
        <w:pStyle w:val="ListBullet"/>
        <w:widowControl/>
        <w:spacing w:after="40"/>
      </w:pPr>
      <w:r>
        <w:t>Approve responsible AI governance, use case intake, and risk-tiering model.</w:t>
      </w:r>
    </w:p>
    <w:p>
      <w:pPr>
        <w:pStyle w:val="ListBullet"/>
        <w:widowControl/>
        <w:spacing w:after="40"/>
      </w:pPr>
      <w:r>
        <w:t>Fund the first wave of high-value pilots and the data/governance foundation required to scale.</w:t>
      </w:r>
    </w:p>
    <w:p>
      <w:pPr>
        <w:pStyle w:val="ListBullet"/>
        <w:widowControl/>
        <w:spacing w:after="40"/>
      </w:pPr>
      <w:r>
        <w:t>Establish monthly steering committee reviews and quarterly board-level value reporting.</w:t>
      </w:r>
    </w:p>
    <w:p>
      <w:pPr>
        <w:pStyle w:val="ListBullet"/>
        <w:widowControl/>
        <w:spacing w:after="40"/>
      </w:pPr>
      <w:r>
        <w:t>Require every AI initiative to include adoption, risk, business value, and sustainability measures.</w:t>
      </w:r>
    </w:p>
    <w:tbl>
      <w:tblPr>
        <w:tblW w:type="auto" w:w="0"/>
        <w:jc w:val="center"/>
        <w:tblLook w:firstColumn="1" w:firstRow="1" w:lastColumn="0" w:lastRow="0" w:noHBand="0" w:noVBand="1" w:val="04A0"/>
      </w:tblPr>
      <w:tblGrid>
        <w:gridCol w:w="10282"/>
      </w:tblGrid>
      <w:tr>
        <w:trPr>
          <w:cantSplit/>
        </w:trPr>
        <w:tc>
          <w:tcPr>
            <w:tcW w:type="dxa" w:w="10282"/>
            <w:shd w:fill="D9EAF7"/>
            <w:tcBorders>
              <w:top w:val="single" w:sz="4" w:space="0" w:color="A9C4DA"/>
              <w:left w:val="single" w:sz="4" w:space="0" w:color="A9C4DA"/>
              <w:bottom w:val="single" w:sz="4" w:space="0" w:color="A9C4DA"/>
              <w:right w:val="single" w:sz="4" w:space="0" w:color="A9C4DA"/>
              <w:insideH w:val="single" w:sz="4" w:space="0" w:color="A9C4DA"/>
              <w:insideV w:val="single" w:sz="4" w:space="0" w:color="A9C4DA"/>
            </w:tcBorders>
          </w:tcPr>
          <w:p>
            <w:pPr>
              <w:spacing w:after="40"/>
            </w:pPr>
            <w:r>
              <w:rPr>
                <w:b/>
                <w:color w:val="17365D"/>
                <w:sz w:val="20"/>
              </w:rPr>
              <w:t>Final recommendation</w:t>
            </w:r>
          </w:p>
          <w:p>
            <w:pPr>
              <w:spacing w:after="0"/>
            </w:pPr>
            <w:r>
              <w:rPr>
                <w:sz w:val="17"/>
              </w:rPr>
              <w:t>Proceed with a phased AI transformation program that starts with governance and high-value pilots, scales proven use cases, modernizes the data foundation, and measures AI success through adoption, value, trust, and business impact.</w:t>
            </w:r>
          </w:p>
        </w:tc>
      </w:tr>
    </w:tbl>
    <w:p>
      <w:pPr>
        <w:widowControl/>
        <w:spacing w:after="40"/>
      </w:pPr>
    </w:p>
    <w:p>
      <w:pPr>
        <w:pStyle w:val="Heading2"/>
        <w:keepNext/>
        <w:spacing w:before="160" w:after="80"/>
      </w:pPr>
      <w:r>
        <w:rPr>
          <w:color w:val="2F75B5"/>
        </w:rPr>
        <w:t>Source and Lab Assumptions</w:t>
      </w:r>
    </w:p>
    <w:p>
      <w:pPr>
        <w:widowControl/>
        <w:spacing w:after="100"/>
      </w:pPr>
      <w:r>
        <w:t>This document was prepared as a detailed source artifact for the Lab 03 Executive Presentation exercise. The specific GitHub lab page could not be retrieved during generation, so the structure follows the requested sections and is written as a realistic enterprise AI transformation strategy suitable for executive presentation development.</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 Executive Strategy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Enterprise AI Transformation Strategy | Executive Presentation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Pramod Sunagar</dc:creator>
  <keywords/>
  <dc:description>generated by python-docx</dc:description>
  <lastModifiedBy>Pramod Sunagar</lastModifiedBy>
  <revision>1</revision>
  <dcterms:created xsi:type="dcterms:W3CDTF">2026-07-28T01:10:51.7129178Z</dcterms:created>
  <dcterms:modified xsi:type="dcterms:W3CDTF">2026-07-28T01:10:51.7129178Z</dcterms:modified>
  <category/>
</coreProperties>
</file>