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400"/>
        <w:jc w:val="center"/>
      </w:pPr>
      <w:r>
        <w:rPr>
          <w:b/>
          <w:color w:val="17365D"/>
          <w:sz w:val="52"/>
        </w:rPr>
        <w:t>Enterprise Digital Transformation Plan</w:t>
      </w:r>
    </w:p>
    <w:p>
      <w:pPr>
        <w:widowControl/>
        <w:jc w:val="center"/>
      </w:pPr>
      <w:r>
        <w:rPr>
          <w:color w:val="2F75B5"/>
          <w:sz w:val="30"/>
        </w:rPr>
        <w:t>AI Transformation Strategy Lab</w:t>
      </w:r>
    </w:p>
    <w:p>
      <w:pPr>
        <w:widowControl/>
        <w:jc w:val="center"/>
      </w:pPr>
      <w:r>
        <w:rPr>
          <w:color w:val="666666"/>
          <w:sz w:val="21"/>
        </w:rPr>
        <w:t>Prepared for Executive Leadership and transformation stakeholders</w:t>
      </w:r>
    </w:p>
    <w:tbl>
      <w:tblPr>
        <w:tblW w:type="auto" w:w="0"/>
        <w:jc w:val="center"/>
        <w:tblLook w:firstColumn="1" w:firstRow="1" w:lastColumn="0" w:lastRow="0" w:noHBand="0" w:noVBand="1" w:val="04A0"/>
      </w:tblPr>
      <w:tblGrid>
        <w:gridCol w:w="10224"/>
      </w:tblGrid>
      <w:tr>
        <w:trPr>
          <w:cantSplit/>
        </w:trPr>
        <w:tc>
          <w:tcPr>
            <w:tcW w:type="dxa" w:w="10224"/>
            <w:shd w:fill="D9EAF7"/>
            <w:tcBorders>
              <w:top w:val="single" w:sz="4" w:space="0" w:color="A9C4DA"/>
              <w:left w:val="single" w:sz="4" w:space="0" w:color="A9C4DA"/>
              <w:bottom w:val="single" w:sz="4" w:space="0" w:color="A9C4DA"/>
              <w:right w:val="single" w:sz="4" w:space="0" w:color="A9C4DA"/>
              <w:insideH w:val="single" w:sz="4" w:space="0" w:color="A9C4DA"/>
              <w:insideV w:val="single" w:sz="4" w:space="0" w:color="A9C4DA"/>
            </w:tcBorders>
          </w:tcPr>
          <w:p>
            <w:pPr>
              <w:spacing w:after="40"/>
            </w:pPr>
            <w:r>
              <w:rPr>
                <w:b/>
                <w:color w:val="17365D"/>
                <w:sz w:val="20"/>
              </w:rPr>
              <w:t>Transformation thesis</w:t>
            </w:r>
          </w:p>
          <w:p>
            <w:pPr>
              <w:spacing w:after="0"/>
            </w:pPr>
            <w:r>
              <w:rPr>
                <w:sz w:val="17"/>
              </w:rPr>
              <w:t>The enterprise should move from isolated digital improvements to a coordinated AI-enabled operating model that improves customer experience, workforce productivity, operational resilience, innovation velocity, sustainability performance, and competitive differentiation.</w:t>
            </w:r>
          </w:p>
        </w:tc>
      </w:tr>
    </w:tbl>
    <w:p>
      <w:pPr>
        <w:widowControl/>
        <w:spacing w:after="20"/>
      </w:pPr>
    </w:p>
    <w:tbl>
      <w:tblPr>
        <w:tblW w:type="auto" w:w="0"/>
        <w:jc w:val="center"/>
        <w:tblLayout w:type="autofit"/>
        <w:tblLook w:firstColumn="1" w:firstRow="1" w:lastColumn="0" w:lastRow="0" w:noHBand="0" w:noVBand="1" w:val="04A0"/>
      </w:tblPr>
      <w:tblGrid>
        <w:gridCol w:w="5112"/>
        <w:gridCol w:w="5112"/>
      </w:tblGrid>
      <w:tr>
        <w:trPr>
          <w:cantSplit/>
        </w:trPr>
        <w:tc>
          <w:tcPr>
            <w:tcW w:type="dxa" w:w="5112"/>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F3F7FB"/>
          </w:tcPr>
          <w:p>
            <w:pPr>
              <w:spacing w:after="20"/>
              <w:jc w:val="center"/>
            </w:pPr>
            <w:r>
              <w:rPr>
                <w:b/>
                <w:color w:val="FFFFFF"/>
                <w:sz w:val="17"/>
              </w:rPr>
            </w:r>
            <w:r>
              <w:rPr>
                <w:b/>
                <w:color w:val="FFFFFF"/>
                <w:sz w:val="17"/>
              </w:rPr>
              <w:t>Planning horizon</w:t>
            </w:r>
          </w:p>
        </w:tc>
        <w:tc>
          <w:tcPr>
            <w:tcW w:type="dxa" w:w="5112"/>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FFFFFF"/>
          </w:tcPr>
          <w:p>
            <w:pPr>
              <w:spacing w:after="20"/>
              <w:jc w:val="center"/>
            </w:pPr>
            <w:r>
              <w:rPr>
                <w:b/>
                <w:color w:val="FFFFFF"/>
                <w:sz w:val="17"/>
              </w:rPr>
            </w:r>
            <w:r>
              <w:rPr>
                <w:b/>
                <w:color w:val="FFFFFF"/>
                <w:sz w:val="17"/>
              </w:rPr>
              <w:t>12-24 months</w:t>
            </w:r>
          </w:p>
        </w:tc>
      </w:tr>
      <w:tr>
        <w:trPr>
          <w:cantSplit/>
        </w:trPr>
        <w:tc>
          <w:tcPr>
            <w:tcW w:type="dxa" w:w="5112"/>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F3F7FB"/>
          </w:tcPr>
          <w:p>
            <w:pPr>
              <w:spacing w:after="20"/>
            </w:pPr>
            <w:r>
              <w:rPr>
                <w:sz w:val="17"/>
              </w:rPr>
            </w:r>
            <w:r>
              <w:rPr>
                <w:b/>
                <w:color w:val="17365D"/>
                <w:sz w:val="17"/>
              </w:rPr>
              <w:t>Primary theme</w:t>
            </w:r>
          </w:p>
        </w:tc>
        <w:tc>
          <w:tcPr>
            <w:tcW w:type="dxa" w:w="5112"/>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FFFFFF"/>
          </w:tcPr>
          <w:p>
            <w:pPr>
              <w:spacing w:after="20"/>
            </w:pPr>
            <w:r>
              <w:rPr>
                <w:sz w:val="17"/>
              </w:rPr>
            </w:r>
            <w:r>
              <w:rPr>
                <w:b w:val="0"/>
                <w:sz w:val="17"/>
              </w:rPr>
              <w:t>AI-enabled digital transformation</w:t>
            </w:r>
          </w:p>
        </w:tc>
      </w:tr>
      <w:tr>
        <w:trPr>
          <w:cantSplit/>
        </w:trPr>
        <w:tc>
          <w:tcPr>
            <w:tcW w:type="dxa" w:w="5112"/>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F3F7FB"/>
          </w:tcPr>
          <w:p>
            <w:pPr>
              <w:spacing w:after="20"/>
            </w:pPr>
            <w:r>
              <w:rPr>
                <w:sz w:val="17"/>
              </w:rPr>
            </w:r>
            <w:r>
              <w:rPr>
                <w:b/>
                <w:color w:val="17365D"/>
                <w:sz w:val="17"/>
              </w:rPr>
              <w:t>Target operating model</w:t>
            </w:r>
          </w:p>
        </w:tc>
        <w:tc>
          <w:tcPr>
            <w:tcW w:type="dxa" w:w="5112"/>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FFFFFF"/>
          </w:tcPr>
          <w:p>
            <w:pPr>
              <w:spacing w:after="20"/>
            </w:pPr>
            <w:r>
              <w:rPr>
                <w:sz w:val="17"/>
              </w:rPr>
            </w:r>
            <w:r>
              <w:rPr>
                <w:b w:val="0"/>
                <w:sz w:val="17"/>
              </w:rPr>
              <w:t>Data-driven, customer-centric, secure, scalable, and sustainable</w:t>
            </w:r>
          </w:p>
        </w:tc>
      </w:tr>
      <w:tr>
        <w:trPr>
          <w:cantSplit/>
        </w:trPr>
        <w:tc>
          <w:tcPr>
            <w:tcW w:type="dxa" w:w="5112"/>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F3F7FB"/>
          </w:tcPr>
          <w:p>
            <w:pPr>
              <w:spacing w:after="20"/>
            </w:pPr>
            <w:r>
              <w:rPr>
                <w:sz w:val="17"/>
              </w:rPr>
            </w:r>
            <w:r>
              <w:rPr>
                <w:b/>
                <w:color w:val="17365D"/>
                <w:sz w:val="17"/>
              </w:rPr>
              <w:t>Priority enablers</w:t>
            </w:r>
          </w:p>
        </w:tc>
        <w:tc>
          <w:tcPr>
            <w:tcW w:type="dxa" w:w="5112"/>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FFFFFF"/>
          </w:tcPr>
          <w:p>
            <w:pPr>
              <w:spacing w:after="20"/>
            </w:pPr>
            <w:r>
              <w:rPr>
                <w:sz w:val="17"/>
              </w:rPr>
            </w:r>
            <w:r>
              <w:rPr>
                <w:b w:val="0"/>
                <w:sz w:val="17"/>
              </w:rPr>
              <w:t>Microsoft 365 Copilot, intelligent automation, data platform modernization, responsible AI governance</w:t>
            </w:r>
          </w:p>
        </w:tc>
      </w:tr>
      <w:tr>
        <w:trPr>
          <w:cantSplit/>
        </w:trPr>
        <w:tc>
          <w:tcPr>
            <w:tcW w:type="dxa" w:w="5112"/>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F3F7FB"/>
          </w:tcPr>
          <w:p>
            <w:pPr>
              <w:spacing w:after="20"/>
            </w:pPr>
            <w:r>
              <w:rPr>
                <w:sz w:val="17"/>
              </w:rPr>
            </w:r>
            <w:r>
              <w:rPr>
                <w:b/>
                <w:color w:val="17365D"/>
                <w:sz w:val="17"/>
              </w:rPr>
              <w:t>Intended lab outcome</w:t>
            </w:r>
          </w:p>
        </w:tc>
        <w:tc>
          <w:tcPr>
            <w:tcW w:type="dxa" w:w="5112"/>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FFFFFF"/>
          </w:tcPr>
          <w:p>
            <w:pPr>
              <w:spacing w:after="20"/>
            </w:pPr>
            <w:r>
              <w:rPr>
                <w:sz w:val="17"/>
              </w:rPr>
            </w:r>
            <w:r>
              <w:rPr>
                <w:b w:val="0"/>
                <w:sz w:val="17"/>
              </w:rPr>
              <w:t>A board-ready strategy document for evaluating digital transformation priorities</w:t>
            </w:r>
          </w:p>
        </w:tc>
      </w:tr>
    </w:tbl>
    <w:p>
      <w:pPr>
        <w:widowControl/>
      </w:pPr>
      <w:r>
        <w:br w:type="page"/>
      </w:r>
    </w:p>
    <w:p>
      <w:pPr>
        <w:pStyle w:val="Heading1"/>
        <w:keepNext/>
        <w:spacing w:before="160" w:after="80"/>
      </w:pPr>
      <w:r>
        <w:rPr>
          <w:color w:val="17365D"/>
        </w:rPr>
        <w:t>Contents</w:t>
      </w:r>
    </w:p>
    <w:p>
      <w:pPr>
        <w:widowControl/>
        <w:spacing w:after="40"/>
      </w:pPr>
      <w:r>
        <w:rPr>
          <w:b/>
          <w:color w:val="17365D"/>
          <w:sz w:val="20"/>
        </w:rPr>
        <w:t>1. Company Overview</w:t>
      </w:r>
    </w:p>
    <w:p>
      <w:pPr>
        <w:widowControl/>
        <w:spacing w:after="40"/>
      </w:pPr>
      <w:r>
        <w:rPr>
          <w:b w:val="0"/>
          <w:color w:val="000000"/>
          <w:sz w:val="20"/>
        </w:rPr>
        <w:t>2. Business Objectives</w:t>
      </w:r>
    </w:p>
    <w:p>
      <w:pPr>
        <w:widowControl/>
        <w:spacing w:after="40"/>
      </w:pPr>
      <w:r>
        <w:rPr>
          <w:b/>
          <w:color w:val="17365D"/>
          <w:sz w:val="20"/>
        </w:rPr>
        <w:t>3. Digital Transformation Goals</w:t>
      </w:r>
    </w:p>
    <w:p>
      <w:pPr>
        <w:widowControl/>
        <w:spacing w:after="40"/>
      </w:pPr>
      <w:r>
        <w:rPr>
          <w:b w:val="0"/>
          <w:color w:val="000000"/>
          <w:sz w:val="20"/>
        </w:rPr>
        <w:t>4. Current Technology Landscape</w:t>
      </w:r>
    </w:p>
    <w:p>
      <w:pPr>
        <w:widowControl/>
        <w:spacing w:after="40"/>
      </w:pPr>
      <w:r>
        <w:rPr>
          <w:b w:val="0"/>
          <w:color w:val="000000"/>
          <w:sz w:val="20"/>
        </w:rPr>
        <w:t>5. Customer Experience Challenges</w:t>
      </w:r>
    </w:p>
    <w:p>
      <w:pPr>
        <w:widowControl/>
        <w:spacing w:after="40"/>
      </w:pPr>
      <w:r>
        <w:rPr>
          <w:b w:val="0"/>
          <w:color w:val="000000"/>
          <w:sz w:val="20"/>
        </w:rPr>
        <w:t>6. Workforce Challenges</w:t>
      </w:r>
    </w:p>
    <w:p>
      <w:pPr>
        <w:widowControl/>
        <w:spacing w:after="40"/>
      </w:pPr>
      <w:r>
        <w:rPr>
          <w:b w:val="0"/>
          <w:color w:val="000000"/>
          <w:sz w:val="20"/>
        </w:rPr>
        <w:t>7. Operational Challenges</w:t>
      </w:r>
    </w:p>
    <w:p>
      <w:pPr>
        <w:widowControl/>
        <w:spacing w:after="40"/>
      </w:pPr>
      <w:r>
        <w:rPr>
          <w:b w:val="0"/>
          <w:color w:val="000000"/>
          <w:sz w:val="20"/>
        </w:rPr>
        <w:t>8. Innovation Priorities</w:t>
      </w:r>
    </w:p>
    <w:p>
      <w:pPr>
        <w:widowControl/>
        <w:spacing w:after="40"/>
      </w:pPr>
      <w:r>
        <w:rPr>
          <w:b w:val="0"/>
          <w:color w:val="000000"/>
          <w:sz w:val="20"/>
        </w:rPr>
        <w:t>9. Sustainability Objectives</w:t>
      </w:r>
    </w:p>
    <w:p>
      <w:pPr>
        <w:widowControl/>
        <w:spacing w:after="40"/>
      </w:pPr>
      <w:r>
        <w:rPr>
          <w:b w:val="0"/>
          <w:color w:val="000000"/>
          <w:sz w:val="20"/>
        </w:rPr>
        <w:t>10. Competitive Landscape</w:t>
      </w:r>
    </w:p>
    <w:p>
      <w:pPr>
        <w:widowControl/>
        <w:spacing w:after="40"/>
      </w:pPr>
      <w:r>
        <w:rPr>
          <w:b/>
          <w:color w:val="17365D"/>
          <w:sz w:val="20"/>
        </w:rPr>
        <w:t>11. Strategic Risks</w:t>
      </w:r>
    </w:p>
    <w:p>
      <w:pPr>
        <w:widowControl/>
      </w:pPr>
      <w:r>
        <w:br w:type="page"/>
      </w:r>
    </w:p>
    <w:p>
      <w:pPr>
        <w:pStyle w:val="Heading1"/>
        <w:keepNext/>
        <w:spacing w:before="160" w:after="80"/>
      </w:pPr>
      <w:r>
        <w:rPr>
          <w:color w:val="17365D"/>
        </w:rPr>
        <w:t>1. Company Overview</w:t>
      </w:r>
    </w:p>
    <w:p>
      <w:pPr>
        <w:widowControl/>
        <w:spacing w:after="100"/>
      </w:pPr>
      <w:r>
        <w:t>Contoso Manufacturing is positioned as a mid-to-large enterprise operating across manufacturing, sales, distribution, and enterprise customer service. The business has established regional operations, a growing digital product portfolio, and an opportunity to use AI and modern cloud capabilities to improve productivity, customer experience, resilience, and innovation speed.</w:t>
      </w:r>
    </w:p>
    <w:p>
      <w:pPr>
        <w:widowControl/>
        <w:spacing w:after="100"/>
      </w:pPr>
      <w:r>
        <w:t>The organization is transitioning from traditional process digitization toward enterprise-wide digital transformation. This plan frames the transformation as a business-led program rather than a technology-only initiative, with measurable outcomes across revenue growth, margin improvement, customer satisfaction, employee productivity, operational resilience, sustainability, and risk reduction.</w:t>
      </w:r>
    </w:p>
    <w:tbl>
      <w:tblPr>
        <w:tblW w:type="auto" w:w="0"/>
        <w:jc w:val="center"/>
        <w:tblLayout w:type="autofit"/>
        <w:tblLook w:firstColumn="1" w:firstRow="1" w:lastColumn="0" w:lastRow="0" w:noHBand="0" w:noVBand="1" w:val="04A0"/>
      </w:tblPr>
      <w:tblGrid>
        <w:gridCol w:w="2556"/>
        <w:gridCol w:w="2556"/>
        <w:gridCol w:w="2556"/>
        <w:gridCol w:w="2556"/>
      </w:tblGrid>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5"/>
              </w:rPr>
            </w:r>
            <w:r>
              <w:rPr>
                <w:b/>
                <w:color w:val="FFFFFF"/>
                <w:sz w:val="15"/>
              </w:rPr>
              <w:t>Dimension</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5"/>
              </w:rPr>
            </w:r>
            <w:r>
              <w:rPr>
                <w:b/>
                <w:color w:val="FFFFFF"/>
                <w:sz w:val="15"/>
              </w:rPr>
              <w:t>Current Position</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5"/>
              </w:rPr>
            </w:r>
            <w:r>
              <w:rPr>
                <w:b/>
                <w:color w:val="FFFFFF"/>
                <w:sz w:val="15"/>
              </w:rPr>
              <w:t>Transformation Opportunity</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5"/>
              </w:rPr>
            </w:r>
            <w:r>
              <w:rPr>
                <w:b/>
                <w:color w:val="FFFFFF"/>
                <w:sz w:val="15"/>
              </w:rPr>
              <w:t>Executive Focus</w:t>
            </w:r>
          </w:p>
        </w:tc>
      </w:tr>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Business model</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Manufacturing and enterprise product/service delivery</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Shift toward digital services, predictive support, and AI-enabled products</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Connect transformation to revenue and margin outcomes</w:t>
            </w:r>
          </w:p>
        </w:tc>
      </w:tr>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Regions</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Multi-region enterprise operations</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Scale high-performing regional playbooks and improve underperforming markets</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Balance growth investment with operational consistency</w:t>
            </w:r>
          </w:p>
        </w:tc>
      </w:tr>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Customers</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Enterprise buyers increasingly expect digital and proactive service</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Build self-service, personalized, predictive, and AI-assisted experiences</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Improve retention and wallet share</w:t>
            </w:r>
          </w:p>
        </w:tc>
      </w:tr>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Operations</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Complex production and supply chain environment</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Use data, automation, and predictive insights to reduce delays and downtime</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Improve resilience and cost efficiency</w:t>
            </w:r>
          </w:p>
        </w:tc>
      </w:tr>
    </w:tbl>
    <w:p>
      <w:pPr>
        <w:pStyle w:val="Heading1"/>
        <w:keepNext/>
        <w:spacing w:before="160" w:after="80"/>
      </w:pPr>
      <w:r>
        <w:rPr>
          <w:color w:val="17365D"/>
        </w:rPr>
        <w:t>2. Business Objectives</w:t>
      </w:r>
    </w:p>
    <w:p>
      <w:pPr>
        <w:widowControl/>
        <w:spacing w:after="100"/>
      </w:pPr>
      <w:r>
        <w:t>The transformation program should be governed by business objectives that are measurable, outcome-based, and aligned to executive priorities. The following objectives translate digital investment into enterprise value.</w:t>
      </w:r>
    </w:p>
    <w:tbl>
      <w:tblPr>
        <w:tblW w:type="auto" w:w="0"/>
        <w:jc w:val="center"/>
        <w:tblLayout w:type="autofit"/>
        <w:tblLook w:firstColumn="1" w:firstRow="1" w:lastColumn="0" w:lastRow="0" w:noHBand="0" w:noVBand="1" w:val="04A0"/>
      </w:tblPr>
      <w:tblGrid>
        <w:gridCol w:w="2045"/>
        <w:gridCol w:w="2045"/>
        <w:gridCol w:w="2045"/>
        <w:gridCol w:w="2045"/>
        <w:gridCol w:w="2045"/>
      </w:tblGrid>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4"/>
              </w:rPr>
            </w:r>
            <w:r>
              <w:rPr>
                <w:b/>
                <w:color w:val="FFFFFF"/>
                <w:sz w:val="14"/>
              </w:rPr>
              <w:t>Objective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4"/>
              </w:rPr>
            </w:r>
            <w:r>
              <w:rPr>
                <w:b/>
                <w:color w:val="FFFFFF"/>
                <w:sz w:val="14"/>
              </w:rPr>
              <w:t>Business Outcome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4"/>
              </w:rPr>
            </w:r>
            <w:r>
              <w:rPr>
                <w:b/>
                <w:color w:val="FFFFFF"/>
                <w:sz w:val="14"/>
              </w:rPr>
              <w:t>Digital Lever</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4"/>
              </w:rPr>
            </w:r>
            <w:r>
              <w:rPr>
                <w:b/>
                <w:color w:val="FFFFFF"/>
                <w:sz w:val="14"/>
              </w:rPr>
              <w:t>Success Metric</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4"/>
              </w:rPr>
            </w:r>
            <w:r>
              <w:rPr>
                <w:b/>
                <w:color w:val="FFFFFF"/>
                <w:sz w:val="14"/>
              </w:rPr>
              <w:t>Owner</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Grow revenue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Increase digital and AI-enabled product revenue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AI product features, digital channels, data-driven sales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Digital revenue mix and pipeline conversion</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Chief Revenue Officer</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Improve margins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Reduce cost-to-serve and process waste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Automation, predictive maintenance, intelligent workflows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Operating margin and cycle-time reduction</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COO/CFO</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Enhance customer experience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Increase loyalty and reduce friction</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Self-service portals, proactive support, customer analytics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Customer satisfaction, NPS, first-contact resolution</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Customer Experience Leader</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Boost workforce productivity</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Reduce manual effort and improve decision speed</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Microsoft 365 Copilot, knowledge management, workflow automation</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Hours saved, adoption rate, task completion speed</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CHRO/CIO</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Strengthen resilience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Reduce cyber, supply chain, and operational disruption risk</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Zero Trust, monitoring, risk analytics, supplier visibility</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Incident response time and continuity readiness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CISO/COO</w:t>
            </w:r>
          </w:p>
        </w:tc>
      </w:tr>
    </w:tbl>
    <w:p>
      <w:pPr>
        <w:pStyle w:val="Heading1"/>
        <w:keepNext/>
        <w:spacing w:before="160" w:after="80"/>
      </w:pPr>
      <w:r>
        <w:rPr>
          <w:color w:val="17365D"/>
        </w:rPr>
        <w:t>3. Digital Transformation Goals</w:t>
      </w:r>
    </w:p>
    <w:tbl>
      <w:tblPr>
        <w:tblW w:type="auto" w:w="0"/>
        <w:jc w:val="center"/>
        <w:tblLook w:firstColumn="1" w:firstRow="1" w:lastColumn="0" w:lastRow="0" w:noHBand="0" w:noVBand="1" w:val="04A0"/>
      </w:tblPr>
      <w:tblGrid>
        <w:gridCol w:w="10224"/>
      </w:tblGrid>
      <w:tr>
        <w:trPr>
          <w:cantSplit/>
        </w:trPr>
        <w:tc>
          <w:tcPr>
            <w:tcW w:type="dxa" w:w="10224"/>
            <w:shd w:fill="F3F7FB"/>
            <w:tcBorders>
              <w:top w:val="single" w:sz="4" w:space="0" w:color="A9C4DA"/>
              <w:left w:val="single" w:sz="4" w:space="0" w:color="A9C4DA"/>
              <w:bottom w:val="single" w:sz="4" w:space="0" w:color="A9C4DA"/>
              <w:right w:val="single" w:sz="4" w:space="0" w:color="A9C4DA"/>
              <w:insideH w:val="single" w:sz="4" w:space="0" w:color="A9C4DA"/>
              <w:insideV w:val="single" w:sz="4" w:space="0" w:color="A9C4DA"/>
            </w:tcBorders>
          </w:tcPr>
          <w:p>
            <w:pPr>
              <w:spacing w:after="40"/>
            </w:pPr>
            <w:r>
              <w:rPr>
                <w:b/>
                <w:color w:val="17365D"/>
                <w:sz w:val="20"/>
              </w:rPr>
              <w:t>North Star Goal</w:t>
            </w:r>
          </w:p>
          <w:p>
            <w:pPr>
              <w:spacing w:after="0"/>
            </w:pPr>
            <w:r>
              <w:rPr>
                <w:sz w:val="17"/>
              </w:rPr>
              <w:t>Create an AI-ready enterprise where data, people, processes, and technology work together to deliver faster decisions, better experiences, resilient operations, and responsible innovation.</w:t>
            </w:r>
          </w:p>
        </w:tc>
      </w:tr>
    </w:tbl>
    <w:p>
      <w:pPr>
        <w:widowControl/>
        <w:spacing w:after="20"/>
      </w:pPr>
    </w:p>
    <w:p>
      <w:pPr>
        <w:pStyle w:val="ListBullet"/>
        <w:widowControl/>
        <w:spacing w:after="40"/>
      </w:pPr>
      <w:r>
        <w:t>Improve customer-facing digital journeys through self-service, proactive engagement, and personalized recommendations.</w:t>
      </w:r>
    </w:p>
    <w:p>
      <w:pPr>
        <w:pStyle w:val="ListBullet"/>
        <w:widowControl/>
        <w:spacing w:after="40"/>
      </w:pPr>
      <w:r>
        <w:t>Increase workforce productivity by embedding AI assistance into daily work, meetings, documents, knowledge discovery, and frontline operations.</w:t>
      </w:r>
    </w:p>
    <w:p>
      <w:pPr>
        <w:pStyle w:val="ListBullet"/>
        <w:widowControl/>
        <w:spacing w:after="40"/>
      </w:pPr>
      <w:r>
        <w:t>Modernize core business processes using automation, workflow orchestration, analytics, and process intelligence.</w:t>
      </w:r>
    </w:p>
    <w:p>
      <w:pPr>
        <w:pStyle w:val="ListBullet"/>
        <w:widowControl/>
        <w:spacing w:after="40"/>
      </w:pPr>
      <w:r>
        <w:t>Build a trusted data foundation with clear ownership, quality standards, governance, privacy, and security controls.</w:t>
      </w:r>
    </w:p>
    <w:p>
      <w:pPr>
        <w:pStyle w:val="ListBullet"/>
        <w:widowControl/>
        <w:spacing w:after="40"/>
      </w:pPr>
      <w:r>
        <w:t>Operationalize responsible AI with governance, transparency, human oversight, adoption measurement, and risk controls.</w:t>
      </w:r>
    </w:p>
    <w:tbl>
      <w:tblPr>
        <w:tblW w:type="auto" w:w="0"/>
        <w:jc w:val="center"/>
        <w:tblLayout w:type="autofit"/>
        <w:tblLook w:firstColumn="1" w:firstRow="1" w:lastColumn="0" w:lastRow="0" w:noHBand="0" w:noVBand="1" w:val="04A0"/>
      </w:tblPr>
      <w:tblGrid>
        <w:gridCol w:w="2556"/>
        <w:gridCol w:w="2556"/>
        <w:gridCol w:w="2556"/>
        <w:gridCol w:w="2556"/>
      </w:tblGrid>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5"/>
              </w:rPr>
            </w:r>
            <w:r>
              <w:rPr>
                <w:b/>
                <w:color w:val="FFFFFF"/>
                <w:sz w:val="15"/>
              </w:rPr>
              <w:t>Goal</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5"/>
              </w:rPr>
            </w:r>
            <w:r>
              <w:rPr>
                <w:b/>
                <w:color w:val="FFFFFF"/>
                <w:sz w:val="15"/>
              </w:rPr>
              <w:t>12-Month Target</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5"/>
              </w:rPr>
            </w:r>
            <w:r>
              <w:rPr>
                <w:b/>
                <w:color w:val="FFFFFF"/>
                <w:sz w:val="15"/>
              </w:rPr>
              <w:t>Capability Needed</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5"/>
              </w:rPr>
            </w:r>
            <w:r>
              <w:rPr>
                <w:b/>
                <w:color w:val="FFFFFF"/>
                <w:sz w:val="15"/>
              </w:rPr>
              <w:t>Measure of Success</w:t>
            </w:r>
          </w:p>
        </w:tc>
      </w:tr>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AI adoption at scale</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Launch role-based AI use cases across priority functions</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Copilot enablement, champions network, secure data access</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Active usage, satisfaction, qualified hours saved</w:t>
            </w:r>
          </w:p>
        </w:tc>
      </w:tr>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Customer digital modernization</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Deploy improved self-service and predictive support workflows</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CRM integration, customer analytics, service automation</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Self-service adoption and service resolution speed</w:t>
            </w:r>
          </w:p>
        </w:tc>
      </w:tr>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Operational intelligence</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Create integrated visibility across production, inventory, logistics, and quality</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Data platform, IoT signals, dashboards, alerting</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Downtime reduction and on-time fulfillment</w:t>
            </w:r>
          </w:p>
        </w:tc>
      </w:tr>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Responsible AI governance</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Establish approval, monitoring, and risk review processes</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AI policy, use case intake, data security review</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Governed use cases and risk exceptions closed</w:t>
            </w:r>
          </w:p>
        </w:tc>
      </w:tr>
    </w:tbl>
    <w:p>
      <w:pPr>
        <w:pStyle w:val="Heading1"/>
        <w:keepNext/>
        <w:spacing w:before="160" w:after="80"/>
      </w:pPr>
      <w:r>
        <w:rPr>
          <w:color w:val="17365D"/>
        </w:rPr>
        <w:t>4. Current Technology Landscape</w:t>
      </w:r>
    </w:p>
    <w:p>
      <w:pPr>
        <w:widowControl/>
        <w:spacing w:after="100"/>
      </w:pPr>
      <w:r>
        <w:t>The current landscape likely includes a mix of enterprise productivity platforms, ERP and supply chain systems, CRM/service tools, manufacturing systems, data repositories, reporting platforms, and security controls. The transformation challenge is not only to add new tools, but to connect existing platforms into a coherent digital operating model.</w:t>
      </w:r>
    </w:p>
    <w:tbl>
      <w:tblPr>
        <w:tblW w:type="auto" w:w="0"/>
        <w:jc w:val="center"/>
        <w:tblLayout w:type="autofit"/>
        <w:tblLook w:firstColumn="1" w:firstRow="1" w:lastColumn="0" w:lastRow="0" w:noHBand="0" w:noVBand="1" w:val="04A0"/>
      </w:tblPr>
      <w:tblGrid>
        <w:gridCol w:w="2045"/>
        <w:gridCol w:w="2045"/>
        <w:gridCol w:w="2045"/>
        <w:gridCol w:w="2045"/>
        <w:gridCol w:w="2045"/>
      </w:tblGrid>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4"/>
              </w:rPr>
            </w:r>
            <w:r>
              <w:rPr>
                <w:b/>
                <w:color w:val="FFFFFF"/>
                <w:sz w:val="14"/>
              </w:rPr>
              <w:t>Technology Area</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4"/>
              </w:rPr>
            </w:r>
            <w:r>
              <w:rPr>
                <w:b/>
                <w:color w:val="FFFFFF"/>
                <w:sz w:val="14"/>
              </w:rPr>
              <w:t>Current State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4"/>
              </w:rPr>
            </w:r>
            <w:r>
              <w:rPr>
                <w:b/>
                <w:color w:val="FFFFFF"/>
                <w:sz w:val="14"/>
              </w:rPr>
              <w:t>Pain Point</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4"/>
              </w:rPr>
            </w:r>
            <w:r>
              <w:rPr>
                <w:b/>
                <w:color w:val="FFFFFF"/>
                <w:sz w:val="14"/>
              </w:rPr>
              <w:t>Transformation Need</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4"/>
              </w:rPr>
            </w:r>
            <w:r>
              <w:rPr>
                <w:b/>
                <w:color w:val="FFFFFF"/>
                <w:sz w:val="14"/>
              </w:rPr>
              <w:t>Priority</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Productivity and collaboration</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Established enterprise tools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Knowledge scattered across chats, files, meetings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AI-assisted knowledge retrieval and meeting/document workflows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jc w:val="center"/>
            </w:pPr>
            <w:r>
              <w:rPr>
                <w:sz w:val="14"/>
              </w:rPr>
            </w:r>
            <w:r>
              <w:rPr>
                <w:b w:val="0"/>
                <w:sz w:val="14"/>
              </w:rPr>
              <w:t>High</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ERP and operations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Core transaction systems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Limited real-time operational insight</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Modern integration layer and operational dashboards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jc w:val="center"/>
            </w:pPr>
            <w:r>
              <w:rPr>
                <w:sz w:val="14"/>
              </w:rPr>
            </w:r>
            <w:r>
              <w:rPr>
                <w:b w:val="0"/>
                <w:sz w:val="14"/>
              </w:rPr>
              <w:t>High</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CRM and service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Customer interactions tracked in systems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Reactive service and inconsistent self-service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Customer 360, predictive support, omnichannel portal</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jc w:val="center"/>
            </w:pPr>
            <w:r>
              <w:rPr>
                <w:sz w:val="14"/>
              </w:rPr>
            </w:r>
            <w:r>
              <w:rPr>
                <w:b w:val="0"/>
                <w:sz w:val="14"/>
              </w:rPr>
              <w:t>High</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Data and analytics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Reports across business units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Data quality and silo challenges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Unified data model, governance, and business semantic layer</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jc w:val="center"/>
            </w:pPr>
            <w:r>
              <w:rPr>
                <w:sz w:val="14"/>
              </w:rPr>
            </w:r>
            <w:r>
              <w:rPr>
                <w:b w:val="0"/>
                <w:sz w:val="14"/>
              </w:rPr>
              <w:t>High</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Cybersecurity</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Core controls in place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Expanding AI, cloud, and supply chain risk</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Zero Trust alignment, monitoring, response automation</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jc w:val="center"/>
            </w:pPr>
            <w:r>
              <w:rPr>
                <w:sz w:val="14"/>
              </w:rPr>
            </w:r>
            <w:r>
              <w:rPr>
                <w:b w:val="0"/>
                <w:sz w:val="14"/>
              </w:rPr>
              <w:t>High</w:t>
            </w:r>
          </w:p>
        </w:tc>
      </w:tr>
    </w:tbl>
    <w:p>
      <w:pPr>
        <w:pStyle w:val="Heading1"/>
        <w:keepNext/>
        <w:spacing w:before="160" w:after="80"/>
      </w:pPr>
      <w:r>
        <w:rPr>
          <w:color w:val="17365D"/>
        </w:rPr>
        <w:t>5. Customer Experience Challenges</w:t>
      </w:r>
    </w:p>
    <w:p>
      <w:pPr>
        <w:widowControl/>
        <w:spacing w:after="100"/>
      </w:pPr>
      <w:r>
        <w:t>Customer expectations are moving toward faster service, intelligent support, transparent order status, personalized interactions, and digital self-service. The enterprise must reduce friction across the customer journey while improving service productivity and data-driven account management.</w:t>
      </w:r>
    </w:p>
    <w:tbl>
      <w:tblPr>
        <w:tblW w:type="auto" w:w="0"/>
        <w:jc w:val="center"/>
        <w:tblLayout w:type="autofit"/>
        <w:tblLook w:firstColumn="1" w:firstRow="1" w:lastColumn="0" w:lastRow="0" w:noHBand="0" w:noVBand="1" w:val="04A0"/>
      </w:tblPr>
      <w:tblGrid>
        <w:gridCol w:w="2045"/>
        <w:gridCol w:w="2045"/>
        <w:gridCol w:w="2045"/>
        <w:gridCol w:w="2045"/>
        <w:gridCol w:w="2045"/>
      </w:tblGrid>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4"/>
              </w:rPr>
            </w:r>
            <w:r>
              <w:rPr>
                <w:b/>
                <w:color w:val="FFFFFF"/>
                <w:sz w:val="14"/>
              </w:rPr>
              <w:t>Challenge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4"/>
              </w:rPr>
            </w:r>
            <w:r>
              <w:rPr>
                <w:b/>
                <w:color w:val="FFFFFF"/>
                <w:sz w:val="14"/>
              </w:rPr>
              <w:t>Business Impact</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4"/>
              </w:rPr>
            </w:r>
            <w:r>
              <w:rPr>
                <w:b/>
                <w:color w:val="FFFFFF"/>
                <w:sz w:val="14"/>
              </w:rPr>
              <w:t>Root Cause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4"/>
              </w:rPr>
            </w:r>
            <w:r>
              <w:rPr>
                <w:b/>
                <w:color w:val="FFFFFF"/>
                <w:sz w:val="14"/>
              </w:rPr>
              <w:t>Digital Response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4"/>
              </w:rPr>
            </w:r>
            <w:r>
              <w:rPr>
                <w:b/>
                <w:color w:val="FFFFFF"/>
                <w:sz w:val="14"/>
              </w:rPr>
              <w:t>KPI</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Reactive service model</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Higher support effort and delayed resolution</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Limited predictive support and fragmented knowledge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AI-assisted service desk and predictive case routing</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First-contact resolution</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Limited self-service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Customer friction and higher cost-to-serve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Portal capability gaps and inconsistent content</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Modern customer portal with knowledge, order status, and request tracking</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Self-service adoption</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Inconsistent customer insights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Missed cross-sell and retention opportunities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Scattered CRM, service, and product data</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Customer 360 analytics and next-best-action recommendations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Retention and expansion rate</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Slow issue escalation</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Reduced confidence in service reliability</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Manual handoffs across sales, service, operations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Workflow automation and SLA-based escalation</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Case cycle time</w:t>
            </w:r>
          </w:p>
        </w:tc>
      </w:tr>
    </w:tbl>
    <w:p>
      <w:pPr>
        <w:pStyle w:val="Heading1"/>
        <w:keepNext/>
        <w:spacing w:before="160" w:after="80"/>
      </w:pPr>
      <w:r>
        <w:rPr>
          <w:color w:val="17365D"/>
        </w:rPr>
        <w:t>6. Workforce Challenges</w:t>
      </w:r>
    </w:p>
    <w:p>
      <w:pPr>
        <w:widowControl/>
        <w:spacing w:after="100"/>
      </w:pPr>
      <w:r>
        <w:t>The workforce is central to transformation success. Employees may face tool overload, inconsistent digital skills, manual administrative work, change fatigue, and uncertainty about AI adoption. A structured adoption program should combine role-based enablement, champions, governance, feedback loops, and measurable productivity outcomes.</w:t>
      </w:r>
    </w:p>
    <w:tbl>
      <w:tblPr>
        <w:tblW w:type="auto" w:w="0"/>
        <w:jc w:val="center"/>
        <w:tblLayout w:type="autofit"/>
        <w:tblLook w:firstColumn="1" w:firstRow="1" w:lastColumn="0" w:lastRow="0" w:noHBand="0" w:noVBand="1" w:val="04A0"/>
      </w:tblPr>
      <w:tblGrid>
        <w:gridCol w:w="2556"/>
        <w:gridCol w:w="2556"/>
        <w:gridCol w:w="2556"/>
        <w:gridCol w:w="2556"/>
      </w:tblGrid>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5"/>
              </w:rPr>
            </w:r>
            <w:r>
              <w:rPr>
                <w:b/>
                <w:color w:val="FFFFFF"/>
                <w:sz w:val="15"/>
              </w:rPr>
              <w:t>Workforce Challenge</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5"/>
              </w:rPr>
            </w:r>
            <w:r>
              <w:rPr>
                <w:b/>
                <w:color w:val="FFFFFF"/>
                <w:sz w:val="15"/>
              </w:rPr>
              <w:t>Transformation Response</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5"/>
              </w:rPr>
            </w:r>
            <w:r>
              <w:rPr>
                <w:b/>
                <w:color w:val="FFFFFF"/>
                <w:sz w:val="15"/>
              </w:rPr>
              <w:t>Enablement Activity</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5"/>
              </w:rPr>
            </w:r>
            <w:r>
              <w:rPr>
                <w:b/>
                <w:color w:val="FFFFFF"/>
                <w:sz w:val="15"/>
              </w:rPr>
              <w:t>Success Measure</w:t>
            </w:r>
          </w:p>
        </w:tc>
      </w:tr>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Manual and repetitive work</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Automate routine processes and use AI assistance</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Workflow assessment and Copilot use case workshops</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Hours saved and process cycle time</w:t>
            </w:r>
          </w:p>
        </w:tc>
      </w:tr>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Digital skills variability</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Role-based learning paths and champions model</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Training, office hours, peer coaching</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Adoption rate and proficiency assessment</w:t>
            </w:r>
          </w:p>
        </w:tc>
      </w:tr>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Change fatigue</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Clear communication and phased rollout</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Executive messaging and feedback channels</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Sentiment and adoption sustainability</w:t>
            </w:r>
          </w:p>
        </w:tc>
      </w:tr>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Knowledge fragmentation</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Enterprise knowledge management and search</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Content hygiene, taxonomy, and AI grounding readiness</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5"/>
              </w:rPr>
            </w:r>
            <w:r>
              <w:rPr>
                <w:b w:val="0"/>
                <w:sz w:val="15"/>
              </w:rPr>
              <w:t>Search success rate and reuse of approved content</w:t>
            </w:r>
          </w:p>
        </w:tc>
      </w:tr>
    </w:tbl>
    <w:p>
      <w:pPr>
        <w:pStyle w:val="Heading1"/>
        <w:keepNext/>
        <w:spacing w:before="160" w:after="80"/>
      </w:pPr>
      <w:r>
        <w:rPr>
          <w:color w:val="17365D"/>
        </w:rPr>
        <w:t>7. Operational Challenges</w:t>
      </w:r>
    </w:p>
    <w:p>
      <w:pPr>
        <w:widowControl/>
        <w:spacing w:after="100"/>
      </w:pPr>
      <w:r>
        <w:t>Operational transformation should improve visibility, predictability, and resilience across manufacturing, supply chain, logistics, inventory, quality, and service fulfillment. The operating model should combine real-time data, predictive analytics, and cross-functional accountability.</w:t>
      </w:r>
    </w:p>
    <w:tbl>
      <w:tblPr>
        <w:tblW w:type="auto" w:w="0"/>
        <w:jc w:val="center"/>
        <w:tblLayout w:type="autofit"/>
        <w:tblLook w:firstColumn="1" w:firstRow="1" w:lastColumn="0" w:lastRow="0" w:noHBand="0" w:noVBand="1" w:val="04A0"/>
      </w:tblPr>
      <w:tblGrid>
        <w:gridCol w:w="2045"/>
        <w:gridCol w:w="2045"/>
        <w:gridCol w:w="2045"/>
        <w:gridCol w:w="2045"/>
        <w:gridCol w:w="2045"/>
      </w:tblGrid>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4"/>
              </w:rPr>
            </w:r>
            <w:r>
              <w:rPr>
                <w:b/>
                <w:color w:val="FFFFFF"/>
                <w:sz w:val="14"/>
              </w:rPr>
              <w:t>Challenge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4"/>
              </w:rPr>
            </w:r>
            <w:r>
              <w:rPr>
                <w:b/>
                <w:color w:val="FFFFFF"/>
                <w:sz w:val="14"/>
              </w:rPr>
              <w:t>Impact</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4"/>
              </w:rPr>
            </w:r>
            <w:r>
              <w:rPr>
                <w:b/>
                <w:color w:val="FFFFFF"/>
                <w:sz w:val="14"/>
              </w:rPr>
              <w:t>Digital Capability</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4"/>
              </w:rPr>
            </w:r>
            <w:r>
              <w:rPr>
                <w:b/>
                <w:color w:val="FFFFFF"/>
                <w:sz w:val="14"/>
              </w:rPr>
              <w:t>Action Plan</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4"/>
              </w:rPr>
            </w:r>
            <w:r>
              <w:rPr>
                <w:b/>
                <w:color w:val="FFFFFF"/>
                <w:sz w:val="14"/>
              </w:rPr>
              <w:t>Metric</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Logistics delays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Delayed fulfillment and customer impact</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Shipment visibility and exception management</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Create logistics control tower and escalation playbook</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On-time delivery</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Production downtime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Reduced throughput and higher cost</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Predictive maintenance and asset monitoring</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Scale predictive maintenance across critical assets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Downtime hours</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Inventory imbalance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Working capital pressure and stockout risk</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Demand sensing and inventory analytics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Improve forecast accuracy and safety stock logic</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Inventory turnover</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Quality variability</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Rework, warranty, and customer impact</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Quality analytics and root-cause automation</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Integrate quality signals into operations dashboard</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Defect rate</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Process silos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Slow decisions and duplicated effort</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Workflow orchestration and shared dashboards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Build cross-functional command center metrics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Decision cycle time</w:t>
            </w:r>
          </w:p>
        </w:tc>
      </w:tr>
    </w:tbl>
    <w:p>
      <w:pPr>
        <w:pStyle w:val="Heading1"/>
        <w:keepNext/>
        <w:spacing w:before="160" w:after="80"/>
      </w:pPr>
      <w:r>
        <w:rPr>
          <w:color w:val="17365D"/>
        </w:rPr>
        <w:t>8. Innovation Priorities</w:t>
      </w:r>
    </w:p>
    <w:p>
      <w:pPr>
        <w:widowControl/>
        <w:spacing w:after="100"/>
      </w:pPr>
      <w:r>
        <w:t>Innovation should be focused on use cases with measurable business value, high adoption potential, responsible AI readiness, and scalability across the enterprise. The innovation portfolio should balance quick wins with strategic platform investments.</w:t>
      </w:r>
    </w:p>
    <w:tbl>
      <w:tblPr>
        <w:tblW w:type="auto" w:w="0"/>
        <w:jc w:val="center"/>
        <w:tblLayout w:type="autofit"/>
        <w:tblLook w:firstColumn="1" w:firstRow="1" w:lastColumn="0" w:lastRow="0" w:noHBand="0" w:noVBand="1" w:val="04A0"/>
      </w:tblPr>
      <w:tblGrid>
        <w:gridCol w:w="2045"/>
        <w:gridCol w:w="2045"/>
        <w:gridCol w:w="2045"/>
        <w:gridCol w:w="2045"/>
        <w:gridCol w:w="2045"/>
      </w:tblGrid>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4"/>
              </w:rPr>
            </w:r>
            <w:r>
              <w:rPr>
                <w:b/>
                <w:color w:val="FFFFFF"/>
                <w:sz w:val="14"/>
              </w:rPr>
              <w:t>Priority</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4"/>
              </w:rPr>
            </w:r>
            <w:r>
              <w:rPr>
                <w:b/>
                <w:color w:val="FFFFFF"/>
                <w:sz w:val="14"/>
              </w:rPr>
              <w:t>Use Case Examples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4"/>
              </w:rPr>
            </w:r>
            <w:r>
              <w:rPr>
                <w:b/>
                <w:color w:val="FFFFFF"/>
                <w:sz w:val="14"/>
              </w:rPr>
              <w:t>Value Lever</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4"/>
              </w:rPr>
            </w:r>
            <w:r>
              <w:rPr>
                <w:b/>
                <w:color w:val="FFFFFF"/>
                <w:sz w:val="14"/>
              </w:rPr>
              <w:t>Dependencies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4"/>
              </w:rPr>
            </w:r>
            <w:r>
              <w:rPr>
                <w:b/>
                <w:color w:val="FFFFFF"/>
                <w:sz w:val="14"/>
              </w:rPr>
              <w:t>Time Horizon</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AI-enabled products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Smart recommendations, embedded assistants, predictive features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Differentiation and revenue growth</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Product data, model governance, customer validation</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6-18 months</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Copilot for productivity</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Meeting summaries, document drafts, knowledge search, analysis support</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Workforce efficiency</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Secure content, adoption plan, usage analytics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0-6 months</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Predictive operations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Maintenance prediction, demand sensing, disruption alerts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Cost reduction and resilience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Operational data, IoT, analytics model monitoring</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6-12 months</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Customer intelligence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Customer 360, service prediction, next-best action</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Retention and growth</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CRM/service integration and data quality</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6-12 months</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Responsible AI framework</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Use case intake, risk review, monitoring, human oversight</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Trust and compliance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Policy, governance board, training</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0-6 months</w:t>
            </w:r>
          </w:p>
        </w:tc>
      </w:tr>
    </w:tbl>
    <w:p>
      <w:pPr>
        <w:pStyle w:val="Heading1"/>
        <w:keepNext/>
        <w:spacing w:before="160" w:after="80"/>
      </w:pPr>
      <w:r>
        <w:rPr>
          <w:color w:val="17365D"/>
        </w:rPr>
        <w:t>9. Sustainability Objectives</w:t>
      </w:r>
    </w:p>
    <w:p>
      <w:pPr>
        <w:widowControl/>
        <w:spacing w:after="100"/>
      </w:pPr>
      <w:r>
        <w:t>Sustainability should be integrated into the transformation roadmap rather than treated as a separate reporting activity. Digital capabilities can improve energy visibility, reduce waste, support responsible sourcing, and create stronger governance around ESG performance.</w:t>
      </w:r>
    </w:p>
    <w:tbl>
      <w:tblPr>
        <w:tblW w:type="auto" w:w="0"/>
        <w:jc w:val="center"/>
        <w:tblLayout w:type="autofit"/>
        <w:tblLook w:firstColumn="1" w:firstRow="1" w:lastColumn="0" w:lastRow="0" w:noHBand="0" w:noVBand="1" w:val="04A0"/>
      </w:tblPr>
      <w:tblGrid>
        <w:gridCol w:w="2045"/>
        <w:gridCol w:w="2045"/>
        <w:gridCol w:w="2045"/>
        <w:gridCol w:w="2045"/>
        <w:gridCol w:w="2045"/>
      </w:tblGrid>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4"/>
              </w:rPr>
            </w:r>
            <w:r>
              <w:rPr>
                <w:b/>
                <w:color w:val="FFFFFF"/>
                <w:sz w:val="14"/>
              </w:rPr>
              <w:t>Objective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4"/>
              </w:rPr>
            </w:r>
            <w:r>
              <w:rPr>
                <w:b/>
                <w:color w:val="FFFFFF"/>
                <w:sz w:val="14"/>
              </w:rPr>
              <w:t>Digital Enabler</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4"/>
              </w:rPr>
            </w:r>
            <w:r>
              <w:rPr>
                <w:b/>
                <w:color w:val="FFFFFF"/>
                <w:sz w:val="14"/>
              </w:rPr>
              <w:t>Operational Action</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4"/>
              </w:rPr>
            </w:r>
            <w:r>
              <w:rPr>
                <w:b/>
                <w:color w:val="FFFFFF"/>
                <w:sz w:val="14"/>
              </w:rPr>
              <w:t>Metric</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4"/>
              </w:rPr>
            </w:r>
            <w:r>
              <w:rPr>
                <w:b/>
                <w:color w:val="FFFFFF"/>
                <w:sz w:val="14"/>
              </w:rPr>
              <w:t>Executive Owner</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Reduce energy intensity</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Energy monitoring and analytics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Track consumption by site and line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Energy per unit produced</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COO/Sustainability Lead</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Minimize waste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Quality analytics and process optimization</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Reduce scrap, rework, and returns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Waste diversion and scrap rate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Operations Leader</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Improve responsible sourcing</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Supplier risk and ESG scoring</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Assess critical supplier sustainability and resilience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Supplier ESG coverage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Procurement Leader</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Enhance ESG reporting</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Data governance and reporting automation</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Create auditable ESG data pipeline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Reporting completeness and exception closure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CFO/Legal</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Support workforce sustainability</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Digital learning and safe operations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Use training and analytics to support safe practices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Safety incidents and training completion</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4"/>
              </w:rPr>
            </w:r>
            <w:r>
              <w:rPr>
                <w:b w:val="0"/>
                <w:sz w:val="14"/>
              </w:rPr>
              <w:t>CHRO/COO</w:t>
            </w:r>
          </w:p>
        </w:tc>
      </w:tr>
    </w:tbl>
    <w:p>
      <w:pPr>
        <w:pStyle w:val="Heading1"/>
        <w:keepNext/>
        <w:spacing w:before="160" w:after="80"/>
      </w:pPr>
      <w:r>
        <w:rPr>
          <w:color w:val="17365D"/>
        </w:rPr>
        <w:t>10. Competitive Landscape</w:t>
      </w:r>
    </w:p>
    <w:p>
      <w:pPr>
        <w:widowControl/>
        <w:spacing w:after="100"/>
      </w:pPr>
      <w:r>
        <w:t>The competitive landscape is shaped by firms that use digital channels, AI-enabled products, predictive support, data-driven sales, and resilient supply chains to deliver faster and more personalized value. Contoso should assume that competitors are investing in automation, analytics, cloud platforms, service modernization, and customer self-service.</w:t>
      </w:r>
    </w:p>
    <w:tbl>
      <w:tblPr>
        <w:tblW w:type="auto" w:w="0"/>
        <w:jc w:val="center"/>
        <w:tblLayout w:type="autofit"/>
        <w:tblLook w:firstColumn="1" w:firstRow="1" w:lastColumn="0" w:lastRow="0" w:noHBand="0" w:noVBand="1" w:val="04A0"/>
      </w:tblPr>
      <w:tblGrid>
        <w:gridCol w:w="2045"/>
        <w:gridCol w:w="2045"/>
        <w:gridCol w:w="2045"/>
        <w:gridCol w:w="2045"/>
        <w:gridCol w:w="2045"/>
      </w:tblGrid>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3"/>
              </w:rPr>
            </w:r>
            <w:r>
              <w:rPr>
                <w:b/>
                <w:color w:val="FFFFFF"/>
                <w:sz w:val="13"/>
              </w:rPr>
              <w:t>Competitive Force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3"/>
              </w:rPr>
            </w:r>
            <w:r>
              <w:rPr>
                <w:b/>
                <w:color w:val="FFFFFF"/>
                <w:sz w:val="13"/>
              </w:rPr>
              <w:t>Market Signal</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3"/>
              </w:rPr>
            </w:r>
            <w:r>
              <w:rPr>
                <w:b/>
                <w:color w:val="FFFFFF"/>
                <w:sz w:val="13"/>
              </w:rPr>
              <w:t>Threat</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3"/>
              </w:rPr>
            </w:r>
            <w:r>
              <w:rPr>
                <w:b/>
                <w:color w:val="FFFFFF"/>
                <w:sz w:val="13"/>
              </w:rPr>
              <w:t>Opportunity</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3"/>
              </w:rPr>
            </w:r>
            <w:r>
              <w:rPr>
                <w:b/>
                <w:color w:val="FFFFFF"/>
                <w:sz w:val="13"/>
              </w:rPr>
              <w:t>Strategic Response</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Digital-native entrants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Faster experimentation and lower digital friction</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Customer expectations rise quickly</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Differentiate through enterprise trust and domain expertise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Launch agile product and CX squads</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Established manufacturers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Investing in operational intelligence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Margin and productivity gap risk</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Use AI to improve operations and service models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Scale predictive operations and data platform</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Platform ecosystems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Customers value connected services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Standalone products become less attractive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Build partner and integration strategy</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Develop API and ecosystem roadmap</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Customer bargaining power</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Buyers expect transparency, speed, and outcomes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Price pressure and churn risk</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Improve customer experience and outcome-based services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Modernize portal and predictive support</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Regulatory and ESG pressure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Governance expectations increasing</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Compliance and reputation risk</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Lead with responsible AI and sustainability reporting</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Strengthen governance and auditability</w:t>
            </w:r>
          </w:p>
        </w:tc>
      </w:tr>
    </w:tbl>
    <w:p>
      <w:pPr>
        <w:pStyle w:val="Heading1"/>
        <w:keepNext/>
        <w:spacing w:before="160" w:after="80"/>
      </w:pPr>
      <w:r>
        <w:rPr>
          <w:color w:val="17365D"/>
        </w:rPr>
        <w:t>11. Strategic Risks</w:t>
      </w:r>
    </w:p>
    <w:p>
      <w:pPr>
        <w:widowControl/>
        <w:spacing w:after="100"/>
      </w:pPr>
      <w:r>
        <w:t>Digital transformation introduces strategic risks that must be actively governed. The following register should be reviewed monthly by the transformation steering committee and quarterly by executive leadership.</w:t>
      </w:r>
    </w:p>
    <w:tbl>
      <w:tblPr>
        <w:tblW w:type="auto" w:w="0"/>
        <w:jc w:val="center"/>
        <w:tblLayout w:type="autofit"/>
        <w:tblLook w:firstColumn="1" w:firstRow="1" w:lastColumn="0" w:lastRow="0" w:noHBand="0" w:noVBand="1" w:val="04A0"/>
      </w:tblPr>
      <w:tblGrid>
        <w:gridCol w:w="1704"/>
        <w:gridCol w:w="1704"/>
        <w:gridCol w:w="1704"/>
        <w:gridCol w:w="1704"/>
        <w:gridCol w:w="1704"/>
        <w:gridCol w:w="1704"/>
      </w:tblGrid>
      <w:tr>
        <w:trPr>
          <w:cantSplit/>
        </w:trPr>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3"/>
              </w:rPr>
            </w:r>
            <w:r>
              <w:rPr>
                <w:b/>
                <w:color w:val="FFFFFF"/>
                <w:sz w:val="13"/>
              </w:rPr>
              <w:t>Risk</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3"/>
              </w:rPr>
            </w:r>
            <w:r>
              <w:rPr>
                <w:b/>
                <w:color w:val="FFFFFF"/>
                <w:sz w:val="13"/>
              </w:rPr>
              <w:t>Likelihood</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3"/>
              </w:rPr>
            </w:r>
            <w:r>
              <w:rPr>
                <w:b/>
                <w:color w:val="FFFFFF"/>
                <w:sz w:val="13"/>
              </w:rPr>
              <w:t>Impact</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3"/>
              </w:rPr>
            </w:r>
            <w:r>
              <w:rPr>
                <w:b/>
                <w:color w:val="FFFFFF"/>
                <w:sz w:val="13"/>
              </w:rPr>
              <w:t>Early Warning Indicator</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3"/>
              </w:rPr>
            </w:r>
            <w:r>
              <w:rPr>
                <w:b/>
                <w:color w:val="FFFFFF"/>
                <w:sz w:val="13"/>
              </w:rPr>
              <w:t>Mitigation</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3"/>
              </w:rPr>
            </w:r>
            <w:r>
              <w:rPr>
                <w:b/>
                <w:color w:val="FFFFFF"/>
                <w:sz w:val="13"/>
              </w:rPr>
              <w:t>Executive Owner</w:t>
            </w:r>
          </w:p>
        </w:tc>
      </w:tr>
      <w:tr>
        <w:trPr>
          <w:cantSplit/>
        </w:trPr>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Low adoption of AI tools</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jc w:val="center"/>
            </w:pPr>
            <w:r>
              <w:rPr>
                <w:sz w:val="13"/>
              </w:rPr>
            </w:r>
            <w:r>
              <w:rPr>
                <w:b w:val="0"/>
                <w:sz w:val="13"/>
              </w:rPr>
              <w:t>Medium</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jc w:val="center"/>
            </w:pPr>
            <w:r>
              <w:rPr>
                <w:sz w:val="13"/>
              </w:rPr>
            </w:r>
            <w:r>
              <w:rPr>
                <w:b w:val="0"/>
                <w:sz w:val="13"/>
              </w:rPr>
              <w:t>High</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Usage plateaus after launch</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Role-based use cases, champions, manager reinforcement, adoption analytics</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CHRO/CIO</w:t>
            </w:r>
          </w:p>
        </w:tc>
      </w:tr>
      <w:tr>
        <w:trPr>
          <w:cantSplit/>
        </w:trPr>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Data quality and access gaps</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jc w:val="center"/>
            </w:pPr>
            <w:r>
              <w:rPr>
                <w:sz w:val="13"/>
              </w:rPr>
            </w:r>
            <w:r>
              <w:rPr>
                <w:b w:val="0"/>
                <w:sz w:val="13"/>
              </w:rPr>
              <w:t>High</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jc w:val="center"/>
            </w:pPr>
            <w:r>
              <w:rPr>
                <w:sz w:val="13"/>
              </w:rPr>
            </w:r>
            <w:r>
              <w:rPr>
                <w:b w:val="0"/>
                <w:sz w:val="13"/>
              </w:rPr>
              <w:t>High</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Use cases delayed due to poor data readiness</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Data governance, ownership, catalog, quality remediation</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CDO/CIO</w:t>
            </w:r>
          </w:p>
        </w:tc>
      </w:tr>
      <w:tr>
        <w:trPr>
          <w:cantSplit/>
        </w:trPr>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Cybersecurity and privacy exposure</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jc w:val="center"/>
            </w:pPr>
            <w:r>
              <w:rPr>
                <w:sz w:val="13"/>
              </w:rPr>
            </w:r>
            <w:r>
              <w:rPr>
                <w:b w:val="0"/>
                <w:sz w:val="13"/>
              </w:rPr>
              <w:t>Medium-High</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jc w:val="center"/>
            </w:pPr>
            <w:r>
              <w:rPr>
                <w:sz w:val="13"/>
              </w:rPr>
            </w:r>
            <w:r>
              <w:rPr>
                <w:b w:val="0"/>
                <w:sz w:val="13"/>
              </w:rPr>
              <w:t>High</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Policy exceptions or unusual access patterns</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Zero Trust controls, DLP, monitoring, responsible AI review</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CISO</w:t>
            </w:r>
          </w:p>
        </w:tc>
      </w:tr>
      <w:tr>
        <w:trPr>
          <w:cantSplit/>
        </w:trPr>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Unclear business ownership</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jc w:val="center"/>
            </w:pPr>
            <w:r>
              <w:rPr>
                <w:sz w:val="13"/>
              </w:rPr>
            </w:r>
            <w:r>
              <w:rPr>
                <w:b w:val="0"/>
                <w:sz w:val="13"/>
              </w:rPr>
              <w:t>Medium</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jc w:val="center"/>
            </w:pPr>
            <w:r>
              <w:rPr>
                <w:sz w:val="13"/>
              </w:rPr>
            </w:r>
            <w:r>
              <w:rPr>
                <w:b w:val="0"/>
                <w:sz w:val="13"/>
              </w:rPr>
              <w:t>High</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Technology-led projects without measurable outcomes</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Business case discipline and executive sponsor accountability</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Transformation Office</w:t>
            </w:r>
          </w:p>
        </w:tc>
      </w:tr>
      <w:tr>
        <w:trPr>
          <w:cantSplit/>
        </w:trPr>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Change fatigue</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jc w:val="center"/>
            </w:pPr>
            <w:r>
              <w:rPr>
                <w:sz w:val="13"/>
              </w:rPr>
            </w:r>
            <w:r>
              <w:rPr>
                <w:b w:val="0"/>
                <w:sz w:val="13"/>
              </w:rPr>
              <w:t>Medium</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jc w:val="center"/>
            </w:pPr>
            <w:r>
              <w:rPr>
                <w:sz w:val="13"/>
              </w:rPr>
            </w:r>
            <w:r>
              <w:rPr>
                <w:b w:val="0"/>
                <w:sz w:val="13"/>
              </w:rPr>
              <w:t>Medium</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Training attendance drops or sentiment declines</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Phased rollout, communication, feedback loops, visible quick wins</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CHRO</w:t>
            </w:r>
          </w:p>
        </w:tc>
      </w:tr>
      <w:tr>
        <w:trPr>
          <w:cantSplit/>
        </w:trPr>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Integration complexity</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jc w:val="center"/>
            </w:pPr>
            <w:r>
              <w:rPr>
                <w:sz w:val="13"/>
              </w:rPr>
            </w:r>
            <w:r>
              <w:rPr>
                <w:b w:val="0"/>
                <w:sz w:val="13"/>
              </w:rPr>
              <w:t>Medium</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jc w:val="center"/>
            </w:pPr>
            <w:r>
              <w:rPr>
                <w:sz w:val="13"/>
              </w:rPr>
            </w:r>
            <w:r>
              <w:rPr>
                <w:b w:val="0"/>
                <w:sz w:val="13"/>
              </w:rPr>
              <w:t>Medium-High</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Project delays and unresolved dependencies</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Architecture review board and integration roadmap</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CIO</w:t>
            </w:r>
          </w:p>
        </w:tc>
      </w:tr>
      <w:tr>
        <w:trPr>
          <w:cantSplit/>
        </w:trPr>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Regulatory and responsible AI risk</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jc w:val="center"/>
            </w:pPr>
            <w:r>
              <w:rPr>
                <w:sz w:val="13"/>
              </w:rPr>
            </w:r>
            <w:r>
              <w:rPr>
                <w:b w:val="0"/>
                <w:sz w:val="13"/>
              </w:rPr>
              <w:t>Medium</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jc w:val="center"/>
            </w:pPr>
            <w:r>
              <w:rPr>
                <w:sz w:val="13"/>
              </w:rPr>
            </w:r>
            <w:r>
              <w:rPr>
                <w:b w:val="0"/>
                <w:sz w:val="13"/>
              </w:rPr>
              <w:t>High</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Ungoverned AI use cases or audit gaps</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Use case intake, risk classification, human oversight, documentation</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Legal/CISO</w:t>
            </w:r>
          </w:p>
        </w:tc>
      </w:tr>
    </w:tbl>
    <w:p>
      <w:pPr>
        <w:pStyle w:val="Heading1"/>
        <w:keepNext/>
        <w:spacing w:before="160" w:after="80"/>
      </w:pPr>
      <w:r>
        <w:rPr>
          <w:color w:val="17365D"/>
        </w:rPr>
        <w:t>Transformation Roadmap and Governance</w:t>
      </w:r>
    </w:p>
    <w:tbl>
      <w:tblPr>
        <w:tblW w:type="auto" w:w="0"/>
        <w:jc w:val="center"/>
        <w:tblLayout w:type="autofit"/>
        <w:tblLook w:firstColumn="1" w:firstRow="1" w:lastColumn="0" w:lastRow="0" w:noHBand="0" w:noVBand="1" w:val="04A0"/>
      </w:tblPr>
      <w:tblGrid>
        <w:gridCol w:w="2045"/>
        <w:gridCol w:w="2045"/>
        <w:gridCol w:w="2045"/>
        <w:gridCol w:w="2045"/>
        <w:gridCol w:w="2045"/>
      </w:tblGrid>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3"/>
              </w:rPr>
            </w:r>
            <w:r>
              <w:rPr>
                <w:b/>
                <w:color w:val="FFFFFF"/>
                <w:sz w:val="13"/>
              </w:rPr>
              <w:t>Phase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3"/>
              </w:rPr>
            </w:r>
            <w:r>
              <w:rPr>
                <w:b/>
                <w:color w:val="FFFFFF"/>
                <w:sz w:val="13"/>
              </w:rPr>
              <w:t>Timeline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3"/>
              </w:rPr>
            </w:r>
            <w:r>
              <w:rPr>
                <w:b/>
                <w:color w:val="FFFFFF"/>
                <w:sz w:val="13"/>
              </w:rPr>
              <w:t>Focus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3"/>
              </w:rPr>
            </w:r>
            <w:r>
              <w:rPr>
                <w:b/>
                <w:color w:val="FFFFFF"/>
                <w:sz w:val="13"/>
              </w:rPr>
              <w:t>Key Deliverables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jc w:val="center"/>
            </w:pPr>
            <w:r>
              <w:rPr>
                <w:b/>
                <w:color w:val="FFFFFF"/>
                <w:sz w:val="13"/>
              </w:rPr>
            </w:r>
            <w:r>
              <w:rPr>
                <w:b/>
                <w:color w:val="FFFFFF"/>
                <w:sz w:val="13"/>
              </w:rPr>
              <w:t>Decision Gate</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Phase 1: Foundation</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0-90 days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Readiness, governance, priority selection</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Transformation charter, AI policy, use case backlog, baseline KPIs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Approve funded roadmap</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Phase 2: Pilot and Prove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3-6 months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High-value quick wins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Copilot pilots, customer portal prototype, predictive operations pilot</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Scale or stop decisions</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Phase 3: Scale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6-12 months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Enterprise adoption and integration</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Scaled AI use cases, data platform improvements, operational dashboards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Benefits realization review</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Phase 4: Optimize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12-24 months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Continuous improvement and innovation</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Portfolio optimization, ESG reporting automation, new AI-enabled offerings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pPr>
            <w:r>
              <w:rPr>
                <w:sz w:val="13"/>
              </w:rPr>
            </w:r>
            <w:r>
              <w:rPr>
                <w:b w:val="0"/>
                <w:sz w:val="13"/>
              </w:rPr>
              <w:t>Strategic refresh</w:t>
            </w:r>
          </w:p>
        </w:tc>
      </w:tr>
    </w:tbl>
    <w:tbl>
      <w:tblPr>
        <w:tblW w:type="auto" w:w="0"/>
        <w:jc w:val="center"/>
        <w:tblLook w:firstColumn="1" w:firstRow="1" w:lastColumn="0" w:lastRow="0" w:noHBand="0" w:noVBand="1" w:val="04A0"/>
      </w:tblPr>
      <w:tblGrid>
        <w:gridCol w:w="10224"/>
      </w:tblGrid>
      <w:tr>
        <w:trPr>
          <w:cantSplit/>
        </w:trPr>
        <w:tc>
          <w:tcPr>
            <w:tcW w:type="dxa" w:w="10224"/>
            <w:shd w:fill="D9EAF7"/>
            <w:tcBorders>
              <w:top w:val="single" w:sz="4" w:space="0" w:color="A9C4DA"/>
              <w:left w:val="single" w:sz="4" w:space="0" w:color="A9C4DA"/>
              <w:bottom w:val="single" w:sz="4" w:space="0" w:color="A9C4DA"/>
              <w:right w:val="single" w:sz="4" w:space="0" w:color="A9C4DA"/>
              <w:insideH w:val="single" w:sz="4" w:space="0" w:color="A9C4DA"/>
              <w:insideV w:val="single" w:sz="4" w:space="0" w:color="A9C4DA"/>
            </w:tcBorders>
          </w:tcPr>
          <w:p>
            <w:pPr>
              <w:spacing w:after="40"/>
            </w:pPr>
            <w:r>
              <w:rPr>
                <w:b/>
                <w:color w:val="17365D"/>
                <w:sz w:val="20"/>
              </w:rPr>
              <w:t>Executive decision required</w:t>
            </w:r>
          </w:p>
          <w:p>
            <w:pPr>
              <w:spacing w:after="0"/>
            </w:pPr>
            <w:r>
              <w:rPr>
                <w:sz w:val="17"/>
              </w:rPr>
              <w:t>Approve the transformation charter, priority use cases, governance model, funding envelope, and quarterly value-tracking cadence. Transformation should be measured through business outcomes, not tool deployment alone.</w:t>
            </w:r>
          </w:p>
        </w:tc>
      </w:tr>
    </w:tbl>
    <w:p>
      <w:pPr>
        <w:widowControl/>
        <w:spacing w:after="20"/>
      </w:pPr>
    </w:p>
    <w:p>
      <w:pPr>
        <w:pStyle w:val="Heading2"/>
        <w:keepNext/>
        <w:spacing w:before="160" w:after="80"/>
      </w:pPr>
      <w:r>
        <w:rPr>
          <w:color w:val="2F75B5"/>
        </w:rPr>
        <w:t>Source and Lab Assumptions</w:t>
      </w:r>
    </w:p>
    <w:p>
      <w:pPr>
        <w:widowControl/>
        <w:spacing w:after="100"/>
      </w:pPr>
      <w:r>
        <w:t>This document is created as a lab-ready strategy artifact for an AI Transformation Strategy exercise. It uses the requested section structure and expands it into an executive-ready enterprise transformation plan. Where lab-specific source details were unavailable, content is framed as realistic assumptions for Contoso Manufacturing and should be adjusted to match the exact scenario used by the instructor.</w:t>
      </w:r>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Confidential - Strategy Working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Enterprise Digital Transformation Plan | AI Transformation Strategy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80"/>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Pramod Sunagar</dc:creator>
  <keywords/>
  <dc:description>generated by python-docx</dc:description>
  <lastModifiedBy>Pramod Sunagar</lastModifiedBy>
  <revision>1</revision>
  <dcterms:created xsi:type="dcterms:W3CDTF">2026-07-28T01:04:53.5174610Z</dcterms:created>
  <dcterms:modified xsi:type="dcterms:W3CDTF">2026-07-28T01:04:53.5174610Z</dcterms:modified>
  <category/>
</coreProperties>
</file>