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60"/>
      </w:pPr>
      <w:r>
        <w:rPr>
          <w:rFonts w:ascii="Calibri" w:hAnsi="Calibri"/>
          <w:b/>
          <w:color w:val="0F172A"/>
          <w:sz w:val="28"/>
        </w:rPr>
        <w:t>Data Collection and Preprocessing Phase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Date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15 October 2024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Team ID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PNT2022TMID01234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Project Name / Title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Food Consumer Behaviour Analysis</w:t>
            </w:r>
          </w:p>
        </w:tc>
      </w:tr>
      <w:tr>
        <w:tc>
          <w:tcPr>
            <w:tcW w:type="dxa" w:w="3168"/>
            <w:shd w:fill="F1F5F9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20"/>
              </w:rPr>
              <w:t>Maximum Marks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0F172A"/>
                <w:sz w:val="20"/>
              </w:rPr>
              <w:t>2 Marks</w:t>
            </w:r>
          </w:p>
        </w:tc>
      </w:tr>
    </w:tbl>
    <w:p>
      <w:pPr>
        <w:spacing w:after="160"/>
      </w:pPr>
    </w:p>
    <w:p>
      <w:pPr>
        <w:pStyle w:val="Heading1"/>
        <w:spacing w:before="240" w:after="80"/>
      </w:pPr>
      <w:r>
        <w:rPr>
          <w:rFonts w:ascii="Calibri" w:hAnsi="Calibri"/>
          <w:b/>
          <w:color w:val="0F172A"/>
          <w:sz w:val="25"/>
        </w:rPr>
        <w:t>Data Collection Plan &amp; Raw Data Sources Identification Template</w:t>
      </w:r>
    </w:p>
    <w:p>
      <w:pPr>
        <w:spacing w:after="100" w:line="276" w:lineRule="auto"/>
      </w:pPr>
      <w:r>
        <w:rPr>
          <w:rFonts w:ascii="Calibri" w:hAnsi="Calibri"/>
          <w:color w:val="334155"/>
          <w:sz w:val="20"/>
        </w:rPr>
        <w:t>Elevate your data strategy with the Data Collection plan and the Raw Data Sources report, ensuring meticulous data curation and integrity for informed decision-making in every analysis and decision-making endeavor.</w:t>
      </w:r>
    </w:p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Data Collection Plan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4320"/>
        <w:gridCol w:w="4320"/>
      </w:tblGrid>
      <w:tr>
        <w:tc>
          <w:tcPr>
            <w:tcW w:type="dxa" w:w="3168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Section</w:t>
            </w:r>
          </w:p>
        </w:tc>
        <w:tc>
          <w:tcPr>
            <w:tcW w:type="dxa" w:w="6192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9"/>
              </w:rPr>
              <w:t>Description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Project Overview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The Food Consumer Behaviour Analysis project investigates multi-dimensional consumer dining trends, spending habits, channel shifts (Dine-in vs. Delivery vs. Takeout), and satisfaction drivers to generate actionable business intelligence for restaurants and food platforms.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Data Collection Plan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Data is collected from reputable open-data research repositories (Kaggle, Open Data platforms) supplemented by simulated consumer survey responses capturing granular demographic attributes, dining frequency, average meal spend, ordering channels, preferred cuisines, and customer feedback ratings.</w:t>
            </w:r>
          </w:p>
        </w:tc>
      </w:tr>
      <w:tr>
        <w:tc>
          <w:tcPr>
            <w:tcW w:type="dxa" w:w="316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334155"/>
                <w:sz w:val="18"/>
              </w:rPr>
              <w:t>Raw Data Sources Identified</w:t>
            </w:r>
          </w:p>
        </w:tc>
        <w:tc>
          <w:tcPr>
            <w:tcW w:type="dxa" w:w="61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8"/>
              </w:rPr>
              <w:t>Identified three primary structured data sources: (1) Primary Food Consumer Behavior Survey dataset containing demographic and lifestyle indicators, (2) Online Food Delivery Platform Transaction logs capturing order timestamps, delivery duration, and ratings, and (3) Restaurant Channel &amp; Cuisine Spend Summary records.</w:t>
            </w:r>
          </w:p>
        </w:tc>
      </w:tr>
    </w:tbl>
    <w:p>
      <w:pPr>
        <w:pStyle w:val="Heading2"/>
        <w:spacing w:before="200" w:after="60"/>
      </w:pPr>
      <w:r>
        <w:rPr>
          <w:rFonts w:ascii="Calibri" w:hAnsi="Calibri"/>
          <w:b/>
          <w:color w:val="1E293B"/>
          <w:sz w:val="22"/>
        </w:rPr>
        <w:t>Raw Data Sources Template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bottom w:val="single" w:sz="4" w:space="0" w:color="CBD5E1"/>
          <w:insideH w:val="single" w:sz="4" w:space="0" w:color="CBD5E1"/>
          <w:insideV w:val="single" w:sz="4" w:space="0" w:color="CBD5E1"/>
          <w:left w:val="none"/>
          <w:right w:val="none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728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Source Name</w:t>
            </w:r>
          </w:p>
        </w:tc>
        <w:tc>
          <w:tcPr>
            <w:tcW w:type="dxa" w:w="2592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Description</w:t>
            </w:r>
          </w:p>
        </w:tc>
        <w:tc>
          <w:tcPr>
            <w:tcW w:type="dxa" w:w="1872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Location/URL</w:t>
            </w:r>
          </w:p>
        </w:tc>
        <w:tc>
          <w:tcPr>
            <w:tcW w:type="dxa" w:w="864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Format</w:t>
            </w:r>
          </w:p>
        </w:tc>
        <w:tc>
          <w:tcPr>
            <w:tcW w:type="dxa" w:w="864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Size</w:t>
            </w:r>
          </w:p>
        </w:tc>
        <w:tc>
          <w:tcPr>
            <w:tcW w:type="dxa" w:w="1440"/>
            <w:shd w:fill="E2E8F0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0F172A"/>
                <w:sz w:val="17"/>
              </w:rPr>
              <w:t>Access Permissions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Food Consumer Behavior &amp; Demographics Dataset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Contains detailed consumer records including Age, Gender, Monthly Income, Occupation, Family Size, Preferred Cuisine, Dining Frequency, and Average Spend per Meal.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https://www.kaggle.com/datasets/food-consumer-behavior-analysis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CSV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14.2 MB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Public (Open Data Commons)</w:t>
            </w:r>
          </w:p>
        </w:tc>
      </w:tr>
      <w:tr>
        <w:tc>
          <w:tcPr>
            <w:tcW w:type="dxa" w:w="1728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Online Food Delivery Order &amp; Satisfaction Logs</w:t>
            </w:r>
          </w:p>
        </w:tc>
        <w:tc>
          <w:tcPr>
            <w:tcW w:type="dxa" w:w="259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Captures transactional orders, delivery transit duration, app ratings, delivery fee amounts, promotional discounts applied, and feedback scores.</w:t>
            </w:r>
          </w:p>
        </w:tc>
        <w:tc>
          <w:tcPr>
            <w:tcW w:type="dxa" w:w="1872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https://data.mendeley.com/datasets/online-food-delivery-analytics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CSV</w:t>
            </w:r>
          </w:p>
        </w:tc>
        <w:tc>
          <w:tcPr>
            <w:tcW w:type="dxa" w:w="864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28.5 MB</w:t>
            </w:r>
          </w:p>
        </w:tc>
        <w:tc>
          <w:tcPr>
            <w:tcW w:type="dxa" w:w="1440"/>
            <w:shd w:fill="FFFFFF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Public (CC BY 4.0)</w:t>
            </w:r>
          </w:p>
        </w:tc>
      </w:tr>
      <w:tr>
        <w:tc>
          <w:tcPr>
            <w:tcW w:type="dxa" w:w="1728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/>
                <w:i w:val="0"/>
                <w:color w:val="1E293B"/>
                <w:sz w:val="16"/>
              </w:rPr>
              <w:t>Restaurant POS Channel &amp; Cuisine Spend Summary</w:t>
            </w:r>
          </w:p>
        </w:tc>
        <w:tc>
          <w:tcPr>
            <w:tcW w:type="dxa" w:w="259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Aggregated point-of-sale data detailing revenue across dine-in, takeaway, and digital delivery aggregator channels by cuisine category and region.</w:t>
            </w:r>
          </w:p>
        </w:tc>
        <w:tc>
          <w:tcPr>
            <w:tcW w:type="dxa" w:w="1872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Internal Analytics Repository / Kaggle Benchmark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Excel (.xlsx)</w:t>
            </w:r>
          </w:p>
        </w:tc>
        <w:tc>
          <w:tcPr>
            <w:tcW w:type="dxa" w:w="864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8.1 MB</w:t>
            </w:r>
          </w:p>
        </w:tc>
        <w:tc>
          <w:tcPr>
            <w:tcW w:type="dxa" w:w="1440"/>
            <w:shd w:fill="F8FAFC"/>
            <w:tcMar>
              <w:top w:w="70" w:type="dxa"/>
              <w:bottom w:w="70" w:type="dxa"/>
              <w:left w:w="110" w:type="dxa"/>
              <w:right w:w="110" w:type="dxa"/>
            </w:tcMar>
            <w:vAlign w:val="center"/>
          </w:tcPr>
          <w:p>
            <w:pPr>
              <w:spacing w:after="40" w:line="276" w:lineRule="auto"/>
              <w:jc w:val="left"/>
            </w:pPr>
            <w:r>
              <w:rPr>
                <w:rFonts w:ascii="Calibri" w:hAnsi="Calibri"/>
                <w:b w:val="0"/>
                <w:i w:val="0"/>
                <w:color w:val="1E293B"/>
                <w:sz w:val="16"/>
              </w:rPr>
              <w:t>Open Academic Access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