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172A"/>
          <w:sz w:val="28"/>
        </w:rPr>
        <w:t>Data Collection and Preprocessing Phase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 October 2024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Team ID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PNT2022TMID01234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Project Name / Title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Food Consumer Behaviour Analysis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Maximum Marks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10 Marks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Data Exploration and Preprocessing Template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Identifies data sources, assesses quality issues like missing values and duplicates, and implements resolution plans to ensure accurate and reliable analysis.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Section</w:t>
            </w:r>
          </w:p>
        </w:tc>
        <w:tc>
          <w:tcPr>
            <w:tcW w:type="dxa" w:w="6192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Description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Data Overview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The dataset contains 10,000+ consumer records across 16 core attributes detailing consumer demographic profiles (Age, Gender, Household Income, Family Size, Occupation), dining channel preferences (Dine-in, Food Delivery App, Takeaway), average meal spend ($), order frequency per week, preferred cuisines (Asian, Fast Food, Italian, Mexican, Healthy/Vegan), delivery transit duration, discount reliance, and satisfaction ratings (1 to 5 scale).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Data Cleaning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1. Missing Values: Imputed numerical attributes (Income, Spend) using group median by age/occupation; categorized missing categorical fields as 'Unspecified'.</w:t>
              <w:br/>
              <w:t>2. Duplicate Removal: Identified and dropped 182 duplicate transaction logs based on composite key (CustomerID, OrderTimestamp).</w:t>
              <w:br/>
              <w:t>3. Outlier Treatment: Applied Interquartile Range (IQR) filtering on meal spend and delivery duration; capped extreme values at the 99th percentile ($180 meal spend, 90 mins delivery).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Data Transformation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1. Age Cohort Binning: Binned continuous age values into standard demographic cohorts: 'Gen Z (18-24)', 'Young Millennial (25-34)', 'Older Millennial (35-44)', 'Gen X (45-54)', and 'Boomers (55+)'.</w:t>
              <w:br/>
              <w:t>2. Income Tiering: Segmented income into 'Low Income (&lt;$30k)', 'Middle Income ($30k-$75k)', 'Upper Middle ($75k-$120k)', and 'High Income ($120k+)'.</w:t>
              <w:br/>
              <w:t>3. Calculated Columns: Created Average Order Value (AOV = TotalSpend / TotalOrders), Spend Elasticity Index, and Satisfaction Quotient.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Data Type Conversion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• Order Date/Time converted from string object to native `datetime64[ns]`.</w:t>
              <w:br/>
              <w:t>• Spend, Income, Delivery Fee, and Discount Percentage converted to `float64`.</w:t>
              <w:br/>
              <w:t>• Order Frequency, Age, and Family Size converted to `int64`.</w:t>
              <w:br/>
              <w:t>• Ordering Channel, Cuisine, and Gender converted to categorical factors (`category`).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Column Splitting and Merging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• Location Splitting: Split composite 'Customer_Location' strings into discrete 'City' and 'State' columns for regional Tableau mapping.</w:t>
              <w:br/>
              <w:t>• Cuisine &amp; Category Merging: Merged secondary cuisine tags into standardized primary cuisine families (e.g., 'Pizza', 'Pasta' -&gt; 'Italian').</w:t>
              <w:br/>
              <w:t>• Name Parsing: Masked personally identifiable customer full names into anonymized Customer Hash IDs to ensure privacy compliance.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Data Modeling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Designed an analytical Star Schema in Tableau:</w:t>
              <w:br/>
              <w:t>• Fact Table: `Fact_FoodOrders` (OrderID, CustomerID, ChannelID, CuisineID, SpendAmount, DiscountApplied, DeliveryDurationMinutes, Rating).</w:t>
              <w:br/>
              <w:t>• Dimension Tables: `Dim_Customer` (Demographics, IncomeTier, AgeCohort), `Dim_Channel` (ChannelType, PlatformFee), `Dim_Cuisine` (CuisineCategory, HealthyFlag), and `Dim_Date` (Year, Quarter, Month, DayOfWeek, PeakHourFlag).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Save Processed Data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The cleaned, validated, and transformed dataset was exported as `food_consumer_behavior_cleaned.csv` and loaded as a Tableau Data Extract (.hyper) file for high-performance visual dashboard querying and public cloud publishing.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