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0F172A"/>
          <w:sz w:val="28"/>
        </w:rPr>
        <w:t>Business Question and Visualization Report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320"/>
        <w:gridCol w:w="4320"/>
      </w:tblGrid>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Date</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15 October 2024</w:t>
            </w:r>
          </w:p>
        </w:tc>
      </w:tr>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Team ID</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PNT2022TMID01234</w:t>
            </w:r>
          </w:p>
        </w:tc>
      </w:tr>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Project Name / Title</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Food Consumer Behaviour Analysis</w:t>
            </w:r>
          </w:p>
        </w:tc>
      </w:tr>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Maximum Marks</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5 Marks</w:t>
            </w:r>
          </w:p>
        </w:tc>
      </w:tr>
    </w:tbl>
    <w:p>
      <w:pPr>
        <w:spacing w:after="160"/>
      </w:pPr>
    </w:p>
    <w:p>
      <w:pPr>
        <w:spacing w:after="100" w:line="276" w:lineRule="auto"/>
      </w:pPr>
      <w:r>
        <w:rPr>
          <w:rFonts w:ascii="Calibri" w:hAnsi="Calibri"/>
          <w:color w:val="334155"/>
          <w:sz w:val="20"/>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pPr>
        <w:pStyle w:val="Heading1"/>
        <w:spacing w:before="240" w:after="80"/>
      </w:pPr>
      <w:r>
        <w:rPr>
          <w:rFonts w:ascii="Calibri" w:hAnsi="Calibri"/>
          <w:b/>
          <w:color w:val="0F172A"/>
          <w:sz w:val="25"/>
        </w:rPr>
        <w:t>Business Questions and Visualisation</w:t>
      </w:r>
    </w:p>
    <w:p>
      <w:pPr>
        <w:spacing w:after="100" w:line="276" w:lineRule="auto"/>
      </w:pPr>
      <w:r>
        <w:rPr>
          <w:rFonts w:ascii="Calibri" w:hAnsi="Calibri"/>
          <w:color w:val="334155"/>
          <w:sz w:val="20"/>
        </w:rPr>
        <w:t>The process involves defining specific business questions to guide the creation of meaningful and actionable visualizations in Tableau. Well-framed questions help in identifying key metrics, selecting relevant data, and building visualisation that provide insights.</w:t>
      </w:r>
    </w:p>
    <w:p>
      <w:pPr>
        <w:pStyle w:val="Heading2"/>
        <w:spacing w:before="200" w:after="60"/>
      </w:pPr>
      <w:r>
        <w:rPr>
          <w:rFonts w:ascii="Calibri" w:hAnsi="Calibri"/>
          <w:b/>
          <w:color w:val="1E293B"/>
          <w:sz w:val="22"/>
        </w:rPr>
        <w:t>1. What are the demographic spending trends across age cohorts and income tiers?</w:t>
      </w:r>
    </w:p>
    <w:p>
      <w:pPr>
        <w:pStyle w:val="ListBullet"/>
        <w:spacing w:after="60" w:line="276" w:lineRule="auto"/>
      </w:pPr>
      <w:r>
        <w:rPr>
          <w:rFonts w:ascii="Calibri" w:hAnsi="Calibri"/>
          <w:b/>
          <w:color w:val="0F172A"/>
          <w:sz w:val="20"/>
        </w:rPr>
        <w:t xml:space="preserve">Visualization: </w:t>
      </w:r>
      <w:r>
        <w:rPr>
          <w:rFonts w:ascii="Calibri" w:hAnsi="Calibri"/>
          <w:color w:val="334155"/>
          <w:sz w:val="20"/>
        </w:rPr>
        <w:t>Clustered Column &amp; Dual-Axis Line Chart comparing Average Meal Spend ($) and Order Frequency across Age Cohorts (18-24, 25-34, 35-44, 45-54, 55+).</w:t>
      </w:r>
    </w:p>
    <w:p>
      <w:pPr>
        <w:pStyle w:val="ListBullet"/>
        <w:spacing w:after="60" w:line="276" w:lineRule="auto"/>
      </w:pPr>
      <w:r>
        <w:rPr>
          <w:rFonts w:ascii="Calibri" w:hAnsi="Calibri"/>
          <w:b/>
          <w:color w:val="0F172A"/>
          <w:sz w:val="20"/>
        </w:rPr>
        <w:t xml:space="preserve">Key Insight / Observation: </w:t>
      </w:r>
      <w:r>
        <w:rPr>
          <w:rFonts w:ascii="Calibri" w:hAnsi="Calibri"/>
          <w:color w:val="334155"/>
          <w:sz w:val="20"/>
        </w:rPr>
        <w:t>The 25-34 age demographic represents the highest cumulative expenditure and ordering volume, while the 45-54 high-income cohort shows the highest individual ticket size ($62.40/order).</w:t>
      </w:r>
    </w:p>
    <w:p>
      <w:pPr>
        <w:pStyle w:val="ListBullet"/>
        <w:spacing w:after="60" w:line="276" w:lineRule="auto"/>
      </w:pPr>
      <w:r>
        <w:rPr>
          <w:rFonts w:ascii="Calibri" w:hAnsi="Calibri"/>
          <w:b/>
          <w:color w:val="0F172A"/>
          <w:sz w:val="20"/>
        </w:rPr>
        <w:t xml:space="preserve">Visualization Screenshot: </w:t>
      </w:r>
      <w:r>
        <w:rPr>
          <w:rFonts w:ascii="Calibri" w:hAnsi="Calibri"/>
          <w:color w:val="334155"/>
          <w:sz w:val="20"/>
        </w:rPr>
        <w:t>Embedded within interactive Tableau Public dashboard [View Live Chart]</w:t>
      </w:r>
    </w:p>
    <w:p>
      <w:pPr>
        <w:pStyle w:val="Heading2"/>
        <w:spacing w:before="200" w:after="60"/>
      </w:pPr>
      <w:r>
        <w:rPr>
          <w:rFonts w:ascii="Calibri" w:hAnsi="Calibri"/>
          <w:b/>
          <w:color w:val="1E293B"/>
          <w:sz w:val="22"/>
        </w:rPr>
        <w:t>2. How is customer dining demand distributed across ordering channels?</w:t>
      </w:r>
    </w:p>
    <w:p>
      <w:pPr>
        <w:pStyle w:val="ListBullet"/>
        <w:spacing w:after="60" w:line="276" w:lineRule="auto"/>
      </w:pPr>
      <w:r>
        <w:rPr>
          <w:rFonts w:ascii="Calibri" w:hAnsi="Calibri"/>
          <w:b/>
          <w:color w:val="0F172A"/>
          <w:sz w:val="20"/>
        </w:rPr>
        <w:t xml:space="preserve">Visualization: </w:t>
      </w:r>
      <w:r>
        <w:rPr>
          <w:rFonts w:ascii="Calibri" w:hAnsi="Calibri"/>
          <w:color w:val="334155"/>
          <w:sz w:val="20"/>
        </w:rPr>
        <w:t>Donut Chart &amp; 100% Stacked Bar displaying the market share breakdown of Delivery Apps (54.2%), Dine-in (29.6%), and Takeout (16.2%).</w:t>
      </w:r>
    </w:p>
    <w:p>
      <w:pPr>
        <w:pStyle w:val="ListBullet"/>
        <w:spacing w:after="60" w:line="276" w:lineRule="auto"/>
      </w:pPr>
      <w:r>
        <w:rPr>
          <w:rFonts w:ascii="Calibri" w:hAnsi="Calibri"/>
          <w:b/>
          <w:color w:val="0F172A"/>
          <w:sz w:val="20"/>
        </w:rPr>
        <w:t xml:space="preserve">Key Insight / Observation: </w:t>
      </w:r>
      <w:r>
        <w:rPr>
          <w:rFonts w:ascii="Calibri" w:hAnsi="Calibri"/>
          <w:color w:val="334155"/>
          <w:sz w:val="20"/>
        </w:rPr>
        <w:t>Digital delivery apps dominate weekly order volume, particularly among urban millennials, whereas dine-in retains higher average spend per sitting on weekends.</w:t>
      </w:r>
    </w:p>
    <w:p>
      <w:pPr>
        <w:pStyle w:val="ListBullet"/>
        <w:spacing w:after="60" w:line="276" w:lineRule="auto"/>
      </w:pPr>
      <w:r>
        <w:rPr>
          <w:rFonts w:ascii="Calibri" w:hAnsi="Calibri"/>
          <w:b/>
          <w:color w:val="0F172A"/>
          <w:sz w:val="20"/>
        </w:rPr>
        <w:t xml:space="preserve">Visualization Screenshot: </w:t>
      </w:r>
      <w:r>
        <w:rPr>
          <w:rFonts w:ascii="Calibri" w:hAnsi="Calibri"/>
          <w:color w:val="334155"/>
          <w:sz w:val="20"/>
        </w:rPr>
        <w:t>Embedded within interactive Tableau Public dashboard [View Live Chart]</w:t>
      </w:r>
    </w:p>
    <w:p>
      <w:pPr>
        <w:pStyle w:val="Heading2"/>
        <w:spacing w:before="200" w:after="60"/>
      </w:pPr>
      <w:r>
        <w:rPr>
          <w:rFonts w:ascii="Calibri" w:hAnsi="Calibri"/>
          <w:b/>
          <w:color w:val="1E293B"/>
          <w:sz w:val="22"/>
        </w:rPr>
        <w:t>3. Which cuisine categories generate the highest total revenue and order volume?</w:t>
      </w:r>
    </w:p>
    <w:p>
      <w:pPr>
        <w:pStyle w:val="ListBullet"/>
        <w:spacing w:after="60" w:line="276" w:lineRule="auto"/>
      </w:pPr>
      <w:r>
        <w:rPr>
          <w:rFonts w:ascii="Calibri" w:hAnsi="Calibri"/>
          <w:b/>
          <w:color w:val="0F172A"/>
          <w:sz w:val="20"/>
        </w:rPr>
        <w:t xml:space="preserve">Visualization: </w:t>
      </w:r>
      <w:r>
        <w:rPr>
          <w:rFonts w:ascii="Calibri" w:hAnsi="Calibri"/>
          <w:color w:val="334155"/>
          <w:sz w:val="20"/>
        </w:rPr>
        <w:t>Horizontal Ranked Bar Chart sorting total revenue contribution by cuisine family (Fast Food, Asian, Italian, Healthy/Organic, Mexican, Desserts).</w:t>
      </w:r>
    </w:p>
    <w:p>
      <w:pPr>
        <w:pStyle w:val="ListBullet"/>
        <w:spacing w:after="60" w:line="276" w:lineRule="auto"/>
      </w:pPr>
      <w:r>
        <w:rPr>
          <w:rFonts w:ascii="Calibri" w:hAnsi="Calibri"/>
          <w:b/>
          <w:color w:val="0F172A"/>
          <w:sz w:val="20"/>
        </w:rPr>
        <w:t xml:space="preserve">Key Insight / Observation: </w:t>
      </w:r>
      <w:r>
        <w:rPr>
          <w:rFonts w:ascii="Calibri" w:hAnsi="Calibri"/>
          <w:color w:val="334155"/>
          <w:sz w:val="20"/>
        </w:rPr>
        <w:t>Fast Food and Asian cuisines lead total volume, but Healthy/Organic cuisines show the fastest year-over-year revenue growth (+28%) and premium average ticket sizes.</w:t>
      </w:r>
    </w:p>
    <w:p>
      <w:pPr>
        <w:pStyle w:val="ListBullet"/>
        <w:spacing w:after="60" w:line="276" w:lineRule="auto"/>
      </w:pPr>
      <w:r>
        <w:rPr>
          <w:rFonts w:ascii="Calibri" w:hAnsi="Calibri"/>
          <w:b/>
          <w:color w:val="0F172A"/>
          <w:sz w:val="20"/>
        </w:rPr>
        <w:t xml:space="preserve">Visualization Screenshot: </w:t>
      </w:r>
      <w:r>
        <w:rPr>
          <w:rFonts w:ascii="Calibri" w:hAnsi="Calibri"/>
          <w:color w:val="334155"/>
          <w:sz w:val="20"/>
        </w:rPr>
        <w:t>Embedded within interactive Tableau Public dashboard [View Live Chart]</w:t>
      </w:r>
    </w:p>
    <w:p>
      <w:pPr>
        <w:pStyle w:val="Heading2"/>
        <w:spacing w:before="200" w:after="60"/>
      </w:pPr>
      <w:r>
        <w:rPr>
          <w:rFonts w:ascii="Calibri" w:hAnsi="Calibri"/>
          <w:b/>
          <w:color w:val="1E293B"/>
          <w:sz w:val="22"/>
        </w:rPr>
        <w:t>4. What are the seasonal and monthly dining expenditure trends?</w:t>
      </w:r>
    </w:p>
    <w:p>
      <w:pPr>
        <w:pStyle w:val="ListBullet"/>
        <w:spacing w:after="60" w:line="276" w:lineRule="auto"/>
      </w:pPr>
      <w:r>
        <w:rPr>
          <w:rFonts w:ascii="Calibri" w:hAnsi="Calibri"/>
          <w:b/>
          <w:color w:val="0F172A"/>
          <w:sz w:val="20"/>
        </w:rPr>
        <w:t xml:space="preserve">Visualization: </w:t>
      </w:r>
      <w:r>
        <w:rPr>
          <w:rFonts w:ascii="Calibri" w:hAnsi="Calibri"/>
          <w:color w:val="334155"/>
          <w:sz w:val="20"/>
        </w:rPr>
        <w:t>Time-Series Multi-Line Chart tracking monthly sales and transaction volume from January through December.</w:t>
      </w:r>
    </w:p>
    <w:p>
      <w:pPr>
        <w:pStyle w:val="ListBullet"/>
        <w:spacing w:after="60" w:line="276" w:lineRule="auto"/>
      </w:pPr>
      <w:r>
        <w:rPr>
          <w:rFonts w:ascii="Calibri" w:hAnsi="Calibri"/>
          <w:b/>
          <w:color w:val="0F172A"/>
          <w:sz w:val="20"/>
        </w:rPr>
        <w:t xml:space="preserve">Key Insight / Observation: </w:t>
      </w:r>
      <w:r>
        <w:rPr>
          <w:rFonts w:ascii="Calibri" w:hAnsi="Calibri"/>
          <w:color w:val="334155"/>
          <w:sz w:val="20"/>
        </w:rPr>
        <w:t>Pronounced spending peaks occur in November and December (holiday festivities and promotional campaigns), with a secondary surge in May, while February records the lowest seasonal volume.</w:t>
      </w:r>
    </w:p>
    <w:p>
      <w:pPr>
        <w:pStyle w:val="ListBullet"/>
        <w:spacing w:after="60" w:line="276" w:lineRule="auto"/>
      </w:pPr>
      <w:r>
        <w:rPr>
          <w:rFonts w:ascii="Calibri" w:hAnsi="Calibri"/>
          <w:b/>
          <w:color w:val="0F172A"/>
          <w:sz w:val="20"/>
        </w:rPr>
        <w:t xml:space="preserve">Visualization Screenshot: </w:t>
      </w:r>
      <w:r>
        <w:rPr>
          <w:rFonts w:ascii="Calibri" w:hAnsi="Calibri"/>
          <w:color w:val="334155"/>
          <w:sz w:val="20"/>
        </w:rPr>
        <w:t>Embedded within interactive Tableau Public dashboard [View Live Chart]</w:t>
      </w:r>
    </w:p>
    <w:p>
      <w:pPr>
        <w:pStyle w:val="Heading2"/>
        <w:spacing w:before="200" w:after="60"/>
      </w:pPr>
      <w:r>
        <w:rPr>
          <w:rFonts w:ascii="Calibri" w:hAnsi="Calibri"/>
          <w:b/>
          <w:color w:val="1E293B"/>
          <w:sz w:val="22"/>
        </w:rPr>
        <w:t>5. How does delivery duration impact customer satisfaction ratings?</w:t>
      </w:r>
    </w:p>
    <w:p>
      <w:pPr>
        <w:pStyle w:val="ListBullet"/>
        <w:spacing w:after="60" w:line="276" w:lineRule="auto"/>
      </w:pPr>
      <w:r>
        <w:rPr>
          <w:rFonts w:ascii="Calibri" w:hAnsi="Calibri"/>
          <w:b/>
          <w:color w:val="0F172A"/>
          <w:sz w:val="20"/>
        </w:rPr>
        <w:t xml:space="preserve">Visualization: </w:t>
      </w:r>
      <w:r>
        <w:rPr>
          <w:rFonts w:ascii="Calibri" w:hAnsi="Calibri"/>
          <w:color w:val="334155"/>
          <w:sz w:val="20"/>
        </w:rPr>
        <w:t>Scatter Plot with Trend Line &amp; Heatmap plotting Delivery Time (minutes) against Customer Rating (1.0 to 5.0 stars).</w:t>
      </w:r>
    </w:p>
    <w:p>
      <w:pPr>
        <w:pStyle w:val="ListBullet"/>
        <w:spacing w:after="60" w:line="276" w:lineRule="auto"/>
      </w:pPr>
      <w:r>
        <w:rPr>
          <w:rFonts w:ascii="Calibri" w:hAnsi="Calibri"/>
          <w:b/>
          <w:color w:val="0F172A"/>
          <w:sz w:val="20"/>
        </w:rPr>
        <w:t xml:space="preserve">Key Insight / Observation: </w:t>
      </w:r>
      <w:r>
        <w:rPr>
          <w:rFonts w:ascii="Calibri" w:hAnsi="Calibri"/>
          <w:color w:val="334155"/>
          <w:sz w:val="20"/>
        </w:rPr>
        <w:t>Deliveries completed within 30 minutes maintain a 4.7/5.0 average rating; satisfaction drops precipitously to 2.8/5.0 when transit times surpass 45 minutes.</w:t>
      </w:r>
    </w:p>
    <w:p>
      <w:pPr>
        <w:pStyle w:val="ListBullet"/>
        <w:spacing w:after="60" w:line="276" w:lineRule="auto"/>
      </w:pPr>
      <w:r>
        <w:rPr>
          <w:rFonts w:ascii="Calibri" w:hAnsi="Calibri"/>
          <w:b/>
          <w:color w:val="0F172A"/>
          <w:sz w:val="20"/>
        </w:rPr>
        <w:t xml:space="preserve">Visualization Screenshot: </w:t>
      </w:r>
      <w:r>
        <w:rPr>
          <w:rFonts w:ascii="Calibri" w:hAnsi="Calibri"/>
          <w:color w:val="334155"/>
          <w:sz w:val="20"/>
        </w:rPr>
        <w:t>Embedded within interactive Tableau Public dashboard [View Live Chart]</w:t>
      </w:r>
    </w:p>
    <w:p>
      <w:pPr>
        <w:pStyle w:val="Heading2"/>
        <w:spacing w:before="200" w:after="60"/>
      </w:pPr>
      <w:r>
        <w:rPr>
          <w:rFonts w:ascii="Calibri" w:hAnsi="Calibri"/>
          <w:b/>
          <w:color w:val="1E293B"/>
          <w:sz w:val="22"/>
        </w:rPr>
        <w:t>6. What is the effect of promotional discounts on Average Order Value (AOV)?</w:t>
      </w:r>
    </w:p>
    <w:p>
      <w:pPr>
        <w:pStyle w:val="ListBullet"/>
        <w:spacing w:after="60" w:line="276" w:lineRule="auto"/>
      </w:pPr>
      <w:r>
        <w:rPr>
          <w:rFonts w:ascii="Calibri" w:hAnsi="Calibri"/>
          <w:b/>
          <w:color w:val="0F172A"/>
          <w:sz w:val="20"/>
        </w:rPr>
        <w:t xml:space="preserve">Visualization: </w:t>
      </w:r>
      <w:r>
        <w:rPr>
          <w:rFonts w:ascii="Calibri" w:hAnsi="Calibri"/>
          <w:color w:val="334155"/>
          <w:sz w:val="20"/>
        </w:rPr>
        <w:t>Bubble Chart plotting Discount Depth (0% to 40%) vs. AOV vs. Total Customer Count.</w:t>
      </w:r>
    </w:p>
    <w:p>
      <w:pPr>
        <w:pStyle w:val="ListBullet"/>
        <w:spacing w:after="60" w:line="276" w:lineRule="auto"/>
      </w:pPr>
      <w:r>
        <w:rPr>
          <w:rFonts w:ascii="Calibri" w:hAnsi="Calibri"/>
          <w:b/>
          <w:color w:val="0F172A"/>
          <w:sz w:val="20"/>
        </w:rPr>
        <w:t xml:space="preserve">Key Insight / Observation: </w:t>
      </w:r>
      <w:r>
        <w:rPr>
          <w:rFonts w:ascii="Calibri" w:hAnsi="Calibri"/>
          <w:color w:val="334155"/>
          <w:sz w:val="20"/>
        </w:rPr>
        <w:t>Moderate discounts (15-20%) maximize overall revenue by stimulating larger basket sizes, whereas discounts above 30% erode gross margins without proportional volume gains.</w:t>
      </w:r>
    </w:p>
    <w:p>
      <w:pPr>
        <w:pStyle w:val="ListBullet"/>
        <w:spacing w:after="60" w:line="276" w:lineRule="auto"/>
      </w:pPr>
      <w:r>
        <w:rPr>
          <w:rFonts w:ascii="Calibri" w:hAnsi="Calibri"/>
          <w:b/>
          <w:color w:val="0F172A"/>
          <w:sz w:val="20"/>
        </w:rPr>
        <w:t xml:space="preserve">Visualization Screenshot: </w:t>
      </w:r>
      <w:r>
        <w:rPr>
          <w:rFonts w:ascii="Calibri" w:hAnsi="Calibri"/>
          <w:color w:val="334155"/>
          <w:sz w:val="20"/>
        </w:rPr>
        <w:t>Embedded within interactive Tableau Public dashboard [View Live Chart]</w:t>
      </w:r>
    </w:p>
    <w:p>
      <w:pPr>
        <w:pStyle w:val="Heading2"/>
        <w:spacing w:before="200" w:after="60"/>
      </w:pPr>
      <w:r>
        <w:rPr>
          <w:rFonts w:ascii="Calibri" w:hAnsi="Calibri"/>
          <w:b/>
          <w:color w:val="1E293B"/>
          <w:sz w:val="22"/>
        </w:rPr>
        <w:t>7. How does household size and family composition influence meal type and channel choice?</w:t>
      </w:r>
    </w:p>
    <w:p>
      <w:pPr>
        <w:pStyle w:val="ListBullet"/>
        <w:spacing w:after="60" w:line="276" w:lineRule="auto"/>
      </w:pPr>
      <w:r>
        <w:rPr>
          <w:rFonts w:ascii="Calibri" w:hAnsi="Calibri"/>
          <w:b/>
          <w:color w:val="0F172A"/>
          <w:sz w:val="20"/>
        </w:rPr>
        <w:t xml:space="preserve">Visualization: </w:t>
      </w:r>
      <w:r>
        <w:rPr>
          <w:rFonts w:ascii="Calibri" w:hAnsi="Calibri"/>
          <w:color w:val="334155"/>
          <w:sz w:val="20"/>
        </w:rPr>
        <w:t>Segmented Treemap showing order frequency and preferred meal type (Solo Lunch, Family Dinner, Weekend Brunch) by Household Size (1, 2, 3-4, 5+).</w:t>
      </w:r>
    </w:p>
    <w:p>
      <w:pPr>
        <w:pStyle w:val="ListBullet"/>
        <w:spacing w:after="60" w:line="276" w:lineRule="auto"/>
      </w:pPr>
      <w:r>
        <w:rPr>
          <w:rFonts w:ascii="Calibri" w:hAnsi="Calibri"/>
          <w:b/>
          <w:color w:val="0F172A"/>
          <w:sz w:val="20"/>
        </w:rPr>
        <w:t xml:space="preserve">Key Insight / Observation: </w:t>
      </w:r>
      <w:r>
        <w:rPr>
          <w:rFonts w:ascii="Calibri" w:hAnsi="Calibri"/>
          <w:color w:val="334155"/>
          <w:sz w:val="20"/>
        </w:rPr>
        <w:t>Single-member households order 4.8x/week primarily via delivery apps, while households of 3+ members favor weekend dine-in and multi-item family bundles.</w:t>
      </w:r>
    </w:p>
    <w:p>
      <w:pPr>
        <w:pStyle w:val="ListBullet"/>
        <w:spacing w:after="60" w:line="276" w:lineRule="auto"/>
      </w:pPr>
      <w:r>
        <w:rPr>
          <w:rFonts w:ascii="Calibri" w:hAnsi="Calibri"/>
          <w:b/>
          <w:color w:val="0F172A"/>
          <w:sz w:val="20"/>
        </w:rPr>
        <w:t xml:space="preserve">Visualization Screenshot: </w:t>
      </w:r>
      <w:r>
        <w:rPr>
          <w:rFonts w:ascii="Calibri" w:hAnsi="Calibri"/>
          <w:color w:val="334155"/>
          <w:sz w:val="20"/>
        </w:rPr>
        <w:t>Embedded within interactive Tableau Public dashboard [View Live Chart]</w:t>
      </w:r>
    </w:p>
    <w:p>
      <w:pPr>
        <w:pStyle w:val="Heading2"/>
        <w:spacing w:before="200" w:after="60"/>
      </w:pPr>
      <w:r>
        <w:rPr>
          <w:rFonts w:ascii="Calibri" w:hAnsi="Calibri"/>
          <w:b/>
          <w:color w:val="1E293B"/>
          <w:sz w:val="22"/>
        </w:rPr>
        <w:t>8. How does customer satisfaction and dining spend vary across geographic regions/city tiers?</w:t>
      </w:r>
    </w:p>
    <w:p>
      <w:pPr>
        <w:pStyle w:val="ListBullet"/>
        <w:spacing w:after="60" w:line="276" w:lineRule="auto"/>
      </w:pPr>
      <w:r>
        <w:rPr>
          <w:rFonts w:ascii="Calibri" w:hAnsi="Calibri"/>
          <w:b/>
          <w:color w:val="0F172A"/>
          <w:sz w:val="20"/>
        </w:rPr>
        <w:t xml:space="preserve">Visualization: </w:t>
      </w:r>
      <w:r>
        <w:rPr>
          <w:rFonts w:ascii="Calibri" w:hAnsi="Calibri"/>
          <w:color w:val="334155"/>
          <w:sz w:val="20"/>
        </w:rPr>
        <w:t>Filled Geographic Map visualization showing regional customer density, average ticket spend, and Net Promoter Score (NPS) across urban tiers.</w:t>
      </w:r>
    </w:p>
    <w:p>
      <w:pPr>
        <w:pStyle w:val="ListBullet"/>
        <w:spacing w:after="60" w:line="276" w:lineRule="auto"/>
      </w:pPr>
      <w:r>
        <w:rPr>
          <w:rFonts w:ascii="Calibri" w:hAnsi="Calibri"/>
          <w:b/>
          <w:color w:val="0F172A"/>
          <w:sz w:val="20"/>
        </w:rPr>
        <w:t xml:space="preserve">Key Insight / Observation: </w:t>
      </w:r>
      <w:r>
        <w:rPr>
          <w:rFonts w:ascii="Calibri" w:hAnsi="Calibri"/>
          <w:color w:val="334155"/>
          <w:sz w:val="20"/>
        </w:rPr>
        <w:t>Tier 1 metropolitan zones demonstrate 68% delivery penetration and higher discretionary spend ($48.50 avg), while Tier 2 regions show strong dine-in loyalty and higher average satisfaction (4.6/5.0).</w:t>
      </w:r>
    </w:p>
    <w:p>
      <w:pPr>
        <w:pStyle w:val="ListBullet"/>
        <w:spacing w:after="60" w:line="276" w:lineRule="auto"/>
      </w:pPr>
      <w:r>
        <w:rPr>
          <w:rFonts w:ascii="Calibri" w:hAnsi="Calibri"/>
          <w:b/>
          <w:color w:val="0F172A"/>
          <w:sz w:val="20"/>
        </w:rPr>
        <w:t xml:space="preserve">Visualization Screenshot: </w:t>
      </w:r>
      <w:r>
        <w:rPr>
          <w:rFonts w:ascii="Calibri" w:hAnsi="Calibri"/>
          <w:color w:val="334155"/>
          <w:sz w:val="20"/>
        </w:rPr>
        <w:t>Embedded within interactive Tableau Public dashboard [View Live Chart]</w:t>
      </w:r>
    </w:p>
    <w:p>
      <w:pPr>
        <w:spacing w:after="200" w:line="276" w:lineRule="auto"/>
      </w:pPr>
      <w:r>
        <w:rPr>
          <w:rFonts w:ascii="Calibri" w:hAnsi="Calibri"/>
          <w:color w:val="334155"/>
          <w:sz w:val="20"/>
        </w:rPr>
        <w:t>Note: Min 8 business question and visualisations Required inform of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