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Calibri" w:hAnsi="Calibri"/>
          <w:b/>
          <w:color w:val="0F172A"/>
          <w:sz w:val="28"/>
        </w:rPr>
        <w:t>Dashboard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320"/>
        <w:gridCol w:w="4320"/>
      </w:tblGrid>
      <w:tr>
        <w:tc>
          <w:tcPr>
            <w:tcW w:type="dxa" w:w="3168"/>
            <w:shd w:fill="F1F5F9"/>
            <w:tcMar>
              <w:top w:w="70" w:type="dxa"/>
              <w:bottom w:w="70" w:type="dxa"/>
              <w:left w:w="110" w:type="dxa"/>
              <w:right w:w="110" w:type="dxa"/>
            </w:tcMar>
            <w:vAlign w:val="center"/>
          </w:tcPr>
          <w:p>
            <w:pPr>
              <w:spacing w:after="40" w:line="276" w:lineRule="auto"/>
              <w:jc w:val="left"/>
            </w:pPr>
            <w:r>
              <w:rPr>
                <w:rFonts w:ascii="Calibri" w:hAnsi="Calibri"/>
                <w:b/>
                <w:i w:val="0"/>
                <w:color w:val="334155"/>
                <w:sz w:val="20"/>
              </w:rPr>
              <w:t>Date</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0F172A"/>
                <w:sz w:val="20"/>
              </w:rPr>
              <w:t>15 October 2024</w:t>
            </w:r>
          </w:p>
        </w:tc>
      </w:tr>
      <w:tr>
        <w:tc>
          <w:tcPr>
            <w:tcW w:type="dxa" w:w="3168"/>
            <w:shd w:fill="F1F5F9"/>
            <w:tcMar>
              <w:top w:w="70" w:type="dxa"/>
              <w:bottom w:w="70" w:type="dxa"/>
              <w:left w:w="110" w:type="dxa"/>
              <w:right w:w="110" w:type="dxa"/>
            </w:tcMar>
            <w:vAlign w:val="center"/>
          </w:tcPr>
          <w:p>
            <w:pPr>
              <w:spacing w:after="40" w:line="276" w:lineRule="auto"/>
              <w:jc w:val="left"/>
            </w:pPr>
            <w:r>
              <w:rPr>
                <w:rFonts w:ascii="Calibri" w:hAnsi="Calibri"/>
                <w:b/>
                <w:i w:val="0"/>
                <w:color w:val="334155"/>
                <w:sz w:val="20"/>
              </w:rPr>
              <w:t>Team ID</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0F172A"/>
                <w:sz w:val="20"/>
              </w:rPr>
              <w:t>PNT2022TMID01234</w:t>
            </w:r>
          </w:p>
        </w:tc>
      </w:tr>
      <w:tr>
        <w:tc>
          <w:tcPr>
            <w:tcW w:type="dxa" w:w="3168"/>
            <w:shd w:fill="F1F5F9"/>
            <w:tcMar>
              <w:top w:w="70" w:type="dxa"/>
              <w:bottom w:w="70" w:type="dxa"/>
              <w:left w:w="110" w:type="dxa"/>
              <w:right w:w="110" w:type="dxa"/>
            </w:tcMar>
            <w:vAlign w:val="center"/>
          </w:tcPr>
          <w:p>
            <w:pPr>
              <w:spacing w:after="40" w:line="276" w:lineRule="auto"/>
              <w:jc w:val="left"/>
            </w:pPr>
            <w:r>
              <w:rPr>
                <w:rFonts w:ascii="Calibri" w:hAnsi="Calibri"/>
                <w:b/>
                <w:i w:val="0"/>
                <w:color w:val="334155"/>
                <w:sz w:val="20"/>
              </w:rPr>
              <w:t>Project Name / Title</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0F172A"/>
                <w:sz w:val="20"/>
              </w:rPr>
              <w:t>Food Consumer Behaviour Analysis</w:t>
            </w:r>
          </w:p>
        </w:tc>
      </w:tr>
      <w:tr>
        <w:tc>
          <w:tcPr>
            <w:tcW w:type="dxa" w:w="3168"/>
            <w:shd w:fill="F1F5F9"/>
            <w:tcMar>
              <w:top w:w="70" w:type="dxa"/>
              <w:bottom w:w="70" w:type="dxa"/>
              <w:left w:w="110" w:type="dxa"/>
              <w:right w:w="110" w:type="dxa"/>
            </w:tcMar>
            <w:vAlign w:val="center"/>
          </w:tcPr>
          <w:p>
            <w:pPr>
              <w:spacing w:after="40" w:line="276" w:lineRule="auto"/>
              <w:jc w:val="left"/>
            </w:pPr>
            <w:r>
              <w:rPr>
                <w:rFonts w:ascii="Calibri" w:hAnsi="Calibri"/>
                <w:b/>
                <w:i w:val="0"/>
                <w:color w:val="334155"/>
                <w:sz w:val="20"/>
              </w:rPr>
              <w:t>Maximum Marks</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0F172A"/>
                <w:sz w:val="20"/>
              </w:rPr>
              <w:t>5 Marks</w:t>
            </w:r>
          </w:p>
        </w:tc>
      </w:tr>
    </w:tbl>
    <w:p>
      <w:pPr>
        <w:spacing w:after="160"/>
      </w:pPr>
    </w:p>
    <w:p>
      <w:pPr>
        <w:spacing w:after="100" w:line="276" w:lineRule="auto"/>
      </w:pPr>
      <w:r>
        <w:rPr>
          <w:rFonts w:ascii="Calibri" w:hAnsi="Calibri"/>
          <w:color w:val="334155"/>
          <w:sz w:val="20"/>
        </w:rPr>
        <w:t>Creating an effective dashboard involves thoughtful design to ensure that the presented information is clear, relevant, and easily understandable for the intended audience. Here are some key principles and best practices for dashboard design.</w:t>
      </w:r>
    </w:p>
    <w:p>
      <w:pPr>
        <w:pStyle w:val="Heading1"/>
        <w:spacing w:before="240" w:after="80"/>
      </w:pPr>
      <w:r>
        <w:rPr>
          <w:rFonts w:ascii="Calibri" w:hAnsi="Calibri"/>
          <w:b/>
          <w:color w:val="0F172A"/>
          <w:sz w:val="25"/>
        </w:rPr>
        <w:t>Activity 1: Interactive and visually appealing dashboards</w:t>
      </w:r>
    </w:p>
    <w:p>
      <w:pPr>
        <w:spacing w:after="100" w:line="276" w:lineRule="auto"/>
      </w:pPr>
      <w:r>
        <w:rPr>
          <w:rFonts w:ascii="Calibri" w:hAnsi="Calibri"/>
          <w:color w:val="334155"/>
          <w:sz w:val="20"/>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w:t>
      </w:r>
    </w:p>
    <w:p>
      <w:pPr>
        <w:pStyle w:val="ListBullet"/>
        <w:spacing w:after="60" w:line="276" w:lineRule="auto"/>
      </w:pPr>
      <w:r>
        <w:rPr>
          <w:rFonts w:ascii="Calibri" w:hAnsi="Calibri"/>
          <w:b/>
          <w:color w:val="0F172A"/>
          <w:sz w:val="20"/>
        </w:rPr>
        <w:t xml:space="preserve">Clear and Intuitive Layout: </w:t>
      </w:r>
      <w:r>
        <w:rPr>
          <w:rFonts w:ascii="Calibri" w:hAnsi="Calibri"/>
          <w:color w:val="334155"/>
          <w:sz w:val="20"/>
        </w:rPr>
        <w:t>Organized using a top-to-bottom F-pattern hierarchy with executive KPI summary cards on top, cross-sectional distributions in the center, and granular cohort trends at the base.</w:t>
      </w:r>
    </w:p>
    <w:p>
      <w:pPr>
        <w:pStyle w:val="ListBullet"/>
        <w:spacing w:after="60" w:line="276" w:lineRule="auto"/>
      </w:pPr>
      <w:r>
        <w:rPr>
          <w:rFonts w:ascii="Calibri" w:hAnsi="Calibri"/>
          <w:b/>
          <w:color w:val="0F172A"/>
          <w:sz w:val="20"/>
        </w:rPr>
        <w:t xml:space="preserve">Use Appropriate Visualizations: </w:t>
      </w:r>
      <w:r>
        <w:rPr>
          <w:rFonts w:ascii="Calibri" w:hAnsi="Calibri"/>
          <w:color w:val="334155"/>
          <w:sz w:val="20"/>
        </w:rPr>
        <w:t>Selected tailored charts (bar charts for discrete category comparison, time-series line charts for seasonality, scatter plots for spend-satisfaction correlation, and donut charts for channel shares).</w:t>
      </w:r>
    </w:p>
    <w:p>
      <w:pPr>
        <w:pStyle w:val="ListBullet"/>
        <w:spacing w:after="60" w:line="276" w:lineRule="auto"/>
      </w:pPr>
      <w:r>
        <w:rPr>
          <w:rFonts w:ascii="Calibri" w:hAnsi="Calibri"/>
          <w:b/>
          <w:color w:val="0F172A"/>
          <w:sz w:val="20"/>
        </w:rPr>
        <w:t xml:space="preserve">Colour and Theming: </w:t>
      </w:r>
      <w:r>
        <w:rPr>
          <w:rFonts w:ascii="Calibri" w:hAnsi="Calibri"/>
          <w:color w:val="334155"/>
          <w:sz w:val="20"/>
        </w:rPr>
        <w:t>Applied a polished, accessible color palette featuring Slate Navy (#1E293B), Electric Cyan (#06B6D4), Emerald (#10B981), and Coral (#F43F5E) ensuring high contrast and zero visual clutter.</w:t>
      </w:r>
    </w:p>
    <w:p>
      <w:pPr>
        <w:pStyle w:val="ListBullet"/>
        <w:spacing w:after="60" w:line="276" w:lineRule="auto"/>
      </w:pPr>
      <w:r>
        <w:rPr>
          <w:rFonts w:ascii="Calibri" w:hAnsi="Calibri"/>
          <w:b/>
          <w:color w:val="0F172A"/>
          <w:sz w:val="20"/>
        </w:rPr>
        <w:t xml:space="preserve">Interactive Filters and Slicers: </w:t>
      </w:r>
      <w:r>
        <w:rPr>
          <w:rFonts w:ascii="Calibri" w:hAnsi="Calibri"/>
          <w:color w:val="334155"/>
          <w:sz w:val="20"/>
        </w:rPr>
        <w:t>Implemented synchronized global slicers for Age Cohort, Income Tier, Ordering Channel, Cuisine Family, and Date Range allowing effortless slice-and-dice.</w:t>
      </w:r>
    </w:p>
    <w:p>
      <w:pPr>
        <w:pStyle w:val="ListBullet"/>
        <w:spacing w:after="60" w:line="276" w:lineRule="auto"/>
      </w:pPr>
      <w:r>
        <w:rPr>
          <w:rFonts w:ascii="Calibri" w:hAnsi="Calibri"/>
          <w:b/>
          <w:color w:val="0F172A"/>
          <w:sz w:val="20"/>
        </w:rPr>
        <w:t xml:space="preserve">Drill-Down Capabilities: </w:t>
      </w:r>
      <w:r>
        <w:rPr>
          <w:rFonts w:ascii="Calibri" w:hAnsi="Calibri"/>
          <w:color w:val="334155"/>
          <w:sz w:val="20"/>
        </w:rPr>
        <w:t>Enabled bidirectional Tableau action filters where selecting any cohort immediately cross-filters all corresponding visualizations.</w:t>
      </w:r>
    </w:p>
    <w:p>
      <w:pPr>
        <w:pStyle w:val="ListBullet"/>
        <w:spacing w:after="60" w:line="276" w:lineRule="auto"/>
      </w:pPr>
      <w:r>
        <w:rPr>
          <w:rFonts w:ascii="Calibri" w:hAnsi="Calibri"/>
          <w:b/>
          <w:color w:val="0F172A"/>
          <w:sz w:val="20"/>
        </w:rPr>
        <w:t xml:space="preserve">Responsive Design: </w:t>
      </w:r>
      <w:r>
        <w:rPr>
          <w:rFonts w:ascii="Calibri" w:hAnsi="Calibri"/>
          <w:color w:val="334155"/>
          <w:sz w:val="20"/>
        </w:rPr>
        <w:t>Engineered dynamic canvas sizing supporting widescreen desktop displays (880px-1050px) down to mobile-friendly touch viewports.</w:t>
      </w:r>
    </w:p>
    <w:p>
      <w:pPr>
        <w:pStyle w:val="ListBullet"/>
        <w:spacing w:after="60" w:line="276" w:lineRule="auto"/>
      </w:pPr>
      <w:r>
        <w:rPr>
          <w:rFonts w:ascii="Calibri" w:hAnsi="Calibri"/>
          <w:b/>
          <w:color w:val="0F172A"/>
          <w:sz w:val="20"/>
        </w:rPr>
        <w:t xml:space="preserve">Custom Visuals and Icons: </w:t>
      </w:r>
      <w:r>
        <w:rPr>
          <w:rFonts w:ascii="Calibri" w:hAnsi="Calibri"/>
          <w:color w:val="334155"/>
          <w:sz w:val="20"/>
        </w:rPr>
        <w:t>Integrated Lucide vector iconography and custom metric badge callouts for instantaneous visual comprehension.</w:t>
      </w:r>
    </w:p>
    <w:p>
      <w:pPr>
        <w:pStyle w:val="ListBullet"/>
        <w:spacing w:after="60" w:line="276" w:lineRule="auto"/>
      </w:pPr>
      <w:r>
        <w:rPr>
          <w:rFonts w:ascii="Calibri" w:hAnsi="Calibri"/>
          <w:b/>
          <w:color w:val="0F172A"/>
          <w:sz w:val="20"/>
        </w:rPr>
        <w:t xml:space="preserve">Use of Infographics: </w:t>
      </w:r>
      <w:r>
        <w:rPr>
          <w:rFonts w:ascii="Calibri" w:hAnsi="Calibri"/>
          <w:color w:val="334155"/>
          <w:sz w:val="20"/>
        </w:rPr>
        <w:t>Incorporated visual summary banners, milestone progress bars, and percentage share callouts to enhance executive communication.</w:t>
      </w:r>
    </w:p>
    <w:p>
      <w:pPr>
        <w:pStyle w:val="Heading1"/>
        <w:spacing w:before="240" w:after="80"/>
      </w:pPr>
      <w:r>
        <w:rPr>
          <w:rFonts w:ascii="Calibri" w:hAnsi="Calibri"/>
          <w:b/>
          <w:color w:val="0F172A"/>
          <w:sz w:val="25"/>
        </w:rPr>
        <w:t>Major Outcomes from Dashboard:</w:t>
      </w:r>
    </w:p>
    <w:p>
      <w:pPr>
        <w:spacing w:after="100" w:line="276" w:lineRule="auto"/>
      </w:pPr>
      <w:r>
        <w:rPr>
          <w:rFonts w:ascii="Calibri" w:hAnsi="Calibri"/>
          <w:color w:val="334155"/>
          <w:sz w:val="20"/>
        </w:rPr>
        <w:t>Here are key quantitative outcomes and strategic findings derived from the interactive Food Consumer Behavior Dashboard:</w:t>
      </w:r>
    </w:p>
    <w:p>
      <w:pPr>
        <w:pStyle w:val="ListBullet"/>
        <w:spacing w:after="60" w:line="276" w:lineRule="auto"/>
      </w:pPr>
      <w:r>
        <w:rPr>
          <w:rFonts w:ascii="Calibri" w:hAnsi="Calibri"/>
          <w:b/>
          <w:color w:val="0F172A"/>
          <w:sz w:val="20"/>
        </w:rPr>
        <w:t xml:space="preserve">Customer Base &amp; Financial Scale: </w:t>
      </w:r>
      <w:r>
        <w:rPr>
          <w:rFonts w:ascii="Calibri" w:hAnsi="Calibri"/>
          <w:color w:val="334155"/>
          <w:sz w:val="20"/>
        </w:rPr>
        <w:t>The dashboard analyzes 10,000 active consumers representing $2.30M in cumulative food expenditure, an average ticket size of $38.40, and an aggregate customer satisfaction score of 4.35 / 5.0.</w:t>
      </w:r>
    </w:p>
    <w:p>
      <w:pPr>
        <w:pStyle w:val="ListBullet"/>
        <w:spacing w:after="60" w:line="276" w:lineRule="auto"/>
      </w:pPr>
      <w:r>
        <w:rPr>
          <w:rFonts w:ascii="Calibri" w:hAnsi="Calibri"/>
          <w:b/>
          <w:color w:val="0F172A"/>
          <w:sz w:val="20"/>
        </w:rPr>
        <w:t xml:space="preserve">Dominant Ordering Channel: </w:t>
      </w:r>
      <w:r>
        <w:rPr>
          <w:rFonts w:ascii="Calibri" w:hAnsi="Calibri"/>
          <w:color w:val="334155"/>
          <w:sz w:val="20"/>
        </w:rPr>
        <w:t>Digital Food Delivery Apps lead overall transaction volume with 54.2% market share ($1.25M sales), followed by Dine-in at 29.6% ($680K) and Takeout at 16.2% ($370K).</w:t>
      </w:r>
    </w:p>
    <w:p>
      <w:pPr>
        <w:pStyle w:val="ListBullet"/>
        <w:spacing w:after="60" w:line="276" w:lineRule="auto"/>
      </w:pPr>
      <w:r>
        <w:rPr>
          <w:rFonts w:ascii="Calibri" w:hAnsi="Calibri"/>
          <w:b/>
          <w:color w:val="0F172A"/>
          <w:sz w:val="20"/>
        </w:rPr>
        <w:t xml:space="preserve">Top Revenue-Generating Cuisines: </w:t>
      </w:r>
      <w:r>
        <w:rPr>
          <w:rFonts w:ascii="Calibri" w:hAnsi="Calibri"/>
          <w:color w:val="334155"/>
          <w:sz w:val="20"/>
        </w:rPr>
        <w:t>Fast Food and Asian cuisines generate the highest total sales ($620K and $540K respectively), while Healthy &amp; Organic dining records the highest average profit margin per meal (34.5%).</w:t>
      </w:r>
    </w:p>
    <w:p>
      <w:pPr>
        <w:pStyle w:val="ListBullet"/>
        <w:spacing w:after="60" w:line="276" w:lineRule="auto"/>
      </w:pPr>
      <w:r>
        <w:rPr>
          <w:rFonts w:ascii="Calibri" w:hAnsi="Calibri"/>
          <w:b/>
          <w:color w:val="0F172A"/>
          <w:sz w:val="20"/>
        </w:rPr>
        <w:t xml:space="preserve">Peak Ordering Seasonality: </w:t>
      </w:r>
      <w:r>
        <w:rPr>
          <w:rFonts w:ascii="Calibri" w:hAnsi="Calibri"/>
          <w:color w:val="334155"/>
          <w:sz w:val="20"/>
        </w:rPr>
        <w:t>Monthly spending peaks strongly in November ($320K) and December ($352K) driven by holiday gatherings, year-end celebrations, and platform promotional events.</w:t>
      </w:r>
    </w:p>
    <w:p>
      <w:pPr>
        <w:pStyle w:val="ListBullet"/>
        <w:spacing w:after="60" w:line="276" w:lineRule="auto"/>
      </w:pPr>
      <w:r>
        <w:rPr>
          <w:rFonts w:ascii="Calibri" w:hAnsi="Calibri"/>
          <w:b/>
          <w:color w:val="0F172A"/>
          <w:sz w:val="20"/>
        </w:rPr>
        <w:t xml:space="preserve">Demographic Spending Concentration: </w:t>
      </w:r>
      <w:r>
        <w:rPr>
          <w:rFonts w:ascii="Calibri" w:hAnsi="Calibri"/>
          <w:color w:val="334155"/>
          <w:sz w:val="20"/>
        </w:rPr>
        <w:t>The Young Professional &amp; Millennial cohort (ages 25-34) constitutes 48.6% of all orders and exhibits the highest digital app adoption (72%).</w:t>
      </w:r>
    </w:p>
    <w:p>
      <w:pPr>
        <w:pStyle w:val="ListBullet"/>
        <w:spacing w:after="60" w:line="276" w:lineRule="auto"/>
      </w:pPr>
      <w:r>
        <w:rPr>
          <w:rFonts w:ascii="Calibri" w:hAnsi="Calibri"/>
          <w:b/>
          <w:color w:val="0F172A"/>
          <w:sz w:val="20"/>
        </w:rPr>
        <w:t xml:space="preserve">Service Speed Impact on Loyalty: </w:t>
      </w:r>
      <w:r>
        <w:rPr>
          <w:rFonts w:ascii="Calibri" w:hAnsi="Calibri"/>
          <w:color w:val="334155"/>
          <w:sz w:val="20"/>
        </w:rPr>
        <w:t>Orders fulfilled within 30 minutes yield a 91% repeat order probability, whereas transit delays over 45 minutes trigger a 65% drop in Net Promoter Score.</w:t>
      </w:r>
    </w:p>
    <w:p>
      <w:pPr>
        <w:pStyle w:val="Heading1"/>
        <w:spacing w:before="240" w:after="80"/>
      </w:pPr>
      <w:r>
        <w:rPr>
          <w:rFonts w:ascii="Calibri" w:hAnsi="Calibri"/>
          <w:b/>
          <w:color w:val="0F172A"/>
          <w:sz w:val="25"/>
        </w:rPr>
        <w:t>Activity 2: Tableau Public Link</w:t>
      </w:r>
    </w:p>
    <w:p>
      <w:pPr>
        <w:spacing w:after="100" w:line="276" w:lineRule="auto"/>
      </w:pPr>
      <w:r>
        <w:rPr>
          <w:rFonts w:ascii="Calibri" w:hAnsi="Calibri"/>
          <w:color w:val="334155"/>
          <w:sz w:val="20"/>
        </w:rPr>
        <w:t>Publish Dashboard on Tableau Public and Paste the Dashboard Public link below:</w:t>
      </w:r>
    </w:p>
    <w:p>
      <w:pPr>
        <w:spacing w:after="100" w:line="276" w:lineRule="auto"/>
      </w:pPr>
      <w:r>
        <w:rPr>
          <w:rFonts w:ascii="Calibri" w:hAnsi="Calibri"/>
          <w:b/>
          <w:color w:val="0F172A"/>
          <w:sz w:val="20"/>
        </w:rPr>
        <w:t xml:space="preserve">Dashboard Public URL: </w:t>
      </w:r>
      <w:r>
        <w:rPr>
          <w:rFonts w:ascii="Calibri" w:hAnsi="Calibri"/>
          <w:color w:val="334155"/>
          <w:sz w:val="20"/>
        </w:rPr>
        <w:t>https://public.tableau.com/views/Foodconsumerbehaviouranalyisi/FoodConsumerBehaviorAnalysis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