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0F172A"/>
          <w:sz w:val="28"/>
        </w:rPr>
        <w:t>Project Initialization and Planning Phase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320"/>
        <w:gridCol w:w="4320"/>
      </w:tblGrid>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Date</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15 October 2024</w:t>
            </w:r>
          </w:p>
        </w:tc>
      </w:tr>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Team ID</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PNT2022TMID01234</w:t>
            </w:r>
          </w:p>
        </w:tc>
      </w:tr>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Project Name / Title</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Food Consumer Behaviour Analysis</w:t>
            </w:r>
          </w:p>
        </w:tc>
      </w:tr>
      <w:tr>
        <w:tc>
          <w:tcPr>
            <w:tcW w:type="dxa" w:w="3168"/>
            <w:shd w:fill="F1F5F9"/>
            <w:tcMar>
              <w:top w:w="70" w:type="dxa"/>
              <w:bottom w:w="70" w:type="dxa"/>
              <w:left w:w="110" w:type="dxa"/>
              <w:right w:w="110" w:type="dxa"/>
            </w:tcMar>
            <w:vAlign w:val="center"/>
          </w:tcPr>
          <w:p>
            <w:pPr>
              <w:spacing w:after="40" w:line="276" w:lineRule="auto"/>
              <w:jc w:val="left"/>
            </w:pPr>
            <w:r>
              <w:rPr>
                <w:rFonts w:ascii="Calibri" w:hAnsi="Calibri"/>
                <w:b/>
                <w:i w:val="0"/>
                <w:color w:val="334155"/>
                <w:sz w:val="20"/>
              </w:rPr>
              <w:t>Maximum Marks</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0F172A"/>
                <w:sz w:val="20"/>
              </w:rPr>
              <w:t>3 Marks</w:t>
            </w:r>
          </w:p>
        </w:tc>
      </w:tr>
    </w:tbl>
    <w:p>
      <w:pPr>
        <w:spacing w:after="160"/>
      </w:pPr>
    </w:p>
    <w:p>
      <w:pPr>
        <w:pStyle w:val="Heading1"/>
        <w:spacing w:before="240" w:after="80"/>
      </w:pPr>
      <w:r>
        <w:rPr>
          <w:rFonts w:ascii="Calibri" w:hAnsi="Calibri"/>
          <w:b/>
          <w:color w:val="0F172A"/>
          <w:sz w:val="25"/>
        </w:rPr>
        <w:t>Project Proposal (Proposed Solution) template</w:t>
      </w:r>
    </w:p>
    <w:p>
      <w:pPr>
        <w:spacing w:after="100" w:line="276" w:lineRule="auto"/>
      </w:pPr>
      <w:r>
        <w:rPr>
          <w:rFonts w:ascii="Calibri" w:hAnsi="Calibri"/>
          <w:color w:val="334155"/>
          <w:sz w:val="20"/>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320"/>
        <w:gridCol w:w="4320"/>
      </w:tblGrid>
      <w:tr>
        <w:tc>
          <w:tcPr>
            <w:tcW w:type="dxa" w:w="9360"/>
            <w:gridSpan w:val="2"/>
            <w:shd w:fill="E2E8F0"/>
            <w:tcMar>
              <w:top w:w="70" w:type="dxa"/>
              <w:bottom w:w="70" w:type="dxa"/>
              <w:left w:w="110" w:type="dxa"/>
              <w:right w:w="110" w:type="dxa"/>
            </w:tcMar>
            <w:vAlign w:val="center"/>
          </w:tcPr>
          <w:p>
            <w:pPr>
              <w:spacing w:after="40" w:line="276" w:lineRule="auto"/>
              <w:jc w:val="left"/>
            </w:pPr>
            <w:r>
              <w:rPr>
                <w:rFonts w:ascii="Calibri" w:hAnsi="Calibri"/>
                <w:b/>
                <w:i w:val="0"/>
                <w:color w:val="0F172A"/>
                <w:sz w:val="21"/>
              </w:rPr>
              <w:t>Project Overview</w:t>
            </w:r>
          </w:p>
        </w:tc>
      </w:tr>
      <w:tr>
        <w:tc>
          <w:tcPr>
            <w:tcW w:type="dxa" w:w="3168"/>
            <w:shd w:fill="F8FAFC"/>
            <w:tcMar>
              <w:top w:w="70" w:type="dxa"/>
              <w:bottom w:w="70" w:type="dxa"/>
              <w:left w:w="110" w:type="dxa"/>
              <w:right w:w="110" w:type="dxa"/>
            </w:tcMar>
            <w:vAlign w:val="center"/>
          </w:tcPr>
          <w:p>
            <w:pPr>
              <w:spacing w:after="40" w:line="276" w:lineRule="auto"/>
              <w:jc w:val="left"/>
            </w:pPr>
            <w:r>
              <w:rPr>
                <w:rFonts w:ascii="Calibri" w:hAnsi="Calibri"/>
                <w:b/>
                <w:i w:val="0"/>
                <w:color w:val="334155"/>
                <w:sz w:val="19"/>
              </w:rPr>
              <w:t>Objective</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9"/>
              </w:rPr>
              <w:t>Develop an end-to-end interactive Business Intelligence and Data Analytics solution investigating Food Consumer Behavior across demographic segments, ordering channels, dining frequencies, and spending elasticity to provide actionable insights for restaurants, aggregators, and food brands.</w:t>
            </w:r>
          </w:p>
        </w:tc>
      </w:tr>
      <w:tr>
        <w:tc>
          <w:tcPr>
            <w:tcW w:type="dxa" w:w="3168"/>
            <w:shd w:fill="F8FAFC"/>
            <w:tcMar>
              <w:top w:w="70" w:type="dxa"/>
              <w:bottom w:w="70" w:type="dxa"/>
              <w:left w:w="110" w:type="dxa"/>
              <w:right w:w="110" w:type="dxa"/>
            </w:tcMar>
            <w:vAlign w:val="center"/>
          </w:tcPr>
          <w:p>
            <w:pPr>
              <w:spacing w:after="40" w:line="276" w:lineRule="auto"/>
              <w:jc w:val="left"/>
            </w:pPr>
            <w:r>
              <w:rPr>
                <w:rFonts w:ascii="Calibri" w:hAnsi="Calibri"/>
                <w:b/>
                <w:i w:val="0"/>
                <w:color w:val="334155"/>
                <w:sz w:val="19"/>
              </w:rPr>
              <w:t>Scope</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9"/>
              </w:rPr>
              <w:t>The project encompasses data ingestion of multi-dimensional food consumer dining and transactional records, rigorous data cleansing, exploratory data analysis, interactive dashboard engineering in Tableau Public, executive story point design, and deployment within a modern responsive web portal.</w:t>
            </w:r>
          </w:p>
        </w:tc>
      </w:tr>
      <w:tr>
        <w:tc>
          <w:tcPr>
            <w:tcW w:type="dxa" w:w="9360"/>
            <w:gridSpan w:val="2"/>
            <w:shd w:fill="E2E8F0"/>
            <w:tcMar>
              <w:top w:w="70" w:type="dxa"/>
              <w:bottom w:w="70" w:type="dxa"/>
              <w:left w:w="110" w:type="dxa"/>
              <w:right w:w="110" w:type="dxa"/>
            </w:tcMar>
            <w:vAlign w:val="center"/>
          </w:tcPr>
          <w:p>
            <w:pPr>
              <w:spacing w:after="40" w:line="276" w:lineRule="auto"/>
              <w:jc w:val="left"/>
            </w:pPr>
            <w:r>
              <w:rPr>
                <w:rFonts w:ascii="Calibri" w:hAnsi="Calibri"/>
                <w:b/>
                <w:i w:val="0"/>
                <w:color w:val="0F172A"/>
                <w:sz w:val="21"/>
              </w:rPr>
              <w:t>Problem Statement</w:t>
            </w:r>
          </w:p>
        </w:tc>
      </w:tr>
      <w:tr>
        <w:tc>
          <w:tcPr>
            <w:tcW w:type="dxa" w:w="3168"/>
            <w:shd w:fill="F8FAFC"/>
            <w:tcMar>
              <w:top w:w="70" w:type="dxa"/>
              <w:bottom w:w="70" w:type="dxa"/>
              <w:left w:w="110" w:type="dxa"/>
              <w:right w:w="110" w:type="dxa"/>
            </w:tcMar>
            <w:vAlign w:val="center"/>
          </w:tcPr>
          <w:p>
            <w:pPr>
              <w:spacing w:after="40" w:line="276" w:lineRule="auto"/>
              <w:jc w:val="left"/>
            </w:pPr>
            <w:r>
              <w:rPr>
                <w:rFonts w:ascii="Calibri" w:hAnsi="Calibri"/>
                <w:b/>
                <w:i w:val="0"/>
                <w:color w:val="334155"/>
                <w:sz w:val="19"/>
              </w:rPr>
              <w:t>Description</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9"/>
              </w:rPr>
              <w:t>Food service providers face severe customer churn, erratic demand forecasting, and suboptimal menu pricing due to fragmented data across dine-in and digital channels, lack of granular demographic visibility, and poor insight into price sensitivity drivers.</w:t>
            </w:r>
          </w:p>
        </w:tc>
      </w:tr>
      <w:tr>
        <w:tc>
          <w:tcPr>
            <w:tcW w:type="dxa" w:w="3168"/>
            <w:shd w:fill="F8FAFC"/>
            <w:tcMar>
              <w:top w:w="70" w:type="dxa"/>
              <w:bottom w:w="70" w:type="dxa"/>
              <w:left w:w="110" w:type="dxa"/>
              <w:right w:w="110" w:type="dxa"/>
            </w:tcMar>
            <w:vAlign w:val="center"/>
          </w:tcPr>
          <w:p>
            <w:pPr>
              <w:spacing w:after="40" w:line="276" w:lineRule="auto"/>
              <w:jc w:val="left"/>
            </w:pPr>
            <w:r>
              <w:rPr>
                <w:rFonts w:ascii="Calibri" w:hAnsi="Calibri"/>
                <w:b/>
                <w:i w:val="0"/>
                <w:color w:val="334155"/>
                <w:sz w:val="19"/>
              </w:rPr>
              <w:t>Impact</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9"/>
              </w:rPr>
              <w:t>Solving this problem empowers restaurants and food platforms to optimize menu pricing, personalize promotional discounts, streamline kitchen inventory prep based on temporal surges, and boost customer retention and profitability by 20-35%.</w:t>
            </w:r>
          </w:p>
        </w:tc>
      </w:tr>
      <w:tr>
        <w:tc>
          <w:tcPr>
            <w:tcW w:type="dxa" w:w="9360"/>
            <w:gridSpan w:val="2"/>
            <w:shd w:fill="E2E8F0"/>
            <w:tcMar>
              <w:top w:w="70" w:type="dxa"/>
              <w:bottom w:w="70" w:type="dxa"/>
              <w:left w:w="110" w:type="dxa"/>
              <w:right w:w="110" w:type="dxa"/>
            </w:tcMar>
            <w:vAlign w:val="center"/>
          </w:tcPr>
          <w:p>
            <w:pPr>
              <w:spacing w:after="40" w:line="276" w:lineRule="auto"/>
              <w:jc w:val="left"/>
            </w:pPr>
            <w:r>
              <w:rPr>
                <w:rFonts w:ascii="Calibri" w:hAnsi="Calibri"/>
                <w:b/>
                <w:i w:val="0"/>
                <w:color w:val="0F172A"/>
                <w:sz w:val="21"/>
              </w:rPr>
              <w:t>Proposed Solution</w:t>
            </w:r>
          </w:p>
        </w:tc>
      </w:tr>
      <w:tr>
        <w:tc>
          <w:tcPr>
            <w:tcW w:type="dxa" w:w="3168"/>
            <w:shd w:fill="F8FAFC"/>
            <w:tcMar>
              <w:top w:w="70" w:type="dxa"/>
              <w:bottom w:w="70" w:type="dxa"/>
              <w:left w:w="110" w:type="dxa"/>
              <w:right w:w="110" w:type="dxa"/>
            </w:tcMar>
            <w:vAlign w:val="center"/>
          </w:tcPr>
          <w:p>
            <w:pPr>
              <w:spacing w:after="40" w:line="276" w:lineRule="auto"/>
              <w:jc w:val="left"/>
            </w:pPr>
            <w:r>
              <w:rPr>
                <w:rFonts w:ascii="Calibri" w:hAnsi="Calibri"/>
                <w:b/>
                <w:i w:val="0"/>
                <w:color w:val="334155"/>
                <w:sz w:val="19"/>
              </w:rPr>
              <w:t>Approach</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9"/>
              </w:rPr>
              <w:t>1. Data Collection &amp; Preprocessing: Clean, normalize, and validate consumer survey and transactional data using Python (Pandas/NumPy).</w:t>
              <w:br/>
              <w:t>2. Exploratory Data Analysis: Perform statistical correlation and demographic cohort segmentation.</w:t>
              <w:br/>
              <w:t>3. Tableau Visual Engineering: Build 8+ KPI-driven visualizations, responsive dashboards, and narrative story points.</w:t>
              <w:br/>
              <w:t>4. Web Deployment: Embed live interactive visualizations inside a responsive, modern React/Vite application.</w:t>
            </w:r>
          </w:p>
        </w:tc>
      </w:tr>
      <w:tr>
        <w:tc>
          <w:tcPr>
            <w:tcW w:type="dxa" w:w="3168"/>
            <w:shd w:fill="F8FAFC"/>
            <w:tcMar>
              <w:top w:w="70" w:type="dxa"/>
              <w:bottom w:w="70" w:type="dxa"/>
              <w:left w:w="110" w:type="dxa"/>
              <w:right w:w="110" w:type="dxa"/>
            </w:tcMar>
            <w:vAlign w:val="center"/>
          </w:tcPr>
          <w:p>
            <w:pPr>
              <w:spacing w:after="40" w:line="276" w:lineRule="auto"/>
              <w:jc w:val="left"/>
            </w:pPr>
            <w:r>
              <w:rPr>
                <w:rFonts w:ascii="Calibri" w:hAnsi="Calibri"/>
                <w:b/>
                <w:i w:val="0"/>
                <w:color w:val="334155"/>
                <w:sz w:val="19"/>
              </w:rPr>
              <w:t>Key Features</w:t>
            </w:r>
          </w:p>
        </w:tc>
        <w:tc>
          <w:tcPr>
            <w:tcW w:type="dxa" w:w="619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9"/>
              </w:rPr>
              <w:t>• Multidimensional demographic cohort filtering (Age, Income, Family Size)</w:t>
              <w:br/>
              <w:t>• Channel dynamics breakdown (Dine-in, Food Delivery Apps, Takeout)</w:t>
              <w:br/>
              <w:t>• Spending elasticity and Average Order Value (AOV) correlation models</w:t>
              <w:br/>
              <w:t>• Peak temporal ordering heatmaps (Month, Day-of-Week, Hour)</w:t>
              <w:br/>
              <w:t>• Interactive dual-mode portal (Live Dashboard &amp; Guided Executive Story)</w:t>
            </w:r>
          </w:p>
        </w:tc>
      </w:tr>
    </w:tbl>
    <w:p>
      <w:pPr>
        <w:pStyle w:val="Heading1"/>
        <w:spacing w:before="240" w:after="80"/>
      </w:pPr>
      <w:r>
        <w:rPr>
          <w:rFonts w:ascii="Calibri" w:hAnsi="Calibri"/>
          <w:b/>
          <w:color w:val="0F172A"/>
          <w:sz w:val="25"/>
        </w:rPr>
        <w:t>Resource Requirements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880"/>
        <w:gridCol w:w="2880"/>
        <w:gridCol w:w="2880"/>
      </w:tblGrid>
      <w:tr>
        <w:tc>
          <w:tcPr>
            <w:tcW w:type="dxa" w:w="2880"/>
            <w:shd w:fill="E2E8F0"/>
            <w:tcMar>
              <w:top w:w="70" w:type="dxa"/>
              <w:bottom w:w="70" w:type="dxa"/>
              <w:left w:w="110" w:type="dxa"/>
              <w:right w:w="110" w:type="dxa"/>
            </w:tcMar>
            <w:vAlign w:val="center"/>
          </w:tcPr>
          <w:p>
            <w:pPr>
              <w:spacing w:after="40" w:line="276" w:lineRule="auto"/>
              <w:jc w:val="left"/>
            </w:pPr>
            <w:r>
              <w:rPr>
                <w:rFonts w:ascii="Calibri" w:hAnsi="Calibri"/>
                <w:b/>
                <w:i w:val="0"/>
                <w:color w:val="0F172A"/>
                <w:sz w:val="19"/>
              </w:rPr>
              <w:t>Resource Type</w:t>
            </w:r>
          </w:p>
        </w:tc>
        <w:tc>
          <w:tcPr>
            <w:tcW w:type="dxa" w:w="3312"/>
            <w:shd w:fill="E2E8F0"/>
            <w:tcMar>
              <w:top w:w="70" w:type="dxa"/>
              <w:bottom w:w="70" w:type="dxa"/>
              <w:left w:w="110" w:type="dxa"/>
              <w:right w:w="110" w:type="dxa"/>
            </w:tcMar>
            <w:vAlign w:val="center"/>
          </w:tcPr>
          <w:p>
            <w:pPr>
              <w:spacing w:after="40" w:line="276" w:lineRule="auto"/>
              <w:jc w:val="left"/>
            </w:pPr>
            <w:r>
              <w:rPr>
                <w:rFonts w:ascii="Calibri" w:hAnsi="Calibri"/>
                <w:b/>
                <w:i w:val="0"/>
                <w:color w:val="0F172A"/>
                <w:sz w:val="19"/>
              </w:rPr>
              <w:t>Description</w:t>
            </w:r>
          </w:p>
        </w:tc>
        <w:tc>
          <w:tcPr>
            <w:tcW w:type="dxa" w:w="3168"/>
            <w:shd w:fill="E2E8F0"/>
            <w:tcMar>
              <w:top w:w="70" w:type="dxa"/>
              <w:bottom w:w="70" w:type="dxa"/>
              <w:left w:w="110" w:type="dxa"/>
              <w:right w:w="110" w:type="dxa"/>
            </w:tcMar>
            <w:vAlign w:val="center"/>
          </w:tcPr>
          <w:p>
            <w:pPr>
              <w:spacing w:after="40" w:line="276" w:lineRule="auto"/>
              <w:jc w:val="left"/>
            </w:pPr>
            <w:r>
              <w:rPr>
                <w:rFonts w:ascii="Calibri" w:hAnsi="Calibri"/>
                <w:b/>
                <w:i w:val="0"/>
                <w:color w:val="0F172A"/>
                <w:sz w:val="19"/>
              </w:rPr>
              <w:t>Specification/Allocation</w:t>
            </w:r>
          </w:p>
        </w:tc>
      </w:tr>
      <w:tr>
        <w:tc>
          <w:tcPr>
            <w:tcW w:type="dxa" w:w="8640"/>
            <w:gridSpan w:val="3"/>
            <w:shd w:fill="F1F5F9"/>
            <w:tcMar>
              <w:top w:w="70" w:type="dxa"/>
              <w:bottom w:w="70" w:type="dxa"/>
              <w:left w:w="110" w:type="dxa"/>
              <w:right w:w="110" w:type="dxa"/>
            </w:tcMar>
            <w:vAlign w:val="center"/>
          </w:tcPr>
          <w:p>
            <w:pPr>
              <w:spacing w:after="40" w:line="276" w:lineRule="auto"/>
              <w:jc w:val="left"/>
            </w:pPr>
            <w:r>
              <w:rPr>
                <w:rFonts w:ascii="Calibri" w:hAnsi="Calibri"/>
                <w:b/>
                <w:i w:val="0"/>
                <w:color w:val="1E293B"/>
                <w:sz w:val="20"/>
              </w:rPr>
              <w:t>Hardware</w:t>
            </w:r>
          </w:p>
        </w:tc>
      </w:tr>
      <w:tr>
        <w:tc>
          <w:tcPr>
            <w:tcW w:type="dxa" w:w="2880"/>
            <w:shd w:fill="F8FAFC"/>
            <w:tcMar>
              <w:top w:w="70" w:type="dxa"/>
              <w:bottom w:w="70" w:type="dxa"/>
              <w:left w:w="110" w:type="dxa"/>
              <w:right w:w="110" w:type="dxa"/>
            </w:tcMar>
            <w:vAlign w:val="center"/>
          </w:tcPr>
          <w:p>
            <w:pPr>
              <w:spacing w:after="40" w:line="276" w:lineRule="auto"/>
              <w:jc w:val="left"/>
            </w:pPr>
            <w:r>
              <w:rPr>
                <w:rFonts w:ascii="Calibri" w:hAnsi="Calibri"/>
                <w:b/>
                <w:i w:val="0"/>
                <w:color w:val="1E293B"/>
                <w:sz w:val="18"/>
              </w:rPr>
              <w:t>Computing Resources</w:t>
            </w:r>
          </w:p>
        </w:tc>
        <w:tc>
          <w:tcPr>
            <w:tcW w:type="dxa" w:w="331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CPU/GPU specifications, number of cores</w:t>
            </w:r>
          </w:p>
        </w:tc>
        <w:tc>
          <w:tcPr>
            <w:tcW w:type="dxa" w:w="316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Intel Core i5/i7 or AMD Ryzen 5/7 (6+ Cores), 2.5 GHz+ base clock</w:t>
            </w:r>
          </w:p>
        </w:tc>
      </w:tr>
      <w:tr>
        <w:tc>
          <w:tcPr>
            <w:tcW w:type="dxa" w:w="2880"/>
            <w:shd w:fill="F8FAFC"/>
            <w:tcMar>
              <w:top w:w="70" w:type="dxa"/>
              <w:bottom w:w="70" w:type="dxa"/>
              <w:left w:w="110" w:type="dxa"/>
              <w:right w:w="110" w:type="dxa"/>
            </w:tcMar>
            <w:vAlign w:val="center"/>
          </w:tcPr>
          <w:p>
            <w:pPr>
              <w:spacing w:after="40" w:line="276" w:lineRule="auto"/>
              <w:jc w:val="left"/>
            </w:pPr>
            <w:r>
              <w:rPr>
                <w:rFonts w:ascii="Calibri" w:hAnsi="Calibri"/>
                <w:b/>
                <w:i w:val="0"/>
                <w:color w:val="1E293B"/>
                <w:sz w:val="18"/>
              </w:rPr>
              <w:t>Memory</w:t>
            </w:r>
          </w:p>
        </w:tc>
        <w:tc>
          <w:tcPr>
            <w:tcW w:type="dxa" w:w="331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RAM specifications</w:t>
            </w:r>
          </w:p>
        </w:tc>
        <w:tc>
          <w:tcPr>
            <w:tcW w:type="dxa" w:w="316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16 GB DDR4/DDR5 RAM for smooth data preprocessing and rendering</w:t>
            </w:r>
          </w:p>
        </w:tc>
      </w:tr>
      <w:tr>
        <w:tc>
          <w:tcPr>
            <w:tcW w:type="dxa" w:w="2880"/>
            <w:shd w:fill="F8FAFC"/>
            <w:tcMar>
              <w:top w:w="70" w:type="dxa"/>
              <w:bottom w:w="70" w:type="dxa"/>
              <w:left w:w="110" w:type="dxa"/>
              <w:right w:w="110" w:type="dxa"/>
            </w:tcMar>
            <w:vAlign w:val="center"/>
          </w:tcPr>
          <w:p>
            <w:pPr>
              <w:spacing w:after="40" w:line="276" w:lineRule="auto"/>
              <w:jc w:val="left"/>
            </w:pPr>
            <w:r>
              <w:rPr>
                <w:rFonts w:ascii="Calibri" w:hAnsi="Calibri"/>
                <w:b/>
                <w:i w:val="0"/>
                <w:color w:val="1E293B"/>
                <w:sz w:val="18"/>
              </w:rPr>
              <w:t>Storage</w:t>
            </w:r>
          </w:p>
        </w:tc>
        <w:tc>
          <w:tcPr>
            <w:tcW w:type="dxa" w:w="331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Disk space for data, models, and logs</w:t>
            </w:r>
          </w:p>
        </w:tc>
        <w:tc>
          <w:tcPr>
            <w:tcW w:type="dxa" w:w="316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512 GB SSD (NVMe high-speed storage)</w:t>
            </w:r>
          </w:p>
        </w:tc>
      </w:tr>
      <w:tr>
        <w:tc>
          <w:tcPr>
            <w:tcW w:type="dxa" w:w="8640"/>
            <w:gridSpan w:val="3"/>
            <w:shd w:fill="F1F5F9"/>
            <w:tcMar>
              <w:top w:w="70" w:type="dxa"/>
              <w:bottom w:w="70" w:type="dxa"/>
              <w:left w:w="110" w:type="dxa"/>
              <w:right w:w="110" w:type="dxa"/>
            </w:tcMar>
            <w:vAlign w:val="center"/>
          </w:tcPr>
          <w:p>
            <w:pPr>
              <w:spacing w:after="40" w:line="276" w:lineRule="auto"/>
              <w:jc w:val="left"/>
            </w:pPr>
            <w:r>
              <w:rPr>
                <w:rFonts w:ascii="Calibri" w:hAnsi="Calibri"/>
                <w:b/>
                <w:i w:val="0"/>
                <w:color w:val="1E293B"/>
                <w:sz w:val="20"/>
              </w:rPr>
              <w:t>Software</w:t>
            </w:r>
          </w:p>
        </w:tc>
      </w:tr>
      <w:tr>
        <w:tc>
          <w:tcPr>
            <w:tcW w:type="dxa" w:w="2880"/>
            <w:shd w:fill="F8FAFC"/>
            <w:tcMar>
              <w:top w:w="70" w:type="dxa"/>
              <w:bottom w:w="70" w:type="dxa"/>
              <w:left w:w="110" w:type="dxa"/>
              <w:right w:w="110" w:type="dxa"/>
            </w:tcMar>
            <w:vAlign w:val="center"/>
          </w:tcPr>
          <w:p>
            <w:pPr>
              <w:spacing w:after="40" w:line="276" w:lineRule="auto"/>
              <w:jc w:val="left"/>
            </w:pPr>
            <w:r>
              <w:rPr>
                <w:rFonts w:ascii="Calibri" w:hAnsi="Calibri"/>
                <w:b/>
                <w:i w:val="0"/>
                <w:color w:val="1E293B"/>
                <w:sz w:val="18"/>
              </w:rPr>
              <w:t>Frameworks</w:t>
            </w:r>
          </w:p>
        </w:tc>
        <w:tc>
          <w:tcPr>
            <w:tcW w:type="dxa" w:w="331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Python &amp; Frontend frameworks</w:t>
            </w:r>
          </w:p>
        </w:tc>
        <w:tc>
          <w:tcPr>
            <w:tcW w:type="dxa" w:w="316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React 19, Vite 8, Lucide React (Web UI)</w:t>
            </w:r>
          </w:p>
        </w:tc>
      </w:tr>
      <w:tr>
        <w:tc>
          <w:tcPr>
            <w:tcW w:type="dxa" w:w="2880"/>
            <w:shd w:fill="F8FAFC"/>
            <w:tcMar>
              <w:top w:w="70" w:type="dxa"/>
              <w:bottom w:w="70" w:type="dxa"/>
              <w:left w:w="110" w:type="dxa"/>
              <w:right w:w="110" w:type="dxa"/>
            </w:tcMar>
            <w:vAlign w:val="center"/>
          </w:tcPr>
          <w:p>
            <w:pPr>
              <w:spacing w:after="40" w:line="276" w:lineRule="auto"/>
              <w:jc w:val="left"/>
            </w:pPr>
            <w:r>
              <w:rPr>
                <w:rFonts w:ascii="Calibri" w:hAnsi="Calibri"/>
                <w:b/>
                <w:i w:val="0"/>
                <w:color w:val="1E293B"/>
                <w:sz w:val="18"/>
              </w:rPr>
              <w:t>Libraries</w:t>
            </w:r>
          </w:p>
        </w:tc>
        <w:tc>
          <w:tcPr>
            <w:tcW w:type="dxa" w:w="331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Data science &amp; visualization libraries</w:t>
            </w:r>
          </w:p>
        </w:tc>
        <w:tc>
          <w:tcPr>
            <w:tcW w:type="dxa" w:w="316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Pandas, NumPy, Matplotlib, Seaborn, Tableau Public Engine</w:t>
            </w:r>
          </w:p>
        </w:tc>
      </w:tr>
      <w:tr>
        <w:tc>
          <w:tcPr>
            <w:tcW w:type="dxa" w:w="2880"/>
            <w:shd w:fill="F8FAFC"/>
            <w:tcMar>
              <w:top w:w="70" w:type="dxa"/>
              <w:bottom w:w="70" w:type="dxa"/>
              <w:left w:w="110" w:type="dxa"/>
              <w:right w:w="110" w:type="dxa"/>
            </w:tcMar>
            <w:vAlign w:val="center"/>
          </w:tcPr>
          <w:p>
            <w:pPr>
              <w:spacing w:after="40" w:line="276" w:lineRule="auto"/>
              <w:jc w:val="left"/>
            </w:pPr>
            <w:r>
              <w:rPr>
                <w:rFonts w:ascii="Calibri" w:hAnsi="Calibri"/>
                <w:b/>
                <w:i w:val="0"/>
                <w:color w:val="1E293B"/>
                <w:sz w:val="18"/>
              </w:rPr>
              <w:t>Development Environment</w:t>
            </w:r>
          </w:p>
        </w:tc>
        <w:tc>
          <w:tcPr>
            <w:tcW w:type="dxa" w:w="331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IDE, version control &amp; tools</w:t>
            </w:r>
          </w:p>
        </w:tc>
        <w:tc>
          <w:tcPr>
            <w:tcW w:type="dxa" w:w="316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Visual Studio Code, Tableau Desktop / Public, Git, GitHub</w:t>
            </w:r>
          </w:p>
        </w:tc>
      </w:tr>
      <w:tr>
        <w:tc>
          <w:tcPr>
            <w:tcW w:type="dxa" w:w="8640"/>
            <w:gridSpan w:val="3"/>
            <w:shd w:fill="F1F5F9"/>
            <w:tcMar>
              <w:top w:w="70" w:type="dxa"/>
              <w:bottom w:w="70" w:type="dxa"/>
              <w:left w:w="110" w:type="dxa"/>
              <w:right w:w="110" w:type="dxa"/>
            </w:tcMar>
            <w:vAlign w:val="center"/>
          </w:tcPr>
          <w:p>
            <w:pPr>
              <w:spacing w:after="40" w:line="276" w:lineRule="auto"/>
              <w:jc w:val="left"/>
            </w:pPr>
            <w:r>
              <w:rPr>
                <w:rFonts w:ascii="Calibri" w:hAnsi="Calibri"/>
                <w:b/>
                <w:i w:val="0"/>
                <w:color w:val="1E293B"/>
                <w:sz w:val="20"/>
              </w:rPr>
              <w:t>Data</w:t>
            </w:r>
          </w:p>
        </w:tc>
      </w:tr>
      <w:tr>
        <w:tc>
          <w:tcPr>
            <w:tcW w:type="dxa" w:w="2880"/>
            <w:shd w:fill="F8FAFC"/>
            <w:tcMar>
              <w:top w:w="70" w:type="dxa"/>
              <w:bottom w:w="70" w:type="dxa"/>
              <w:left w:w="110" w:type="dxa"/>
              <w:right w:w="110" w:type="dxa"/>
            </w:tcMar>
            <w:vAlign w:val="center"/>
          </w:tcPr>
          <w:p>
            <w:pPr>
              <w:spacing w:after="40" w:line="276" w:lineRule="auto"/>
              <w:jc w:val="left"/>
            </w:pPr>
            <w:r>
              <w:rPr>
                <w:rFonts w:ascii="Calibri" w:hAnsi="Calibri"/>
                <w:b/>
                <w:i w:val="0"/>
                <w:color w:val="1E293B"/>
                <w:sz w:val="18"/>
              </w:rPr>
              <w:t>Data</w:t>
            </w:r>
          </w:p>
        </w:tc>
        <w:tc>
          <w:tcPr>
            <w:tcW w:type="dxa" w:w="3312"/>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Source, size, format</w:t>
            </w:r>
          </w:p>
        </w:tc>
        <w:tc>
          <w:tcPr>
            <w:tcW w:type="dxa" w:w="3168"/>
            <w:shd w:fill="FFFFFF"/>
            <w:tcMar>
              <w:top w:w="70" w:type="dxa"/>
              <w:bottom w:w="70" w:type="dxa"/>
              <w:left w:w="110" w:type="dxa"/>
              <w:right w:w="110" w:type="dxa"/>
            </w:tcMar>
            <w:vAlign w:val="center"/>
          </w:tcPr>
          <w:p>
            <w:pPr>
              <w:spacing w:after="40" w:line="276" w:lineRule="auto"/>
              <w:jc w:val="left"/>
            </w:pPr>
            <w:r>
              <w:rPr>
                <w:rFonts w:ascii="Calibri" w:hAnsi="Calibri"/>
                <w:b w:val="0"/>
                <w:i w:val="0"/>
                <w:color w:val="1E293B"/>
                <w:sz w:val="18"/>
              </w:rPr>
              <w:t>Food Consumer Behavior Survey &amp; Orders Dataset (~10,000+ records, CSV format, 15+ attributes)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