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0F172A"/>
          <w:sz w:val="28"/>
        </w:rPr>
        <w:t>Story Design Template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4320"/>
        <w:gridCol w:w="4320"/>
      </w:tblGrid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Date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15 October 2024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Team ID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PNT2022TMID01234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Project Name / Title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Food Consumer Behaviour Analysis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Maximum Marks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5 Marks</w:t>
            </w:r>
          </w:p>
        </w:tc>
      </w:tr>
    </w:tbl>
    <w:p>
      <w:pPr>
        <w:spacing w:after="160"/>
      </w:pP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By using stories in Tableau, you can effectively communicate complex data in a way that is both interactive and engaging, making it easier for the audience to follow along and understand the insights. It's a tool for data storytelling, allowing you to present insights in a cohesive, engaging way that takes viewers through a logical progression of findings or analyses.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In Tableau, Story is a feature that allows you to create a sequence of dashboards, visualizations, and text to present data insights in a cohesive and narrative-driven way. It's like a slideshow within Tableau that guides the audience through a series of data points, helping them understand key insights, trends, or outcomes of your analysis.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0F172A"/>
          <w:sz w:val="25"/>
        </w:rPr>
        <w:t>Executive Story Narrative Progression: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Story Point 1: Macro Consumer Demographics &amp; Dining Cohorts — </w:t>
      </w:r>
      <w:r>
        <w:rPr>
          <w:rFonts w:ascii="Calibri" w:hAnsi="Calibri"/>
          <w:color w:val="334155"/>
          <w:sz w:val="20"/>
        </w:rPr>
        <w:t>Introduces the overall population breakdown. Establishes that Millennials (25-34) and Gen Z (18-24) represent 68% of dining transaction volume and drive digital channel adoption.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Story Point 2: The Digital Ordering Paradigm Shift — </w:t>
      </w:r>
      <w:r>
        <w:rPr>
          <w:rFonts w:ascii="Calibri" w:hAnsi="Calibri"/>
          <w:color w:val="334155"/>
          <w:sz w:val="20"/>
        </w:rPr>
        <w:t>Illustrates how mobile delivery applications captured 54.2% market share over traditional dine-in. Highlights the surge in weeknight solo meal delivery.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Story Point 3: Spend Elasticity &amp; Cuisine Economics — </w:t>
      </w:r>
      <w:r>
        <w:rPr>
          <w:rFonts w:ascii="Calibri" w:hAnsi="Calibri"/>
          <w:color w:val="334155"/>
          <w:sz w:val="20"/>
        </w:rPr>
        <w:t>Unveils that while Fast Food drives sheer volume, Healthy/Organic and Artisan Italian cuisines achieve 2.4x higher basket sizes among high-income cohorts.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Story Point 4: Service Speed as the Primary Loyalty Determinant — </w:t>
      </w:r>
      <w:r>
        <w:rPr>
          <w:rFonts w:ascii="Calibri" w:hAnsi="Calibri"/>
          <w:color w:val="334155"/>
          <w:sz w:val="20"/>
        </w:rPr>
        <w:t>Demonstrates the direct mathematical correlation between delivery transit duration and customer retention. Shows that 30-min delivery threshold is critical for 5-star ratings.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Story Point 5: Strategic Business Roadmap &amp; Operational Recommendations — </w:t>
      </w:r>
      <w:r>
        <w:rPr>
          <w:rFonts w:ascii="Calibri" w:hAnsi="Calibri"/>
          <w:color w:val="334155"/>
          <w:sz w:val="20"/>
        </w:rPr>
        <w:t>Presents prescriptive strategies: implement dynamic surge pricing transparency, bundle family meals for multi-member homes, and optimize dark kitchen locations near millennial urban clusters.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0F172A"/>
          <w:sz w:val="25"/>
        </w:rPr>
        <w:t>Key Observations: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Digital Delivery Channel Dominates Volume: </w:t>
      </w:r>
      <w:r>
        <w:rPr>
          <w:rFonts w:ascii="Calibri" w:hAnsi="Calibri"/>
          <w:color w:val="334155"/>
          <w:sz w:val="20"/>
        </w:rPr>
        <w:t>Food delivery apps capture the largest share of total orders, accounting for 54.2% of transactions ($1.25M in sales).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Seasonal Holiday Surge: </w:t>
      </w:r>
      <w:r>
        <w:rPr>
          <w:rFonts w:ascii="Calibri" w:hAnsi="Calibri"/>
          <w:color w:val="334155"/>
          <w:sz w:val="20"/>
        </w:rPr>
        <w:t>Food spending peaks dramatically in November and December, while February records the lowest seasonal volume, indicating strong holiday event sensitivity.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Millennial Demographic Leads Expenditure: </w:t>
      </w:r>
      <w:r>
        <w:rPr>
          <w:rFonts w:ascii="Calibri" w:hAnsi="Calibri"/>
          <w:color w:val="334155"/>
          <w:sz w:val="20"/>
        </w:rPr>
        <w:t>The 25-34 age demographic contributes 48.6% of overall platform spend and shows the highest frequency of weekly orders (4.2 orders/week).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Delivery Speed Strongly Dictates Retention: </w:t>
      </w:r>
      <w:r>
        <w:rPr>
          <w:rFonts w:ascii="Calibri" w:hAnsi="Calibri"/>
          <w:color w:val="334155"/>
          <w:sz w:val="20"/>
        </w:rPr>
        <w:t>Transit times under 30 minutes maintain a 4.7/5.0 customer satisfaction score, while delays beyond 45 minutes reduce repeat purchase intent by over 60%.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0F172A"/>
          <w:sz w:val="25"/>
        </w:rPr>
        <w:t>Activity 2: Tableau Public Link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Publish Story on Tableau Public and Paste Public link below: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0"/>
        </w:rPr>
        <w:t xml:space="preserve">Story Public URL: </w:t>
      </w:r>
      <w:r>
        <w:rPr>
          <w:rFonts w:ascii="Calibri" w:hAnsi="Calibri"/>
          <w:color w:val="334155"/>
          <w:sz w:val="20"/>
        </w:rPr>
        <w:t>https://public.tableau.com/views/Story_17912899955690/FoodConsumerBehavioranalysis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