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 September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731510" cy="2878455"/>
            <wp:effectExtent b="0" l="0" r="0" t="0"/>
            <wp:docPr id="15070752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Technology Category Leads in Profit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Technology category is generating the highest profit among all categories.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Seasonal Sales Trend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Sales peak in November, while February sees the lowest sales, indicating a possible seasonal trend.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Consumer Segment Dominates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Consumer segment contributes to the highest percentage of sales, accounting for 50.56%.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Revenue-Generating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Chairs from the Furniture category generate the highest revenue, totaling 1.66M.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https://public.tableau.com/views/SalesStory_17247663658720/Story1?:language=en-US&amp;:sid=&amp;:redirect=auth&amp;:display_count=n&amp;:origin=viz_share_link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