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GoBack"/>
      <w:bookmarkEnd w:id="0"/>
      <w:r>
        <w:rPr>
          <w:rFonts w:ascii="方正小标宋_GBK" w:hAnsi="方正小标宋_GBK" w:eastAsia="方正小标宋_GBK"/>
          <w:color w:val="FF0000"/>
          <w:sz w:val="52"/>
        </w:rPr>
        <w:t>法律工作报告</w:t>
      </w:r>
    </w:p>
    <w:p/>
    <w:p>
      <w:pPr>
        <w:jc w:val="center"/>
      </w:pPr>
      <w:r>
        <w:rPr>
          <w:rFonts w:ascii="方正小标宋_GBK" w:hAnsi="方正小标宋_GBK" w:easeAsia="方正小标宋_GBK"/>
          <w:color w:val="FF0000"/>
          <w:sz w:val="32"/>
        </w:rPr>
        <w:t>〔2019〕1期        2020年11月29日</w:t>
      </w:r>
    </w:p>
    <w:p>
      <w:pPr>
        <w:jc w:val="center"/>
      </w:pPr>
      <w:r>
        <w:rPr>
          <w:rFonts w:ascii="方正小标宋_GBK" w:hAnsi="方正小标宋_GBK" w:eastAsia="方正小标宋_GBK"/>
          <w:sz w:val="40"/>
        </w:rPr>
        <w:t>期间法律事务</w:t>
      </w:r>
      <w:r>
        <w:rPr>
          <w:rFonts w:ascii="方正小标宋_GBK" w:hAnsi="方正小标宋_GBK" w:eastAsia="方正小标宋_GBK"/>
          <w:sz w:val="32"/>
        </w:rPr>
        <w:t>（2019.01.01-2019.12.31）</w:t>
      </w:r>
    </w:p>
    <w:p>
      <w:pPr/>
    </w:p>
    <w:p>
      <w:pPr>
        <w:pStyle w:val="H1"/>
      </w:pPr>
      <w:r>
        <w:t>一、诉讼事务</w:t>
      </w:r>
    </w:p>
    <w:p>
      <w:pPr>
        <w:pStyle w:val="N1"/>
      </w:pPr>
      <w:r>
        <w:t>上海经闻vs美好景象：2019年05月13日，建立云文档，与方琛核对收到传票的日期；2019年05月21日，与相关人员核实事实情况，整理相关证据资料，邮寄给法官；2019年05月22日，与视觉中国沟通侵权事件；2019年05月27日，与对方代理律师和承办法官沟通撤诉情况；2019年05月28日，确认撤诉情况；2019年07月22日，分析资料，联系每经员工、承办法官、对方代理律师处理该事宜；2019年08月06日，沟通撤诉情况。</w:t>
      </w:r>
    </w:p>
    <w:p>
      <w:pPr>
        <w:pStyle w:val="N1"/>
      </w:pPr>
      <w:r>
        <w:t>优图佳视VS上海经闻：2019年09月19日，沟通优图侵权事宜。</w:t>
      </w:r>
    </w:p>
    <w:p>
      <w:pPr>
        <w:pStyle w:val="N1"/>
      </w:pPr>
      <w:r>
        <w:t>全搜索vs意扬：2019年05月07日，整理两个案子案件材料，准备代理合同、开具发票并邮寄；2019年05月09日，联系承办法官，沟通案件网上操作模式；2019年05月14日，接法官电话要求和解，与许鹏沟通图片来源等情况；2019年05月14日，确定互联网法院注册方式、程序，联系许鹏准备注册所需资料，联系法官准备案件关联；2019年05月15日，与许鹏沟通案件情况，确定证据材料，分析证据材料；2019年05月15日，联系互联网法院技术人员，进行案件关联绑定；2019年05月17日，与许鹏沟通证据材料；2019年05月18日，整理云文档目录材料，进行事实分析；2019年05月21日，起草证据目录；2019年05月21日，联系每经，核实证据材料，根据法官要求，复印扫描相关材料，上传互联网法院；2019年05月22日，将证据材料分割上传云文档，打印证据目录及材料；2019年05月22日，起草答辩状；2019年05月22日，起草修改证据目录及开庭提纲，准备模拟法庭材料等。；2019年05月23日，修改证据目录等，与法官沟通需上传资料；2019年07月23日，沟通各方，确认和解；2019年07月24日，沟通起草和解协议，联系签订；2019年07月30日，沟通案件进展，确认撤诉。</w:t>
      </w:r>
    </w:p>
    <w:p>
      <w:pPr>
        <w:pStyle w:val="N1"/>
      </w:pPr>
      <w:r>
        <w:t>原本图像vs上海经闻：2019年05月21日，建立云文档，核实侵权图片发布情况；2019年05月23日，沟通案情进展；2019年05月29日，确认原本图像撤诉情况；2019年06月03日，确认原本图像撤诉情况。</w:t>
      </w:r>
    </w:p>
    <w:p>
      <w:pPr>
        <w:pStyle w:val="N1"/>
      </w:pPr>
      <w:r>
        <w:t>姜国vs新闻社：2019年06月03日，核实相关事实，查询案例、报道；2019年06月04日，联系法官确认开庭情况；2019年10月08日，至每经沟通案件；2019年10月17日，从成都至哈尔滨；2019年10月16日，准备开庭提纲等；2019年10月18日，至道里法院开庭；2019年10月19日，从哈尔滨回成都；2019年10月23日，沟通起草主体沿革说明；2019年12月23日，联系法官，确认审结事宜。</w:t>
      </w:r>
    </w:p>
    <w:p>
      <w:pPr>
        <w:pStyle w:val="N1"/>
      </w:pPr>
      <w:r>
        <w:t>抚顺德星vs壹图：2019年04月09日，准备代理合同；2019年04月10日，准备抚顺德星代理合同及应诉资料，联系抚顺盖章准备；2019年04月11日，准备代理合同，盖章、开票，邮寄给每经；2019年04月16日，开具律师费发票并邮寄；2019年04月23日，与每经法务沟通案件进程；2019年04月24日，开具所函，准备应诉资料；2019年04月25日，沟通变更情况，更改起诉状；2019年05月18日，建立云文档，整理文档目录、基础资料；2019年06月11日，联系法官，沟通确认案件进展；2019年06月12日，联系抚顺德星，整理注册资料，进行账号注册，关联案件，上传授权资料；2019年06月17日，与法官沟通要求送达原告证据材料，分析原告证据材料，与每经核实；2019年06月21日，与法官沟通，重新进行案件关联；2019年07月30日，沟通案件进展，确认撤诉。</w:t>
      </w:r>
    </w:p>
    <w:p>
      <w:pPr>
        <w:pStyle w:val="N1"/>
      </w:pPr>
      <w:r>
        <w:t>新每经VS珠海广通：2019年05月16日，与每经沟通案件情况，整理案件资料，建立云文档，起草委托代理合同；2019年05月23日，起草代理合同，开具发票；2019年05月27日，确认基础资料，沟通案件情况进行事实分析，起草诉状并将相关材料发给对接人盖章填写；2019年06月03日，准备立案材料；2019年06月05日，接受证据材料并整理，寄给北京公司立案；2019年06月18日，沟通立案问题；2019年06月19日，准备立案补充材料，联系每经盖章；2019年08月20日，准备移卷授权文件，联系承办法官移卷等；2019年09月19日，沟通珠海银隆案件事宜；2019年10月24日，准备开庭资料；2019年10月24日，准备更换代理人资料并联系盖章；2019年10月25日，沟通补充文件，联系法官确定被告证据提交情况；2019年10月28日，修改补充开庭提纲；2019年10月28日，进行模拟法庭；2019年10月28日，起草开庭提纲，准备证据材料；2019年10月29日，至北京公司拿证据原件以及盖章；2019年10月29日，从成都至北京；2019年10月28日，准备进行模拟法庭；2019年10月30日，至新每经归还证据原件；2019年10月30日，至朝阳法院开庭；2019年10月31日，从北京回成都；2019年11月06日，联系法官，起草变更申请，盖章；2019年11月21日，准备开庭资料；2019年11月21日，补充开庭提纲；2019年11月24日，从成都至北京；2019年11月26日，从北京回成都；2019年11月25日，至朝阳法院开庭；2019年11月25日，从北京回成都；2019年12月01日，起草代理词并邮寄；2019年12月29日，沟通调解；2019年12月31日，起草情况说明邮寄法官。</w:t>
      </w:r>
    </w:p>
    <w:p>
      <w:pPr>
        <w:pStyle w:val="N1"/>
      </w:pPr>
      <w:r>
        <w:t>新每经vs海航：2019年11月28日，准备代理合同，开票邮寄；2019年12月04日，进行事实分析，起草诉状联系盖章；2019年12月17日，进行事实分析，沟通材料，准备立案材料盖章；2019年12月29日，准备立案资料，联系法院，进行网上立案。</w:t>
      </w:r>
    </w:p>
    <w:p>
      <w:pPr>
        <w:pStyle w:val="N1"/>
      </w:pPr>
      <w:r>
        <w:t>新每经vs网融天下：2019年03月11日，分析案件材料，向每经进行报价；2019年03月14日，准备代理合同，过系统盖章，开具发票，邮寄至每经；2019年03月20日，起草起诉状；2019年03月20日，分析案件资料，做事实模式分析及要素模式分析；2019年03月21日，整理证据资料，准备立案材料并上传云文档；2019年03月28日，准备立案材料，联系每经盖章；2019年04月09日，起草授权委托书；2019年04月09日，准备立案材料，开具所函，邮寄立案材料；2019年04月29日，联系每经确定车票、酒店等预订事宜，联系张泽阳确定补充事实；2019年04月29日，确定补充证据，联系法官确定送达情况、证据补充方式；2019年04月30日，沟通确认补充证据，整理后邮寄给承办法官；2019年05月05日，与法官确定开庭时间，准备开庭所需证据；2019年05月07日，准备模拟法庭；2019年05月11日，从北京返回成都；2019年05月09日，从北京西站到北京平谷区法院，因法院确定开庭时间有误，开庭时给被告的举证期和答辩期间尚未届满，推迟到五月二十九日开庭。；2019年05月08日，从成都乘高铁到北京，准备去北京平谷法院开庭；2019年05月29日，从北京回成都；2019年05月29日，参加庭审；2019年05月28日，从成都高铁出差到北京，到北京平谷区法院开庭；2019年07月16日，沟通案件执行问题；2019年07月17日，起草执行申请，准备执行材料；2019年07月17日，准备执行阶段代理合同；2019年07月17日，联系法官确认生效证明；2019年07月25日，准备执行立案材料，联系盖章签字；2019年08月02日，准备执行立案材料，联系北京盖章立案；2019年08月01日，确认沟通珠海案件移卷事宜；2019年08月23日，沟通指导执行申请；2019年10月21日，与赵法官沟通案件情况；2019年10月23日，询问整理财产线索。</w:t>
      </w:r>
    </w:p>
    <w:p>
      <w:pPr>
        <w:pStyle w:val="N1"/>
      </w:pPr>
      <w:r>
        <w:t>星河vs新每经：2019年04月24日，联系业务员了解情况，起草起诉状，开具所函，准备立案材料。；2019年04月24日，起草代理合同，开具发票，邮寄给每经；2019年05月20日，沟通立案材料的准备；2019年05月24日，起草证据目录，准备立案材料，邮寄给北京进行立案；2019年07月17日，联系法官、每经员工，确认每经各案件进展；2019年11月13日，准备立案材料并联系邮寄。</w:t>
      </w:r>
    </w:p>
    <w:p>
      <w:pPr>
        <w:pStyle w:val="N1"/>
      </w:pPr>
      <w:r>
        <w:t>每经VS金立：2019年01月08日，到法院，领取管辖异议上诉状。；2019年01月25日，整理发送案件资料；2019年07月22日，扫描传票，联系法官确认进展，确定提交证据；2019年08月14日，准备撤诉申请，联系盖章；2019年08月16日，准备撤诉资料邮寄给法官；2019年08月19日，确立撤诉事宜；2019年09月02日，确认复核通知是否发出。</w:t>
      </w:r>
    </w:p>
    <w:p>
      <w:pPr>
        <w:pStyle w:val="N1"/>
      </w:pPr>
      <w:r>
        <w:t>每经vs丁文华：2019年08月02日，沟通处理律师函事宜。</w:t>
      </w:r>
    </w:p>
    <w:p>
      <w:pPr>
        <w:pStyle w:val="N1"/>
      </w:pPr>
      <w:r>
        <w:t>每经vs乐铮：2019年02月20日，浏览案件资料，确定律师费等事项，对每经进行报价；2019年03月20日，与法务沟通乐铮案件起诉问题；2019年03月21日，起草代理合同，过系统盖章，并开具发票，邮寄；2019年03月29日，起草起诉状，准备立案材料；2019年04月09日，准备立案材料，开具所函，邮寄立案材料；2019年04月19日，确定是否可以邮寄立案，准备立案资料并邮寄；2019年04月22日，确定律师费到账情况并与每经确认；2019年04月25日，联系法院确定立案情况；2019年05月27日，重新确认基础资料，将相关立案材料发给对接人盖章填写；2019年05月30日，准备立案材料；2019年07月24日，确定航班等信息，联系每经订票等；2019年07月28日，从成都到上海；2019年07月29日，到徐汇区法院参加庭前调解，结果对方没有来；2019年07月30日，与每经和乐铮沟通和解数额；2019年07月29日，从上海回成都；2019年08月14日，起草和解协议，联系签订；2019年08月23日，确认付款情况，起草撤诉申请，沟通撤诉事宜。</w:t>
      </w:r>
    </w:p>
    <w:p>
      <w:pPr>
        <w:pStyle w:val="N1"/>
      </w:pPr>
      <w:r>
        <w:t>每经vs今金贷：2019年10月12日，初步沟通案件事宜；2019年11月05日，沟通证据材料，进行实时分析，起草诉状；2019年11月06日，沟通证据材料。</w:t>
      </w:r>
    </w:p>
    <w:p>
      <w:pPr>
        <w:pStyle w:val="N1"/>
      </w:pPr>
      <w:r>
        <w:t>每经vs头条榜：2019年01月16日，准备法律要素模式分析；2019年01月16日，起草时间模式分析；2019年01月17日，修改代理合同，准备授权委托书、法定代表人身份证明等材料联系每经盖章；2019年01月17日，计算违约金，准备起诉状；2019年01月21日，合同过系统盖章，开票后邮寄回每经；2019年01月22日，联系东城法院询问是否可以邮寄立案，回复可以；2019年01月22日，开具所函，起草证据目录，准备立案材料；2019年01月25日，准备立案资料邮寄至东城法院；2019年02月25日，与立案庭法官联系，确定诉讼费交纳方式及立案情况等；2019年03月15日，分别与北京东城立案庭法官及新每经工作人员沟通立案进展；2019年05月13日，补充书记员要求的案件资料；2019年05月22日，起草修改和解协议。</w:t>
      </w:r>
    </w:p>
    <w:p>
      <w:pPr>
        <w:pStyle w:val="N1"/>
      </w:pPr>
      <w:r>
        <w:t>每经vs康得新：2019年11月06日，沟通整理案件资料；2019年11月28日，准备代理合同，开票邮寄，起草诉状；2019年11月28日，新康得委托合同以及海航委托合同过系统、盖章；2019年12月17日，进行事实分析，沟通材料，准备立案材料盖章；2019年12月30日，准备立案材料。</w:t>
      </w:r>
    </w:p>
    <w:p>
      <w:pPr>
        <w:pStyle w:val="N1"/>
      </w:pPr>
      <w:r>
        <w:t>每经vs德顺：2019年04月08日，分析案件材料，提出建议，进行律师费报价。</w:t>
      </w:r>
    </w:p>
    <w:p>
      <w:pPr>
        <w:pStyle w:val="N1"/>
      </w:pPr>
      <w:r>
        <w:t>每经vs甘肃金畅：2019年11月11日，准备立案材料，扫描进行网上立案；2019年11月19日，至锦江法院立案；2019年12月05日，和法官沟通被告送达及公告问题；2019年12月24日，办理撤诉及退费。</w:t>
      </w:r>
    </w:p>
    <w:p>
      <w:pPr>
        <w:pStyle w:val="N1"/>
      </w:pPr>
      <w:r>
        <w:t>每经vs蓝牛仔：2019年05月24日，沟通蓝牛仔诉每经侵权案件；2019年05月30日，联系对方代理律师进行和解；2019年06月06日，与每经、视觉中国及广告商沟通，要求撤诉；2019年06月06日，至锦江法院确定侵权证据；2019年06月11日，蓝牛仔 沟通确认撤诉情况。</w:t>
      </w:r>
    </w:p>
    <w:p>
      <w:pPr>
        <w:pStyle w:val="N1"/>
      </w:pPr>
      <w:r>
        <w:t>葛优vs每经：2019年02月19日，因每经2016年做葛优躺评论性报道，葛优委托律师向每经发函，要求每经承担侵害其肖像权的侵权责任。搜集、整理、分析相关法规、多起案例、参考文章。；2019年02月20日，与王彬律师讨论案情，确认每经评论性、科普性、公益性报道，对葛优肖像权不构成侵权。微信和电话告知每经法务，并提示法律风险、应对措施。。</w:t>
      </w:r>
    </w:p>
    <w:p>
      <w:pPr>
        <w:pStyle w:val="N1"/>
      </w:pPr>
      <w:r>
        <w:t>运城vs河图：2019年08月13日，沟通图片侵权事宜；2019年10月30日，起草和解协议。</w:t>
      </w:r>
    </w:p>
    <w:p>
      <w:pPr>
        <w:pStyle w:val="H1"/>
      </w:pPr>
      <w:r>
        <w:t>二、经营事务</w:t>
      </w:r>
    </w:p>
    <w:p>
      <w:pPr>
        <w:pStyle w:val="N1"/>
      </w:pPr>
      <w:r>
        <w:t>无。</w:t>
      </w:r>
    </w:p>
    <w:p>
      <w:pPr>
        <w:pStyle w:val="H1"/>
      </w:pPr>
      <w:r>
        <w:t>三、采编事务</w:t>
      </w:r>
    </w:p>
    <w:p>
      <w:pPr>
        <w:pStyle w:val="N1"/>
      </w:pPr>
      <w:r>
        <w:t>2019年12月22日，处理天罡撤稿一事，出具意见书。</w:t>
      </w:r>
    </w:p>
    <w:p>
      <w:pPr>
        <w:pStyle w:val="N1"/>
      </w:pPr>
      <w:r>
        <w:t>2019年06月19日，查询相关资料，起草法定代表人指责相关法律意见书。</w:t>
      </w:r>
    </w:p>
    <w:p>
      <w:pPr>
        <w:pStyle w:val="N1"/>
      </w:pPr>
      <w:r>
        <w:t>2019年06月24日，起草上周法律事务报告。</w:t>
      </w:r>
    </w:p>
    <w:p>
      <w:pPr>
        <w:pStyle w:val="N1"/>
      </w:pPr>
      <w:r>
        <w:t>2019年07月03日，与每经王记者联系乳山金鼎房地产开发有限公司关于每经威海乳山报道撤稿问题并出具法律意见书。</w:t>
      </w:r>
    </w:p>
    <w:p>
      <w:pPr>
        <w:pStyle w:val="N1"/>
      </w:pPr>
      <w:r>
        <w:t>2019年07月03日，起草法律事务报告。</w:t>
      </w:r>
    </w:p>
    <w:p>
      <w:pPr>
        <w:pStyle w:val="N1"/>
      </w:pPr>
      <w:r>
        <w:t>2019年07月03日，沟通侵权咨询，查询相关资料，提出法律意见。</w:t>
      </w:r>
    </w:p>
    <w:p>
      <w:pPr>
        <w:pStyle w:val="N1"/>
      </w:pPr>
      <w:r>
        <w:t>2019年07月04日，与每经王记者沟通并撰写金鼎乳山法律意见书2。</w:t>
      </w:r>
    </w:p>
    <w:p>
      <w:pPr>
        <w:pStyle w:val="N1"/>
      </w:pPr>
      <w:r>
        <w:t>2019年07月08日，起草上周法律事务报告。</w:t>
      </w:r>
    </w:p>
    <w:p>
      <w:pPr>
        <w:pStyle w:val="N1"/>
      </w:pPr>
      <w:r>
        <w:t>2019年07月09日，撰写法律意见书-恒安嘉新。</w:t>
      </w:r>
    </w:p>
    <w:p>
      <w:pPr>
        <w:pStyle w:val="N1"/>
      </w:pPr>
      <w:r>
        <w:t>2019年07月15日，出具海外网—合同审查意见书。</w:t>
      </w:r>
    </w:p>
    <w:p>
      <w:pPr>
        <w:pStyle w:val="N1"/>
      </w:pPr>
      <w:r>
        <w:t>2019年07月17日，出具法律意见书—拉卡拉。</w:t>
      </w:r>
    </w:p>
    <w:p>
      <w:pPr>
        <w:pStyle w:val="N1"/>
      </w:pPr>
      <w:r>
        <w:t>2019年07月18日，与每经刘记者沟通新氧撤稿事宜并出具法律意见书。</w:t>
      </w:r>
    </w:p>
    <w:p>
      <w:pPr>
        <w:pStyle w:val="N1"/>
      </w:pPr>
      <w:r>
        <w:t>2019年07月22日，起草法律事务报告。</w:t>
      </w:r>
    </w:p>
    <w:p>
      <w:pPr>
        <w:pStyle w:val="N1"/>
      </w:pPr>
      <w:r>
        <w:t>2019年07月29日，起草上周法律事务报告。</w:t>
      </w:r>
    </w:p>
    <w:p>
      <w:pPr>
        <w:pStyle w:val="N1"/>
      </w:pPr>
      <w:r>
        <w:t>2019年07月30日，查询相关资料，就律师函沟通出具意见，联系对方代理律师。</w:t>
      </w:r>
    </w:p>
    <w:p>
      <w:pPr>
        <w:pStyle w:val="N1"/>
      </w:pPr>
      <w:r>
        <w:t>2019年08月06日，起草金融路演公司设立之法律意见书。</w:t>
      </w:r>
    </w:p>
    <w:p>
      <w:pPr>
        <w:pStyle w:val="N1"/>
      </w:pPr>
      <w:r>
        <w:t>2019年08月08日，撰写法律意见书—尚品。</w:t>
      </w:r>
    </w:p>
    <w:p>
      <w:pPr>
        <w:pStyle w:val="N1"/>
      </w:pPr>
      <w:r>
        <w:t>2019年08月12日，起草法律事务报告。</w:t>
      </w:r>
    </w:p>
    <w:p>
      <w:pPr>
        <w:pStyle w:val="N1"/>
      </w:pPr>
      <w:r>
        <w:t>2019年08月14日，出具大数据公司设立的法律意见书。</w:t>
      </w:r>
    </w:p>
    <w:p>
      <w:pPr>
        <w:pStyle w:val="N1"/>
      </w:pPr>
      <w:r>
        <w:t>2019年08月19日，根据经委会意见修改金融路演公司设立之法律意见书。</w:t>
      </w:r>
    </w:p>
    <w:p>
      <w:pPr>
        <w:pStyle w:val="N1"/>
      </w:pPr>
      <w:r>
        <w:t>2019年08月19日，起草上周事务报告。</w:t>
      </w:r>
    </w:p>
    <w:p>
      <w:pPr>
        <w:pStyle w:val="N1"/>
      </w:pPr>
      <w:r>
        <w:t>2019年08月30日，起曹闲置资产转让之法律意见书。</w:t>
      </w:r>
    </w:p>
    <w:p>
      <w:pPr>
        <w:pStyle w:val="N1"/>
      </w:pPr>
      <w:r>
        <w:t>2019年09月17日，起草法律事务报告。</w:t>
      </w:r>
    </w:p>
    <w:p>
      <w:pPr>
        <w:pStyle w:val="N1"/>
      </w:pPr>
      <w:r>
        <w:t>2019年09月19日，写法律意见书-富途证券。</w:t>
      </w:r>
    </w:p>
    <w:p>
      <w:pPr>
        <w:pStyle w:val="N1"/>
      </w:pPr>
      <w:r>
        <w:t>2019年09月19日，沟通处理鲁南制药撤稿一事。</w:t>
      </w:r>
    </w:p>
    <w:p>
      <w:pPr>
        <w:pStyle w:val="N1"/>
      </w:pPr>
      <w:r>
        <w:t>2019年11月14日，写法律意见书-鲁南制造。</w:t>
      </w:r>
    </w:p>
    <w:p>
      <w:pPr>
        <w:pStyle w:val="N1"/>
      </w:pPr>
      <w:r>
        <w:t>2019年11月14日，写法律意见书-未来视线。</w:t>
      </w:r>
    </w:p>
    <w:p>
      <w:pPr>
        <w:pStyle w:val="N1"/>
      </w:pPr>
      <w:r>
        <w:t>2019年11月15日，审查相关资料，起草《关于设立天府文创金融路演（成都）有限公司事宜之&lt;br/&gt;法律意见书》。</w:t>
      </w:r>
    </w:p>
    <w:p>
      <w:pPr>
        <w:pStyle w:val="N1"/>
      </w:pPr>
      <w:r>
        <w:t>2019年11月18日，就软件侵权出具法律意见。</w:t>
      </w:r>
    </w:p>
    <w:p>
      <w:pPr>
        <w:pStyle w:val="N1"/>
      </w:pPr>
      <w:r>
        <w:t>2019年11月18日，出具版权归属意见。</w:t>
      </w:r>
    </w:p>
    <w:p>
      <w:pPr>
        <w:pStyle w:val="N1"/>
      </w:pPr>
      <w:r>
        <w:t>2019年11月18日，为路演公司设立出具新的法律意见。</w:t>
      </w:r>
    </w:p>
    <w:p>
      <w:pPr>
        <w:pStyle w:val="N1"/>
      </w:pPr>
      <w:r>
        <w:t>2019年11月29日，写法律意见书-合作开发协议。</w:t>
      </w:r>
    </w:p>
    <w:p>
      <w:pPr>
        <w:pStyle w:val="N1"/>
      </w:pPr>
      <w:r>
        <w:t>2019年12月06日，写法律意见书-京西文化。</w:t>
      </w:r>
    </w:p>
    <w:p>
      <w:pPr>
        <w:pStyle w:val="N1"/>
      </w:pPr>
      <w:r>
        <w:t>2019年12月06日，写法律意见书-易事特。</w:t>
      </w:r>
    </w:p>
    <w:p>
      <w:pPr>
        <w:pStyle w:val="N1"/>
      </w:pPr>
      <w:r>
        <w:t>2019年03月06日，继续起草法律意见书并盖章邮寄。</w:t>
      </w:r>
    </w:p>
    <w:p>
      <w:pPr>
        <w:pStyle w:val="N1"/>
      </w:pPr>
      <w:r>
        <w:t>2019年05月23日，审查被指侵权稿件《大妈窃电万度挖比特币 被判拘役4个月罚款万元》，回复审查意见。</w:t>
      </w:r>
    </w:p>
    <w:p>
      <w:pPr>
        <w:pStyle w:val="H1"/>
      </w:pPr>
      <w:r>
        <w:t>四、综合事务</w:t>
      </w:r>
    </w:p>
    <w:p>
      <w:pPr>
        <w:pStyle w:val="N1"/>
      </w:pPr>
      <w:r>
        <w:t>受相关部门委托，完成成都公司、北京公司、上海分公司、上海经闻公司事实分析2次，其他2件，发律师函25次，合同审撰769份，咨询沟通86次，文件传递1次，文件审撰140份，文件整理7次，法律培训2次。</w:t>
      </w:r>
    </w:p>
    <w:p>
      <w:pPr>
        <w:pStyle w:val="N1"/>
        <w:jc w:val="right"/>
      </w:pPr>
      <w:r>
        <w:t>（完）</w:t>
      </w:r>
    </w:p>
    <w:sectPr>
      <w:footerReference r:id="rId3" w:type="default"/>
      <w:footerReference r:id="rId4" w:type="even"/>
      <w:pgSz w:w="11906" w:h="16838"/>
      <w:pgMar w:top="1928" w:right="1531" w:bottom="1928" w:left="1531"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2000000000000000000"/>
    <w:charset w:val="86"/>
    <w:family w:val="script"/>
    <w:pitch w:val="default"/>
    <w:sig w:usb0="A00002BF" w:usb1="38CF7CFA" w:usb2="00082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方正黑体_GBK">
    <w:altName w:val="微软雅黑"/>
    <w:panose1 w:val="03000509000000000000"/>
    <w:charset w:val="86"/>
    <w:family w:val="script"/>
    <w:pitch w:val="default"/>
    <w:sig w:usb0="00000000" w:usb1="00000000" w:usb2="00000000" w:usb3="00000000" w:csb0="00040000" w:csb1="00000000"/>
  </w:font>
  <w:font w:name="方正仿宋_GBK">
    <w:altName w:val="微软雅黑"/>
    <w:panose1 w:val="03000509000000000000"/>
    <w:charset w:val="86"/>
    <w:family w:val="script"/>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4422"/>
        <w:tab w:val="clear" w:pos="4153"/>
      </w:tabs>
      <w:ind w:right="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rPr>
                              <w:rStyle w:val="7"/>
                              <w:rFonts w:hint="eastAsia" w:ascii="仿宋" w:hAnsi="仿宋" w:eastAsia="仿宋" w:cs="仿宋"/>
                            </w:rPr>
                          </w:pPr>
                          <w:r>
                            <w:rPr>
                              <w:rFonts w:hint="eastAsia" w:ascii="仿宋" w:hAnsi="仿宋" w:eastAsia="仿宋" w:cs="仿宋"/>
                            </w:rPr>
                            <w:fldChar w:fldCharType="begin"/>
                          </w:r>
                          <w:r>
                            <w:rPr>
                              <w:rStyle w:val="7"/>
                              <w:rFonts w:hint="eastAsia" w:ascii="仿宋" w:hAnsi="仿宋" w:eastAsia="仿宋" w:cs="仿宋"/>
                            </w:rPr>
                            <w:instrText xml:space="preserve">PAGE  </w:instrText>
                          </w:r>
                          <w:r>
                            <w:rPr>
                              <w:rFonts w:hint="eastAsia" w:ascii="仿宋" w:hAnsi="仿宋" w:eastAsia="仿宋" w:cs="仿宋"/>
                            </w:rPr>
                            <w:fldChar w:fldCharType="separate"/>
                          </w:r>
                          <w:r>
                            <w:rPr>
                              <w:rStyle w:val="7"/>
                              <w:rFonts w:ascii="仿宋" w:hAnsi="仿宋" w:eastAsia="仿宋" w:cs="仿宋"/>
                            </w:rPr>
                            <w:t>- 2 -</w:t>
                          </w:r>
                          <w:r>
                            <w:rPr>
                              <w:rFonts w:hint="eastAsia" w:ascii="仿宋" w:hAnsi="仿宋" w:eastAsia="仿宋" w:cs="仿宋"/>
                            </w:rPr>
                            <w:fldChar w:fldCharType="end"/>
                          </w:r>
                        </w:p>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fill on="f" focussize="0,0"/>
              <v:stroke on="f"/>
              <v:imagedata o:title=""/>
              <o:lock v:ext="edit" aspectratio="f"/>
              <v:textbox inset="0mm,0mm,0mm,0mm" style="mso-fit-shape-to-text:t;">
                <w:txbxContent>
                  <w:p>
                    <w:pPr>
                      <w:pStyle w:val="4"/>
                      <w:rPr>
                        <w:rStyle w:val="7"/>
                        <w:rFonts w:hint="eastAsia" w:ascii="仿宋" w:hAnsi="仿宋" w:eastAsia="仿宋" w:cs="仿宋"/>
                      </w:rPr>
                    </w:pPr>
                    <w:r>
                      <w:rPr>
                        <w:rFonts w:hint="eastAsia" w:ascii="仿宋" w:hAnsi="仿宋" w:eastAsia="仿宋" w:cs="仿宋"/>
                      </w:rPr>
                      <w:fldChar w:fldCharType="begin"/>
                    </w:r>
                    <w:r>
                      <w:rPr>
                        <w:rStyle w:val="7"/>
                        <w:rFonts w:hint="eastAsia" w:ascii="仿宋" w:hAnsi="仿宋" w:eastAsia="仿宋" w:cs="仿宋"/>
                      </w:rPr>
                      <w:instrText xml:space="preserve">PAGE  </w:instrText>
                    </w:r>
                    <w:r>
                      <w:rPr>
                        <w:rFonts w:hint="eastAsia" w:ascii="仿宋" w:hAnsi="仿宋" w:eastAsia="仿宋" w:cs="仿宋"/>
                      </w:rPr>
                      <w:fldChar w:fldCharType="separate"/>
                    </w:r>
                    <w:r>
                      <w:rPr>
                        <w:rStyle w:val="7"/>
                        <w:rFonts w:ascii="仿宋" w:hAnsi="仿宋" w:eastAsia="仿宋" w:cs="仿宋"/>
                      </w:rPr>
                      <w:t>- 2 -</w:t>
                    </w:r>
                    <w:r>
                      <w:rPr>
                        <w:rFonts w:hint="eastAsia" w:ascii="仿宋" w:hAnsi="仿宋" w:eastAsia="仿宋" w:cs="仿宋"/>
                      </w:rPr>
                      <w:fldChar w:fldCharType="end"/>
                    </w:r>
                  </w:p>
                  <w:p/>
                </w:txbxContent>
              </v:textbox>
            </v:shape>
          </w:pict>
        </mc:Fallback>
      </mc:AlternateContent>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7"/>
      </w:rPr>
    </w:pPr>
    <w:r>
      <w:fldChar w:fldCharType="begin"/>
    </w:r>
    <w:r>
      <w:rPr>
        <w:rStyle w:val="7"/>
      </w:rPr>
      <w:instrText xml:space="preserve">PAGE  </w:instrText>
    </w:r>
    <w:r>
      <w:fldChar w:fldCharType="end"/>
    </w:r>
  </w:p>
  <w:p>
    <w:pPr>
      <w:pStyle w:val="4"/>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DB3F00"/>
    <w:rsid w:val="003F1714"/>
    <w:rsid w:val="07CD20F6"/>
    <w:rsid w:val="08B541EB"/>
    <w:rsid w:val="0C15448B"/>
    <w:rsid w:val="0E66771D"/>
    <w:rsid w:val="0F0C6CE0"/>
    <w:rsid w:val="186215F6"/>
    <w:rsid w:val="2349738F"/>
    <w:rsid w:val="300C470B"/>
    <w:rsid w:val="306D72F8"/>
    <w:rsid w:val="34B269DD"/>
    <w:rsid w:val="4BA23AE7"/>
    <w:rsid w:val="52DB3F00"/>
    <w:rsid w:val="56363FE9"/>
    <w:rsid w:val="59753225"/>
    <w:rsid w:val="5ADE4589"/>
    <w:rsid w:val="5B203186"/>
    <w:rsid w:val="623011F3"/>
    <w:rsid w:val="64DD363D"/>
    <w:rsid w:val="6CCD1532"/>
    <w:rsid w:val="7BC36DE8"/>
    <w:rsid w:val="7C0B2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99"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240" w:lineRule="auto" w:after="0"/>
      <w:jc w:val="both"/>
    </w:pPr>
    <w:rPr>
      <w:rFonts w:ascii="Times New Roman" w:hAnsi="Times New Roman" w:eastAsia="宋体" w:cs="Times New Roman"/>
      <w:kern w:val="2"/>
      <w:sz w:val="21"/>
      <w:szCs w:val="24"/>
      <w:lang w:val="en-US" w:eastAsia="zh-CN" w:bidi="ar-SA"/>
    </w:rPr>
  </w:style>
  <w:style w:type="paragraph" w:styleId="3">
    <w:name w:val="heading 1"/>
    <w:basedOn w:val="1"/>
    <w:next w:val="1"/>
    <w:qFormat/>
    <w:uiPriority w:val="0"/>
    <w:pPr>
      <w:keepNext/>
      <w:keepLines/>
      <w:spacing w:line="480" w:lineRule="auto"/>
      <w:outlineLvl w:val="0"/>
    </w:pPr>
    <w:rPr>
      <w:rFonts w:ascii="Calibri" w:hAnsi="Calibri" w:eastAsia="宋体" w:cs="Times New Roman"/>
      <w:b/>
      <w:kern w:val="44"/>
      <w:sz w:val="44"/>
      <w:szCs w:val="2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Indent"/>
    <w:basedOn w:val="1"/>
    <w:unhideWhenUsed/>
    <w:qFormat/>
    <w:uiPriority w:val="99"/>
    <w:pPr>
      <w:ind w:firstLine="420" w:firstLineChars="200"/>
    </w:pPr>
  </w:style>
  <w:style w:type="paragraph" w:styleId="4">
    <w:name w:val="footer"/>
    <w:basedOn w:val="1"/>
    <w:qFormat/>
    <w:uiPriority w:val="0"/>
    <w:pPr>
      <w:tabs>
        <w:tab w:val="center" w:pos="4153"/>
        <w:tab w:val="right" w:pos="8306"/>
      </w:tabs>
      <w:snapToGrid w:val="0"/>
      <w:jc w:val="left"/>
    </w:pPr>
    <w:rPr>
      <w:rFonts w:ascii="Times New Roman" w:hAnsi="Times New Roman" w:eastAsia="宋体" w:cs="Times New Roman"/>
      <w:sz w:val="18"/>
      <w:szCs w:val="18"/>
    </w:rPr>
  </w:style>
  <w:style w:type="character" w:styleId="7">
    <w:name w:val="page number"/>
    <w:qFormat/>
    <w:uiPriority w:val="0"/>
    <w:rPr>
      <w:rFonts w:ascii="Times New Roman" w:hAnsi="Times New Roman" w:eastAsia="宋体" w:cs="Times New Roman"/>
    </w:rPr>
  </w:style>
  <w:style w:type="paragraph" w:customStyle="1" w:styleId="H1">
    <w:name w:val="H1"/>
    <w:pPr>
      <w:spacing w:line="567" w:lineRule="exact"/>
      <w:ind w:firstLine="624"/>
    </w:pPr>
    <w:rPr>
      <w:rFonts w:ascii="方正黑体_GBK" w:hAnsi="方正黑体_GBK" w:eastAsia="方正黑体_GBK"/>
      <w:b/>
      <w:sz w:val="32"/>
    </w:rPr>
  </w:style>
  <w:style w:type="paragraph" w:customStyle="1" w:styleId="N1">
    <w:name w:val="N1"/>
    <w:pPr>
      <w:spacing w:line="240" w:lineRule="auto"/>
      <w:ind w:firstLine="680"/>
    </w:pPr>
    <w:rPr>
      <w:rFonts w:ascii="方正仿宋_GBK" w:hAnsi="方正仿宋_GBK" w:eastAsia="方正仿宋_GBK"/>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2020-10-30T06:07:00Z</dcterms:created>
  <dc:creator>孙跃红</dc:creator>
  <cp:lastModifiedBy>王彬</cp:lastModifiedBy>
  <dcterms:modified xsi:type="dcterms:W3CDTF">2020-11-28T14:30:27Z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