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〔2020〕41期        2020年11月28日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（2020.10.12-2020.10.18）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新每经vs汉能：2020年10月16日，沟通案情补充证据。</w:t>
      </w:r>
    </w:p>
    <w:p>
      <w:pPr>
        <w:pStyle w:val="N1"/>
      </w:pPr>
      <w:r>
        <w:t>星河vs新每经：2020年10月16日，补充证据。</w:t>
      </w:r>
    </w:p>
    <w:p>
      <w:pPr>
        <w:pStyle w:val="N1"/>
      </w:pPr>
      <w:r>
        <w:t>每经vs北大资源：2020年10月14日，初步沟通案情。</w:t>
      </w:r>
    </w:p>
    <w:p>
      <w:pPr>
        <w:pStyle w:val="H1"/>
      </w:pPr>
      <w:r>
        <w:t>二、经营事务</w:t>
      </w:r>
    </w:p>
    <w:p>
      <w:pPr>
        <w:pStyle w:val="N1"/>
      </w:pPr>
      <w:r>
        <w:t>火眼财经股权转让：2020年10月12日，沟通进场及工作内容；2020年10月14日，沟通签订专项合同。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2020年10月18日，法律意见书-刘萍。</w:t>
      </w:r>
    </w:p>
    <w:p>
      <w:pPr>
        <w:pStyle w:val="N1"/>
      </w:pPr>
      <w:r>
        <w:t>2020年10月18日，写法律意见书-盛美半导体。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受相关部门委托，完成成都公司、北京公司、上海分公司、上海经闻公司合同审撰17份，咨询沟通3次。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