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〔2020〕43期        2020年11月29日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期间法律事务</w:t>
      </w:r>
      <w:r>
        <w:rPr>
          <w:rFonts w:ascii="方正小标宋_GBK" w:hAnsi="方正小标宋_GBK" w:eastAsia="方正小标宋_GBK"/>
          <w:sz w:val="32"/>
        </w:rPr>
        <w:t>（2020.11.01-2020.11.29）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新每经VS珠海广通：2020年11月07日，沟通诉讼费退费事宜。</w:t>
      </w:r>
    </w:p>
    <w:p>
      <w:pPr>
        <w:pStyle w:val="N1"/>
      </w:pPr>
      <w:r>
        <w:t>星河vs新每经：2020年11月01日，补充证据；2020年11月03日，成都至北京；2020年11月03日，事实分析，起草开庭提纲，准备开庭资料；2020年11月05日，从北京至成都；2020年11月04日，至海淀法院开庭。</w:t>
      </w:r>
    </w:p>
    <w:p>
      <w:pPr>
        <w:pStyle w:val="H1"/>
      </w:pPr>
      <w:r>
        <w:t>二、经营事务</w:t>
      </w:r>
    </w:p>
    <w:p>
      <w:pPr>
        <w:pStyle w:val="N1"/>
      </w:pPr>
      <w:r>
        <w:t>无。</w:t>
      </w:r>
    </w:p>
    <w:p>
      <w:pPr>
        <w:pStyle w:val="H1"/>
      </w:pPr>
      <w:r>
        <w:t>三、采编事务</w:t>
      </w:r>
    </w:p>
    <w:p>
      <w:pPr>
        <w:pStyle w:val="N1"/>
      </w:pPr>
      <w:r>
        <w:t>2020年11月08日，沟通资产证券化比选程序，出具意见。</w:t>
      </w:r>
    </w:p>
    <w:p>
      <w:pPr>
        <w:pStyle w:val="N1"/>
      </w:pPr>
      <w:r>
        <w:t>2020年11月08日，起草周报告。</w:t>
      </w:r>
    </w:p>
    <w:p>
      <w:pPr>
        <w:pStyle w:val="N1"/>
      </w:pPr>
      <w:r>
        <w:t>2020年11月16日，起草事务报告。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受相关部门委托，完成成都公司、北京公司、上海分公司、上海经闻公司合同审撰61份，咨询沟通5次，文件审撰2份。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