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〔2020〕44周        2020年12月14日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（2020.11.02-2020.11.08）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新每经VS珠海广通：2020年11月07日，沟通诉讼费退费事宜。</w:t>
      </w:r>
    </w:p>
    <w:p>
      <w:pPr>
        <w:pStyle w:val="N1"/>
      </w:pPr>
      <w:r>
        <w:t>星河vs新每经：2020年11月03日，成都至北京；2020年11月03日，事实分析，起草开庭提纲，准备开庭资料；2020年11月05日，从北京至成都；2020年11月04日，至海淀法院开庭。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2020年11月08日，沟通资产证券化比选程序，出具意见。</w:t>
      </w:r>
    </w:p>
    <w:p>
      <w:pPr>
        <w:pStyle w:val="N1"/>
      </w:pPr>
      <w:r>
        <w:t>2020年11月08日，起草周报告。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受相关部门委托，完成成都公司、北京公司、上海分公司、上海经闻公司合同审撰31份，咨询沟通2次，文件审撰1份。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