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〔2020〕47周        2020年12月14日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（2020.11.23-2020.11.29）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受相关部门委托，完成成都公司、北京公司、上海分公司、上海经闻公司合同审撰22份，咨询沟通2次，文件审撰1份。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