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〔2020〕48周        2020年12月14日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（2020.11.30-2020.12.06）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受相关部门委托，完成成都公司、北京公司、上海分公司、上海经闻公司合同审撰27份，咨询沟通1次，文件审撰1份。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