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〔2020〕50周        2020年12月21日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（2020.12.14-2020.12.20）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无。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2020年12月20日，起草事务报告。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受相关部门委托，完成成都公司、北京公司、上海分公司、上海经闻公司合同审撰23份，咨询沟通1次，文件审撰2份。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